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Look w:val="01E0" w:firstRow="1" w:lastRow="1" w:firstColumn="1" w:lastColumn="1" w:noHBand="0" w:noVBand="0"/>
      </w:tblPr>
      <w:tblGrid>
        <w:gridCol w:w="3146"/>
        <w:gridCol w:w="3187"/>
        <w:gridCol w:w="2737"/>
      </w:tblGrid>
      <w:tr w:rsidR="00E8617E" w:rsidRPr="00BC513A" w14:paraId="46DAF239" w14:textId="77777777" w:rsidTr="00E8617E">
        <w:trPr>
          <w:jc w:val="center"/>
        </w:trPr>
        <w:tc>
          <w:tcPr>
            <w:tcW w:w="3146" w:type="dxa"/>
          </w:tcPr>
          <w:p w14:paraId="650D39CA" w14:textId="77777777" w:rsidR="00E8617E" w:rsidRPr="00BC513A" w:rsidRDefault="00EA35C3" w:rsidP="00922731">
            <w:pPr>
              <w:jc w:val="center"/>
            </w:pPr>
            <w:bookmarkStart w:id="0" w:name="_GoBack"/>
            <w:bookmarkEnd w:id="0"/>
            <w:r>
              <w:rPr>
                <w:lang w:val="en-US"/>
              </w:rPr>
              <w:t xml:space="preserve"> </w:t>
            </w:r>
            <w:r w:rsidR="00E8617E" w:rsidRPr="00BC513A">
              <w:rPr>
                <w:noProof/>
                <w:lang w:val="en-US"/>
              </w:rPr>
              <w:drawing>
                <wp:inline distT="0" distB="0" distL="0" distR="0" wp14:anchorId="36D9437C" wp14:editId="47FECC2E">
                  <wp:extent cx="1078865" cy="650875"/>
                  <wp:effectExtent l="0" t="0" r="6985" b="0"/>
                  <wp:docPr id="5163" name="Picture 5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78865" cy="650875"/>
                          </a:xfrm>
                          <a:prstGeom prst="rect">
                            <a:avLst/>
                          </a:prstGeom>
                          <a:noFill/>
                          <a:ln>
                            <a:noFill/>
                          </a:ln>
                        </pic:spPr>
                      </pic:pic>
                    </a:graphicData>
                  </a:graphic>
                </wp:inline>
              </w:drawing>
            </w:r>
          </w:p>
        </w:tc>
        <w:tc>
          <w:tcPr>
            <w:tcW w:w="3187" w:type="dxa"/>
          </w:tcPr>
          <w:p w14:paraId="476EF6C3" w14:textId="77777777" w:rsidR="00E8617E" w:rsidRPr="00BC513A" w:rsidRDefault="00E8617E" w:rsidP="00922731">
            <w:pPr>
              <w:jc w:val="center"/>
            </w:pPr>
            <w:r w:rsidRPr="00BC513A">
              <w:rPr>
                <w:noProof/>
                <w:szCs w:val="28"/>
                <w:lang w:val="en-US"/>
              </w:rPr>
              <w:drawing>
                <wp:inline distT="0" distB="0" distL="0" distR="0" wp14:anchorId="14EBDC47" wp14:editId="376E41EC">
                  <wp:extent cx="963930" cy="642620"/>
                  <wp:effectExtent l="19050" t="19050" r="26670" b="24130"/>
                  <wp:docPr id="5162" name="Picture 5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63930" cy="642620"/>
                          </a:xfrm>
                          <a:prstGeom prst="rect">
                            <a:avLst/>
                          </a:prstGeom>
                          <a:noFill/>
                          <a:ln w="9525" cmpd="sng">
                            <a:solidFill>
                              <a:srgbClr val="000000"/>
                            </a:solidFill>
                            <a:miter lim="800000"/>
                            <a:headEnd/>
                            <a:tailEnd/>
                          </a:ln>
                          <a:effectLst/>
                        </pic:spPr>
                      </pic:pic>
                    </a:graphicData>
                  </a:graphic>
                </wp:inline>
              </w:drawing>
            </w:r>
          </w:p>
        </w:tc>
        <w:tc>
          <w:tcPr>
            <w:tcW w:w="2737" w:type="dxa"/>
          </w:tcPr>
          <w:p w14:paraId="06FD84C3" w14:textId="77777777" w:rsidR="00E8617E" w:rsidRPr="00BC513A" w:rsidRDefault="00E8617E" w:rsidP="00922731">
            <w:pPr>
              <w:jc w:val="center"/>
            </w:pPr>
            <w:r w:rsidRPr="00BC513A">
              <w:rPr>
                <w:i/>
                <w:noProof/>
                <w:lang w:val="en-US"/>
              </w:rPr>
              <w:drawing>
                <wp:inline distT="0" distB="0" distL="0" distR="0" wp14:anchorId="1BE3C212" wp14:editId="0B98DD05">
                  <wp:extent cx="774065" cy="650875"/>
                  <wp:effectExtent l="0" t="0" r="6985" b="0"/>
                  <wp:docPr id="5161" name="Picture 5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74065" cy="650875"/>
                          </a:xfrm>
                          <a:prstGeom prst="rect">
                            <a:avLst/>
                          </a:prstGeom>
                          <a:noFill/>
                          <a:ln>
                            <a:noFill/>
                          </a:ln>
                        </pic:spPr>
                      </pic:pic>
                    </a:graphicData>
                  </a:graphic>
                </wp:inline>
              </w:drawing>
            </w:r>
          </w:p>
        </w:tc>
      </w:tr>
      <w:tr w:rsidR="00E8617E" w:rsidRPr="00BC513A" w14:paraId="74765556" w14:textId="77777777" w:rsidTr="00E8617E">
        <w:trPr>
          <w:jc w:val="center"/>
        </w:trPr>
        <w:tc>
          <w:tcPr>
            <w:tcW w:w="9070" w:type="dxa"/>
            <w:gridSpan w:val="3"/>
          </w:tcPr>
          <w:p w14:paraId="588B5630" w14:textId="77777777" w:rsidR="00E8617E" w:rsidRPr="00BC513A" w:rsidRDefault="00E8617E" w:rsidP="00922731">
            <w:pPr>
              <w:jc w:val="center"/>
              <w:rPr>
                <w:b/>
                <w:iCs/>
                <w:color w:val="000000"/>
                <w:spacing w:val="3"/>
              </w:rPr>
            </w:pPr>
            <w:r w:rsidRPr="00BC513A">
              <w:rPr>
                <w:b/>
                <w:iCs/>
                <w:color w:val="000000"/>
                <w:spacing w:val="3"/>
              </w:rPr>
              <w:t>ЕВРОПЕЙСКИ ЗЕМЕДЕЛСКИ ФОНД ЗА РАЗВИТИЕ НА СЕЛСКИТЕ РАЙОНИ</w:t>
            </w:r>
          </w:p>
        </w:tc>
      </w:tr>
      <w:tr w:rsidR="00E8617E" w:rsidRPr="00BC513A" w14:paraId="040F1918" w14:textId="77777777" w:rsidTr="00E8617E">
        <w:trPr>
          <w:jc w:val="center"/>
        </w:trPr>
        <w:tc>
          <w:tcPr>
            <w:tcW w:w="9070" w:type="dxa"/>
            <w:gridSpan w:val="3"/>
          </w:tcPr>
          <w:p w14:paraId="7AB4C5A4" w14:textId="77777777" w:rsidR="00E8617E" w:rsidRPr="00BC513A" w:rsidRDefault="00E8617E" w:rsidP="00922731">
            <w:pPr>
              <w:jc w:val="center"/>
              <w:rPr>
                <w:b/>
                <w:iCs/>
                <w:color w:val="000000"/>
                <w:spacing w:val="3"/>
              </w:rPr>
            </w:pPr>
            <w:r w:rsidRPr="00BC513A">
              <w:rPr>
                <w:b/>
                <w:iCs/>
                <w:color w:val="000000"/>
                <w:spacing w:val="3"/>
              </w:rPr>
              <w:t>ЕВРОПА ИНВЕСТИРА В СЕЛСКИТЕ РАЙОНИ</w:t>
            </w:r>
          </w:p>
        </w:tc>
      </w:tr>
    </w:tbl>
    <w:p w14:paraId="52427294" w14:textId="77777777" w:rsidR="00E8617E" w:rsidRPr="00BC513A" w:rsidRDefault="00E8617E" w:rsidP="00E8617E">
      <w:pPr>
        <w:rPr>
          <w:lang w:eastAsia="ko-KR"/>
        </w:rPr>
      </w:pPr>
    </w:p>
    <w:p w14:paraId="5A326ED5" w14:textId="77777777" w:rsidR="00E8617E" w:rsidRPr="00BC513A" w:rsidRDefault="00E8617E" w:rsidP="00E8617E">
      <w:pPr>
        <w:jc w:val="center"/>
        <w:rPr>
          <w:b/>
          <w:color w:val="2E74B5" w:themeColor="accent1" w:themeShade="BF"/>
          <w:sz w:val="56"/>
          <w:szCs w:val="56"/>
        </w:rPr>
      </w:pPr>
      <w:r w:rsidRPr="00BC513A">
        <w:rPr>
          <w:b/>
          <w:color w:val="2E74B5" w:themeColor="accent1" w:themeShade="BF"/>
          <w:sz w:val="56"/>
          <w:szCs w:val="56"/>
        </w:rPr>
        <w:t xml:space="preserve">Последваща оценка (ex-post) </w:t>
      </w:r>
    </w:p>
    <w:p w14:paraId="5BD2BDC4" w14:textId="77777777" w:rsidR="00E8617E" w:rsidRPr="00BC513A" w:rsidRDefault="00E8617E" w:rsidP="00E8617E">
      <w:pPr>
        <w:jc w:val="center"/>
        <w:rPr>
          <w:b/>
          <w:color w:val="2E74B5" w:themeColor="accent1" w:themeShade="BF"/>
          <w:sz w:val="36"/>
          <w:szCs w:val="36"/>
        </w:rPr>
      </w:pPr>
      <w:r w:rsidRPr="00BC513A">
        <w:rPr>
          <w:b/>
          <w:color w:val="2E74B5" w:themeColor="accent1" w:themeShade="BF"/>
          <w:sz w:val="36"/>
          <w:szCs w:val="36"/>
        </w:rPr>
        <w:t>на</w:t>
      </w:r>
    </w:p>
    <w:p w14:paraId="3EC6E09E" w14:textId="77777777" w:rsidR="00E8617E" w:rsidRPr="00BC513A" w:rsidRDefault="00E8617E" w:rsidP="00E8617E">
      <w:pPr>
        <w:jc w:val="center"/>
        <w:rPr>
          <w:b/>
          <w:color w:val="2E74B5" w:themeColor="accent1" w:themeShade="BF"/>
          <w:sz w:val="36"/>
          <w:szCs w:val="36"/>
        </w:rPr>
      </w:pPr>
      <w:r w:rsidRPr="00BC513A">
        <w:rPr>
          <w:b/>
          <w:color w:val="2E74B5" w:themeColor="accent1" w:themeShade="BF"/>
          <w:sz w:val="36"/>
          <w:szCs w:val="36"/>
        </w:rPr>
        <w:t>Програмата за развитие на селските райони 2007-2013 г.</w:t>
      </w:r>
    </w:p>
    <w:p w14:paraId="6EA3F41F" w14:textId="77777777" w:rsidR="00E8617E" w:rsidRPr="009D54CA" w:rsidRDefault="003C48A0" w:rsidP="00E8617E">
      <w:pPr>
        <w:jc w:val="center"/>
        <w:rPr>
          <w:b/>
          <w:color w:val="1F3864" w:themeColor="accent5" w:themeShade="80"/>
          <w:sz w:val="40"/>
          <w:szCs w:val="40"/>
        </w:rPr>
      </w:pPr>
      <w:r w:rsidRPr="003C48A0">
        <w:rPr>
          <w:b/>
          <w:color w:val="1F3864" w:themeColor="accent5" w:themeShade="80"/>
          <w:sz w:val="40"/>
          <w:szCs w:val="40"/>
        </w:rPr>
        <w:t>ЗАКЛЮЧИТЕЛЕН ДОКЛАД</w:t>
      </w:r>
    </w:p>
    <w:p w14:paraId="22D94A97" w14:textId="77777777" w:rsidR="00E8617E" w:rsidRPr="00BC513A" w:rsidRDefault="00E8617E" w:rsidP="00E8617E">
      <w:pPr>
        <w:rPr>
          <w:sz w:val="28"/>
          <w:szCs w:val="28"/>
        </w:rPr>
      </w:pPr>
      <w:r w:rsidRPr="00BC513A">
        <w:rPr>
          <w:sz w:val="28"/>
          <w:szCs w:val="28"/>
        </w:rPr>
        <w:t>Възложител: Министерство на земеделието, храните и горите</w:t>
      </w:r>
    </w:p>
    <w:p w14:paraId="050F4A1E" w14:textId="77777777" w:rsidR="00E8617E" w:rsidRPr="00BC513A" w:rsidRDefault="00E8617E" w:rsidP="00E8617E">
      <w:pPr>
        <w:rPr>
          <w:sz w:val="28"/>
          <w:szCs w:val="28"/>
        </w:rPr>
      </w:pPr>
      <w:r w:rsidRPr="00BC513A">
        <w:rPr>
          <w:b/>
          <w:caps/>
          <w:noProof/>
          <w:szCs w:val="24"/>
          <w:lang w:val="en-US"/>
        </w:rPr>
        <w:drawing>
          <wp:anchor distT="0" distB="0" distL="114300" distR="114300" simplePos="0" relativeHeight="251659264" behindDoc="0" locked="0" layoutInCell="1" allowOverlap="1" wp14:anchorId="0263D04D" wp14:editId="4A3AD863">
            <wp:simplePos x="0" y="0"/>
            <wp:positionH relativeFrom="column">
              <wp:posOffset>1509918</wp:posOffset>
            </wp:positionH>
            <wp:positionV relativeFrom="paragraph">
              <wp:posOffset>207645</wp:posOffset>
            </wp:positionV>
            <wp:extent cx="4185920" cy="3943985"/>
            <wp:effectExtent l="0" t="0" r="5080" b="0"/>
            <wp:wrapNone/>
            <wp:docPr id="3271" name="Picture 199" descr="panoramic-view-over-the-green-liechtenst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1" name="Picture 199" descr="panoramic-view-over-the-green-liechtenstein"/>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85920" cy="3943985"/>
                    </a:xfrm>
                    <a:prstGeom prst="rect">
                      <a:avLst/>
                    </a:prstGeom>
                    <a:noFill/>
                    <a:extLst/>
                  </pic:spPr>
                </pic:pic>
              </a:graphicData>
            </a:graphic>
            <wp14:sizeRelH relativeFrom="margin">
              <wp14:pctWidth>0</wp14:pctWidth>
            </wp14:sizeRelH>
            <wp14:sizeRelV relativeFrom="margin">
              <wp14:pctHeight>0</wp14:pctHeight>
            </wp14:sizeRelV>
          </wp:anchor>
        </w:drawing>
      </w:r>
      <w:r w:rsidRPr="00BC513A">
        <w:rPr>
          <w:b/>
          <w:caps/>
          <w:noProof/>
          <w:color w:val="000000" w:themeColor="text1"/>
          <w:szCs w:val="24"/>
          <w:lang w:val="en-US"/>
        </w:rPr>
        <w:drawing>
          <wp:anchor distT="0" distB="0" distL="114300" distR="114300" simplePos="0" relativeHeight="251660288" behindDoc="0" locked="0" layoutInCell="1" allowOverlap="1" wp14:anchorId="4E8C3392" wp14:editId="73A33E34">
            <wp:simplePos x="0" y="0"/>
            <wp:positionH relativeFrom="column">
              <wp:posOffset>1457699</wp:posOffset>
            </wp:positionH>
            <wp:positionV relativeFrom="paragraph">
              <wp:posOffset>207645</wp:posOffset>
            </wp:positionV>
            <wp:extent cx="4239173" cy="3944471"/>
            <wp:effectExtent l="0" t="0" r="9525" b="0"/>
            <wp:wrapNone/>
            <wp:docPr id="3272" name="Picture 200" descr="Grid_A_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2" name="Picture 200" descr="Grid_A_cover"/>
                    <pic:cNvPicPr>
                      <a:picLocks noChangeAspect="1" noChangeArrowheads="1"/>
                    </pic:cNvPicPr>
                  </pic:nvPicPr>
                  <pic:blipFill>
                    <a:blip r:embed="rId13" cstate="print">
                      <a:lum bright="100000" contrast="-70000"/>
                      <a:grayscl/>
                      <a:extLst>
                        <a:ext uri="{28A0092B-C50C-407E-A947-70E740481C1C}">
                          <a14:useLocalDpi xmlns:a14="http://schemas.microsoft.com/office/drawing/2010/main" val="0"/>
                        </a:ext>
                      </a:extLst>
                    </a:blip>
                    <a:srcRect l="5569" t="30832" b="1279"/>
                    <a:stretch>
                      <a:fillRect/>
                    </a:stretch>
                  </pic:blipFill>
                  <pic:spPr bwMode="auto">
                    <a:xfrm>
                      <a:off x="0" y="0"/>
                      <a:ext cx="4239173" cy="3944471"/>
                    </a:xfrm>
                    <a:prstGeom prst="rect">
                      <a:avLst/>
                    </a:prstGeom>
                    <a:noFill/>
                    <a:extLst/>
                  </pic:spPr>
                </pic:pic>
              </a:graphicData>
            </a:graphic>
            <wp14:sizeRelH relativeFrom="margin">
              <wp14:pctWidth>0</wp14:pctWidth>
            </wp14:sizeRelH>
            <wp14:sizeRelV relativeFrom="margin">
              <wp14:pctHeight>0</wp14:pctHeight>
            </wp14:sizeRelV>
          </wp:anchor>
        </w:drawing>
      </w:r>
      <w:r w:rsidRPr="00BC513A">
        <w:rPr>
          <w:sz w:val="28"/>
          <w:szCs w:val="28"/>
        </w:rPr>
        <w:t>Дирекция „Развитие на селските райони“</w:t>
      </w:r>
    </w:p>
    <w:p w14:paraId="369B0A69" w14:textId="77777777" w:rsidR="00E8617E" w:rsidRPr="00BC513A" w:rsidRDefault="00E8617E" w:rsidP="00E8617E">
      <w:pPr>
        <w:rPr>
          <w:b/>
          <w:sz w:val="32"/>
          <w:szCs w:val="32"/>
        </w:rPr>
      </w:pPr>
    </w:p>
    <w:p w14:paraId="74EB29BF" w14:textId="77777777" w:rsidR="00E8617E" w:rsidRPr="00BC513A" w:rsidRDefault="00E8617E" w:rsidP="00E8617E">
      <w:pPr>
        <w:rPr>
          <w:b/>
          <w:sz w:val="32"/>
          <w:szCs w:val="32"/>
        </w:rPr>
      </w:pPr>
    </w:p>
    <w:p w14:paraId="7CAD68CA" w14:textId="77777777" w:rsidR="00E8617E" w:rsidRPr="00BC513A" w:rsidRDefault="00E8617E" w:rsidP="00E8617E">
      <w:pPr>
        <w:rPr>
          <w:b/>
          <w:sz w:val="32"/>
          <w:szCs w:val="32"/>
        </w:rPr>
      </w:pPr>
    </w:p>
    <w:p w14:paraId="2399F682" w14:textId="77777777" w:rsidR="00E8617E" w:rsidRPr="00BC513A" w:rsidRDefault="00E8617E" w:rsidP="00E8617E">
      <w:pPr>
        <w:rPr>
          <w:b/>
          <w:sz w:val="32"/>
          <w:szCs w:val="32"/>
        </w:rPr>
      </w:pPr>
    </w:p>
    <w:p w14:paraId="6492AD12" w14:textId="77777777" w:rsidR="00E8617E" w:rsidRPr="00BC513A" w:rsidRDefault="00E8617E" w:rsidP="00E8617E">
      <w:pPr>
        <w:rPr>
          <w:b/>
          <w:sz w:val="32"/>
          <w:szCs w:val="32"/>
        </w:rPr>
      </w:pPr>
    </w:p>
    <w:p w14:paraId="6A066F31" w14:textId="77777777" w:rsidR="00E8617E" w:rsidRPr="00BC513A" w:rsidRDefault="00E8617E" w:rsidP="00E8617E">
      <w:pPr>
        <w:rPr>
          <w:b/>
          <w:sz w:val="32"/>
          <w:szCs w:val="32"/>
        </w:rPr>
      </w:pPr>
    </w:p>
    <w:p w14:paraId="13E49AF9" w14:textId="77777777" w:rsidR="00E8617E" w:rsidRPr="00BC513A" w:rsidRDefault="00E8617E" w:rsidP="00E8617E">
      <w:pPr>
        <w:rPr>
          <w:b/>
          <w:sz w:val="32"/>
          <w:szCs w:val="32"/>
        </w:rPr>
      </w:pPr>
    </w:p>
    <w:p w14:paraId="4419F2B6" w14:textId="77777777" w:rsidR="00E8617E" w:rsidRPr="00BC513A" w:rsidRDefault="00E8617E" w:rsidP="00E8617E">
      <w:pPr>
        <w:rPr>
          <w:b/>
          <w:sz w:val="32"/>
          <w:szCs w:val="32"/>
        </w:rPr>
      </w:pPr>
    </w:p>
    <w:p w14:paraId="3281090F" w14:textId="77777777" w:rsidR="00E8617E" w:rsidRPr="00BC513A" w:rsidRDefault="00E8617E" w:rsidP="00E8617E">
      <w:pPr>
        <w:rPr>
          <w:b/>
          <w:sz w:val="32"/>
          <w:szCs w:val="32"/>
        </w:rPr>
      </w:pPr>
    </w:p>
    <w:p w14:paraId="1B454F3B" w14:textId="77777777" w:rsidR="00E8617E" w:rsidRPr="00BC513A" w:rsidRDefault="00E8617E" w:rsidP="00E8617E">
      <w:pPr>
        <w:rPr>
          <w:b/>
          <w:sz w:val="32"/>
          <w:szCs w:val="32"/>
        </w:rPr>
      </w:pPr>
    </w:p>
    <w:p w14:paraId="4CFD488C" w14:textId="77777777" w:rsidR="00E8617E" w:rsidRPr="00BC513A" w:rsidRDefault="00E8617E" w:rsidP="00E8617E">
      <w:pPr>
        <w:rPr>
          <w:b/>
          <w:sz w:val="32"/>
          <w:szCs w:val="32"/>
        </w:rPr>
      </w:pPr>
    </w:p>
    <w:p w14:paraId="2BD512F4" w14:textId="77777777" w:rsidR="00E8617E" w:rsidRPr="00BC513A" w:rsidRDefault="00E8617E" w:rsidP="00E8617E">
      <w:pPr>
        <w:jc w:val="center"/>
        <w:rPr>
          <w:sz w:val="24"/>
          <w:szCs w:val="24"/>
        </w:rPr>
      </w:pPr>
      <w:r w:rsidRPr="00BC513A">
        <w:rPr>
          <w:sz w:val="24"/>
          <w:szCs w:val="24"/>
        </w:rPr>
        <w:t>София, януари 2018 г.</w:t>
      </w:r>
    </w:p>
    <w:p w14:paraId="2844EA4B" w14:textId="77777777" w:rsidR="00E8617E" w:rsidRPr="00BC513A" w:rsidRDefault="00E8617E" w:rsidP="00E8617E">
      <w:pPr>
        <w:pStyle w:val="Heading1"/>
        <w:numPr>
          <w:ilvl w:val="0"/>
          <w:numId w:val="0"/>
        </w:numPr>
        <w:spacing w:after="480"/>
        <w:rPr>
          <w:lang w:val="bg-BG"/>
        </w:rPr>
      </w:pPr>
      <w:bookmarkStart w:id="1" w:name="_Toc504136117"/>
      <w:bookmarkStart w:id="2" w:name="_Toc442276753"/>
      <w:bookmarkStart w:id="3" w:name="_Toc442344491"/>
      <w:bookmarkStart w:id="4" w:name="_Toc446335684"/>
      <w:bookmarkStart w:id="5" w:name="_Toc447043234"/>
      <w:bookmarkStart w:id="6" w:name="_Toc447121418"/>
      <w:r w:rsidRPr="00BC513A">
        <w:rPr>
          <w:lang w:val="bg-BG"/>
        </w:rPr>
        <w:lastRenderedPageBreak/>
        <w:t>Резюме</w:t>
      </w:r>
      <w:bookmarkEnd w:id="1"/>
    </w:p>
    <w:p w14:paraId="76DCF5F1" w14:textId="77777777" w:rsidR="004D4F2D" w:rsidRPr="003B417B" w:rsidRDefault="004D4F2D" w:rsidP="004D4F2D">
      <w:pPr>
        <w:pStyle w:val="DefaultText"/>
        <w:spacing w:after="120" w:line="300" w:lineRule="atLeast"/>
        <w:ind w:firstLine="708"/>
        <w:rPr>
          <w:sz w:val="22"/>
          <w:szCs w:val="22"/>
          <w:lang w:val="bg-BG"/>
        </w:rPr>
      </w:pPr>
      <w:r w:rsidRPr="003B417B">
        <w:rPr>
          <w:sz w:val="22"/>
          <w:szCs w:val="22"/>
          <w:lang w:val="bg-BG"/>
        </w:rPr>
        <w:t>Настоящето резюме представя резултатите от последващата (ex-post) оценка на Програмата за развитие на селските райони 2007-2013 г.</w:t>
      </w:r>
      <w:r>
        <w:rPr>
          <w:sz w:val="22"/>
          <w:szCs w:val="22"/>
          <w:lang w:val="bg-BG"/>
        </w:rPr>
        <w:t xml:space="preserve"> в България.</w:t>
      </w:r>
      <w:r w:rsidRPr="003B417B">
        <w:rPr>
          <w:sz w:val="22"/>
          <w:szCs w:val="22"/>
          <w:lang w:val="bg-BG"/>
        </w:rPr>
        <w:t xml:space="preserve"> </w:t>
      </w:r>
    </w:p>
    <w:p w14:paraId="15D40F52" w14:textId="7CC3A295" w:rsidR="004D4F2D" w:rsidRDefault="004D4F2D" w:rsidP="004D4F2D">
      <w:pPr>
        <w:pStyle w:val="DefaultText"/>
        <w:spacing w:after="120" w:line="300" w:lineRule="atLeast"/>
        <w:ind w:firstLine="567"/>
        <w:rPr>
          <w:rFonts w:cs="Arial"/>
          <w:bCs/>
          <w:sz w:val="22"/>
          <w:szCs w:val="22"/>
          <w:lang w:val="bg-BG"/>
        </w:rPr>
      </w:pPr>
      <w:r w:rsidRPr="003B417B">
        <w:rPr>
          <w:sz w:val="22"/>
          <w:szCs w:val="22"/>
          <w:lang w:val="bg-BG"/>
        </w:rPr>
        <w:t>Оценката е възложена от Министерство</w:t>
      </w:r>
      <w:r w:rsidR="009F288E">
        <w:rPr>
          <w:sz w:val="22"/>
          <w:szCs w:val="22"/>
          <w:lang w:val="bg-BG"/>
        </w:rPr>
        <w:t>то</w:t>
      </w:r>
      <w:r w:rsidRPr="003B417B">
        <w:rPr>
          <w:sz w:val="22"/>
          <w:szCs w:val="22"/>
          <w:lang w:val="bg-BG"/>
        </w:rPr>
        <w:t xml:space="preserve"> на земеделието, храните и горите, Дирекция „Развитие на селските райони“ и е осъществена през ноември</w:t>
      </w:r>
      <w:r>
        <w:rPr>
          <w:sz w:val="22"/>
          <w:szCs w:val="22"/>
          <w:lang w:val="bg-BG"/>
        </w:rPr>
        <w:t xml:space="preserve"> 2017-януари</w:t>
      </w:r>
      <w:r w:rsidRPr="003B417B">
        <w:rPr>
          <w:sz w:val="22"/>
          <w:szCs w:val="22"/>
          <w:lang w:val="bg-BG"/>
        </w:rPr>
        <w:t xml:space="preserve"> 201</w:t>
      </w:r>
      <w:r>
        <w:rPr>
          <w:sz w:val="22"/>
          <w:szCs w:val="22"/>
          <w:lang w:val="bg-BG"/>
        </w:rPr>
        <w:t>8</w:t>
      </w:r>
      <w:r w:rsidRPr="003B417B">
        <w:rPr>
          <w:sz w:val="22"/>
          <w:szCs w:val="22"/>
          <w:lang w:val="bg-BG"/>
        </w:rPr>
        <w:t xml:space="preserve"> г. от екип от експерти на обединение </w:t>
      </w:r>
      <w:r w:rsidRPr="003B417B">
        <w:rPr>
          <w:rFonts w:cs="Arial"/>
          <w:sz w:val="22"/>
          <w:szCs w:val="22"/>
          <w:lang w:val="bg-BG"/>
        </w:rPr>
        <w:t>„ИНСАЙТ ПРСР” със съдружници Екорис Саут Ийст Юроп ЕООД и БИМ Консултинг ООД</w:t>
      </w:r>
      <w:r w:rsidRPr="003B417B">
        <w:rPr>
          <w:rFonts w:cs="Arial"/>
          <w:bCs/>
          <w:sz w:val="22"/>
          <w:szCs w:val="22"/>
          <w:lang w:val="bg-BG"/>
        </w:rPr>
        <w:t>.</w:t>
      </w:r>
    </w:p>
    <w:p w14:paraId="035C7E81" w14:textId="77777777" w:rsidR="004D4F2D" w:rsidRPr="00853992" w:rsidRDefault="004D4F2D" w:rsidP="004D4F2D">
      <w:pPr>
        <w:pStyle w:val="DefaultText"/>
        <w:keepNext/>
        <w:shd w:val="clear" w:color="auto" w:fill="DEEAF6" w:themeFill="accent1" w:themeFillTint="33"/>
        <w:spacing w:before="240" w:after="120" w:line="300" w:lineRule="atLeast"/>
        <w:ind w:firstLine="567"/>
        <w:rPr>
          <w:rFonts w:cs="Arial"/>
          <w:b/>
          <w:bCs/>
          <w:sz w:val="22"/>
          <w:szCs w:val="22"/>
          <w:lang w:val="bg-BG"/>
        </w:rPr>
      </w:pPr>
      <w:r w:rsidRPr="00853992">
        <w:rPr>
          <w:rFonts w:cs="Arial"/>
          <w:b/>
          <w:bCs/>
          <w:sz w:val="22"/>
          <w:szCs w:val="22"/>
          <w:lang w:val="bg-BG"/>
        </w:rPr>
        <w:t>Цел на оценката:</w:t>
      </w:r>
    </w:p>
    <w:p w14:paraId="0E6DD9CE" w14:textId="6E55F063" w:rsidR="004D4F2D" w:rsidRDefault="004D4F2D" w:rsidP="004D4F2D">
      <w:pPr>
        <w:pStyle w:val="DefaultText"/>
        <w:spacing w:after="120" w:line="300" w:lineRule="atLeast"/>
        <w:ind w:firstLine="708"/>
        <w:rPr>
          <w:sz w:val="22"/>
          <w:szCs w:val="22"/>
          <w:lang w:val="bg-BG"/>
        </w:rPr>
      </w:pPr>
      <w:r w:rsidRPr="003B417B">
        <w:rPr>
          <w:sz w:val="22"/>
          <w:szCs w:val="22"/>
          <w:lang w:val="bg-BG"/>
        </w:rPr>
        <w:t xml:space="preserve">Оценката има за цел да отговори на изискванията </w:t>
      </w:r>
      <w:r w:rsidR="00427B7E">
        <w:rPr>
          <w:sz w:val="22"/>
          <w:szCs w:val="22"/>
          <w:lang w:val="bg-BG"/>
        </w:rPr>
        <w:t xml:space="preserve">на </w:t>
      </w:r>
      <w:r w:rsidRPr="003B417B">
        <w:rPr>
          <w:sz w:val="22"/>
          <w:szCs w:val="22"/>
          <w:lang w:val="bg-BG"/>
        </w:rPr>
        <w:t>чл.</w:t>
      </w:r>
      <w:r w:rsidR="00F14A1C">
        <w:rPr>
          <w:sz w:val="22"/>
          <w:szCs w:val="22"/>
          <w:lang w:val="bg-BG"/>
        </w:rPr>
        <w:t> </w:t>
      </w:r>
      <w:r w:rsidRPr="003B417B">
        <w:rPr>
          <w:sz w:val="22"/>
          <w:szCs w:val="22"/>
          <w:lang w:val="bg-BG"/>
        </w:rPr>
        <w:t>84 и чл.</w:t>
      </w:r>
      <w:r w:rsidR="00F14A1C">
        <w:rPr>
          <w:sz w:val="22"/>
          <w:szCs w:val="22"/>
          <w:lang w:val="bg-BG"/>
        </w:rPr>
        <w:t> </w:t>
      </w:r>
      <w:r w:rsidRPr="003B417B">
        <w:rPr>
          <w:sz w:val="22"/>
          <w:szCs w:val="22"/>
          <w:lang w:val="bg-BG"/>
        </w:rPr>
        <w:t xml:space="preserve">86 на Регламент на Съвета (ЕО) </w:t>
      </w:r>
      <w:r w:rsidR="00D57404">
        <w:rPr>
          <w:sz w:val="22"/>
          <w:szCs w:val="22"/>
          <w:lang w:val="bg-BG"/>
        </w:rPr>
        <w:t xml:space="preserve">№ </w:t>
      </w:r>
      <w:r w:rsidRPr="003B417B">
        <w:rPr>
          <w:sz w:val="22"/>
          <w:szCs w:val="22"/>
          <w:lang w:val="bg-BG"/>
        </w:rPr>
        <w:t>1698/2005</w:t>
      </w:r>
      <w:r>
        <w:rPr>
          <w:sz w:val="22"/>
          <w:szCs w:val="22"/>
          <w:lang w:val="bg-BG"/>
        </w:rPr>
        <w:t>. Оценката представлява п</w:t>
      </w:r>
      <w:r w:rsidRPr="003B417B">
        <w:rPr>
          <w:sz w:val="22"/>
          <w:szCs w:val="22"/>
          <w:lang w:val="bg-BG"/>
        </w:rPr>
        <w:t xml:space="preserve">оследваща оценка </w:t>
      </w:r>
      <w:r>
        <w:rPr>
          <w:sz w:val="22"/>
          <w:szCs w:val="22"/>
          <w:lang w:val="bg-BG"/>
        </w:rPr>
        <w:t>и е осъществена</w:t>
      </w:r>
      <w:r w:rsidRPr="003B417B">
        <w:rPr>
          <w:sz w:val="22"/>
          <w:szCs w:val="22"/>
          <w:lang w:val="bg-BG"/>
        </w:rPr>
        <w:t xml:space="preserve"> след приключване на Програмата за развитие на селските райони 2007-2013 г</w:t>
      </w:r>
      <w:r>
        <w:rPr>
          <w:sz w:val="22"/>
          <w:szCs w:val="22"/>
          <w:lang w:val="bg-BG"/>
        </w:rPr>
        <w:t>. в България. О</w:t>
      </w:r>
      <w:r w:rsidRPr="003B417B">
        <w:rPr>
          <w:sz w:val="22"/>
          <w:szCs w:val="22"/>
          <w:lang w:val="bg-BG"/>
        </w:rPr>
        <w:t xml:space="preserve">сновната й цел е да оцени степента на използване на ресурсите, ефикасността и ефективността от програмирането по </w:t>
      </w:r>
      <w:bookmarkStart w:id="7" w:name="_Hlk506716696"/>
      <w:r w:rsidRPr="003B417B">
        <w:rPr>
          <w:sz w:val="22"/>
          <w:szCs w:val="22"/>
          <w:lang w:val="bg-BG"/>
        </w:rPr>
        <w:t xml:space="preserve">Европейския </w:t>
      </w:r>
      <w:r w:rsidR="00F14A1C">
        <w:rPr>
          <w:sz w:val="22"/>
          <w:szCs w:val="22"/>
          <w:lang w:val="bg-BG"/>
        </w:rPr>
        <w:t>земеделски</w:t>
      </w:r>
      <w:r w:rsidR="00F14A1C" w:rsidRPr="003B417B">
        <w:rPr>
          <w:sz w:val="22"/>
          <w:szCs w:val="22"/>
          <w:lang w:val="bg-BG"/>
        </w:rPr>
        <w:t xml:space="preserve"> </w:t>
      </w:r>
      <w:r w:rsidRPr="003B417B">
        <w:rPr>
          <w:sz w:val="22"/>
          <w:szCs w:val="22"/>
          <w:lang w:val="bg-BG"/>
        </w:rPr>
        <w:t>фонд за развитие на селските райони</w:t>
      </w:r>
      <w:bookmarkEnd w:id="7"/>
      <w:r w:rsidRPr="003B417B">
        <w:rPr>
          <w:sz w:val="22"/>
          <w:szCs w:val="22"/>
          <w:lang w:val="bg-BG"/>
        </w:rPr>
        <w:t>, социално-икономическото въздействие и въздействието върху приоритетите на Общността.</w:t>
      </w:r>
    </w:p>
    <w:p w14:paraId="27497D7E" w14:textId="77777777" w:rsidR="004D4F2D" w:rsidRDefault="004D4F2D" w:rsidP="004D4F2D">
      <w:pPr>
        <w:pStyle w:val="DefaultText"/>
        <w:spacing w:after="120" w:line="300" w:lineRule="atLeast"/>
        <w:ind w:firstLine="709"/>
        <w:rPr>
          <w:sz w:val="22"/>
          <w:szCs w:val="22"/>
          <w:lang w:val="bg-BG"/>
        </w:rPr>
      </w:pPr>
      <w:r w:rsidRPr="00BC513A">
        <w:rPr>
          <w:sz w:val="22"/>
          <w:szCs w:val="22"/>
          <w:lang w:val="bg-BG"/>
        </w:rPr>
        <w:t xml:space="preserve">Предвид естеството на оценката основният фокус на анализите е насочен към </w:t>
      </w:r>
      <w:r w:rsidRPr="009F0E7F">
        <w:rPr>
          <w:b/>
          <w:sz w:val="22"/>
          <w:szCs w:val="22"/>
          <w:lang w:val="bg-BG"/>
        </w:rPr>
        <w:t>постигнатите резултати и въздействия</w:t>
      </w:r>
      <w:r w:rsidRPr="00BC513A">
        <w:rPr>
          <w:sz w:val="22"/>
          <w:szCs w:val="22"/>
          <w:lang w:val="bg-BG"/>
        </w:rPr>
        <w:t>, като въпроси</w:t>
      </w:r>
      <w:r w:rsidR="0048724F" w:rsidRPr="009D54CA">
        <w:rPr>
          <w:sz w:val="22"/>
          <w:szCs w:val="22"/>
          <w:lang w:val="bg-BG"/>
        </w:rPr>
        <w:t>,</w:t>
      </w:r>
      <w:r w:rsidRPr="00BC513A">
        <w:rPr>
          <w:sz w:val="22"/>
          <w:szCs w:val="22"/>
          <w:lang w:val="bg-BG"/>
        </w:rPr>
        <w:t xml:space="preserve"> свързани с релевантността на мерките и изпълнението</w:t>
      </w:r>
      <w:r w:rsidR="0048724F">
        <w:rPr>
          <w:sz w:val="22"/>
          <w:szCs w:val="22"/>
          <w:lang w:val="bg-BG"/>
        </w:rPr>
        <w:t>,</w:t>
      </w:r>
      <w:r w:rsidRPr="00BC513A">
        <w:rPr>
          <w:sz w:val="22"/>
          <w:szCs w:val="22"/>
          <w:lang w:val="bg-BG"/>
        </w:rPr>
        <w:t xml:space="preserve"> са коментирани от гледна точка на това доколко са били п</w:t>
      </w:r>
      <w:r>
        <w:rPr>
          <w:sz w:val="22"/>
          <w:szCs w:val="22"/>
          <w:lang w:val="bg-BG"/>
        </w:rPr>
        <w:t>редпоставка за постигане или не</w:t>
      </w:r>
      <w:r w:rsidRPr="00BC513A">
        <w:rPr>
          <w:sz w:val="22"/>
          <w:szCs w:val="22"/>
          <w:lang w:val="bg-BG"/>
        </w:rPr>
        <w:t xml:space="preserve">постигане на планираните цели. </w:t>
      </w:r>
    </w:p>
    <w:p w14:paraId="49601374" w14:textId="77777777" w:rsidR="004D4F2D" w:rsidRPr="00853992" w:rsidRDefault="004D4F2D" w:rsidP="004D4F2D">
      <w:pPr>
        <w:pStyle w:val="DefaultText"/>
        <w:keepNext/>
        <w:shd w:val="clear" w:color="auto" w:fill="DEEAF6" w:themeFill="accent1" w:themeFillTint="33"/>
        <w:spacing w:before="240" w:after="120" w:line="300" w:lineRule="atLeast"/>
        <w:ind w:firstLine="567"/>
        <w:rPr>
          <w:rFonts w:cs="Arial"/>
          <w:b/>
          <w:bCs/>
          <w:sz w:val="22"/>
          <w:szCs w:val="22"/>
          <w:lang w:val="bg-BG"/>
        </w:rPr>
      </w:pPr>
      <w:r w:rsidRPr="00853992">
        <w:rPr>
          <w:rFonts w:cs="Arial"/>
          <w:b/>
          <w:bCs/>
          <w:sz w:val="22"/>
          <w:szCs w:val="22"/>
          <w:lang w:val="bg-BG"/>
        </w:rPr>
        <w:t>Подход и методи за осъществяване на оценката</w:t>
      </w:r>
    </w:p>
    <w:p w14:paraId="05D72A54" w14:textId="77777777" w:rsidR="004D4F2D" w:rsidRPr="00BC513A" w:rsidRDefault="004D4F2D" w:rsidP="004D4F2D">
      <w:pPr>
        <w:pStyle w:val="DefaultText"/>
        <w:spacing w:after="120" w:line="300" w:lineRule="atLeast"/>
        <w:ind w:firstLine="709"/>
        <w:rPr>
          <w:sz w:val="22"/>
          <w:szCs w:val="22"/>
          <w:lang w:val="bg-BG"/>
        </w:rPr>
      </w:pPr>
      <w:r>
        <w:rPr>
          <w:sz w:val="22"/>
          <w:szCs w:val="22"/>
          <w:lang w:val="bg-BG"/>
        </w:rPr>
        <w:t>Поради кратките срокове н</w:t>
      </w:r>
      <w:r w:rsidR="00427B7E">
        <w:rPr>
          <w:sz w:val="22"/>
          <w:szCs w:val="22"/>
          <w:lang w:val="bg-BG"/>
        </w:rPr>
        <w:t>а</w:t>
      </w:r>
      <w:r>
        <w:rPr>
          <w:sz w:val="22"/>
          <w:szCs w:val="22"/>
          <w:lang w:val="bg-BG"/>
        </w:rPr>
        <w:t xml:space="preserve"> изпълнение</w:t>
      </w:r>
      <w:r>
        <w:rPr>
          <w:rStyle w:val="FootnoteReference"/>
          <w:sz w:val="22"/>
          <w:szCs w:val="22"/>
          <w:lang w:val="bg-BG"/>
        </w:rPr>
        <w:footnoteReference w:id="1"/>
      </w:r>
      <w:r>
        <w:rPr>
          <w:sz w:val="22"/>
          <w:szCs w:val="22"/>
          <w:lang w:val="bg-BG"/>
        </w:rPr>
        <w:t xml:space="preserve"> о</w:t>
      </w:r>
      <w:r w:rsidRPr="00BC513A">
        <w:rPr>
          <w:sz w:val="22"/>
          <w:szCs w:val="22"/>
          <w:lang w:val="bg-BG"/>
        </w:rPr>
        <w:t xml:space="preserve">ценката е осъществена предимно на базата </w:t>
      </w:r>
      <w:r w:rsidRPr="009F0E7F">
        <w:rPr>
          <w:b/>
          <w:sz w:val="22"/>
          <w:szCs w:val="22"/>
          <w:lang w:val="bg-BG"/>
        </w:rPr>
        <w:t>кабинетно проучване</w:t>
      </w:r>
      <w:r w:rsidRPr="003B417B">
        <w:rPr>
          <w:sz w:val="22"/>
          <w:szCs w:val="22"/>
          <w:lang w:val="bg-BG"/>
        </w:rPr>
        <w:t xml:space="preserve"> </w:t>
      </w:r>
      <w:r w:rsidRPr="00BC513A">
        <w:rPr>
          <w:sz w:val="22"/>
          <w:szCs w:val="22"/>
          <w:lang w:val="bg-BG"/>
        </w:rPr>
        <w:t>на наличната информация</w:t>
      </w:r>
      <w:r>
        <w:rPr>
          <w:sz w:val="22"/>
          <w:szCs w:val="22"/>
          <w:lang w:val="bg-BG"/>
        </w:rPr>
        <w:t>,</w:t>
      </w:r>
      <w:r w:rsidRPr="00BC513A">
        <w:rPr>
          <w:sz w:val="22"/>
          <w:szCs w:val="22"/>
          <w:lang w:val="bg-BG"/>
        </w:rPr>
        <w:t xml:space="preserve"> събирана както част от системата за мониторинг и изложена в годишните доклади за изпълнение на </w:t>
      </w:r>
      <w:r w:rsidR="006C1D34">
        <w:rPr>
          <w:sz w:val="22"/>
          <w:szCs w:val="22"/>
          <w:lang w:val="bg-BG"/>
        </w:rPr>
        <w:t>п</w:t>
      </w:r>
      <w:r w:rsidRPr="00BC513A">
        <w:rPr>
          <w:sz w:val="22"/>
          <w:szCs w:val="22"/>
          <w:lang w:val="bg-BG"/>
        </w:rPr>
        <w:t>рограмата</w:t>
      </w:r>
      <w:r w:rsidR="00F14A1C">
        <w:rPr>
          <w:sz w:val="22"/>
          <w:szCs w:val="22"/>
          <w:lang w:val="bg-BG"/>
        </w:rPr>
        <w:t>,</w:t>
      </w:r>
      <w:r w:rsidRPr="00BC513A">
        <w:rPr>
          <w:sz w:val="22"/>
          <w:szCs w:val="22"/>
          <w:lang w:val="bg-BG"/>
        </w:rPr>
        <w:t xml:space="preserve"> както и </w:t>
      </w:r>
      <w:r>
        <w:rPr>
          <w:sz w:val="22"/>
          <w:szCs w:val="22"/>
          <w:lang w:val="bg-BG"/>
        </w:rPr>
        <w:t xml:space="preserve">на база на </w:t>
      </w:r>
      <w:r w:rsidRPr="00BC513A">
        <w:rPr>
          <w:sz w:val="22"/>
          <w:szCs w:val="22"/>
          <w:lang w:val="bg-BG"/>
        </w:rPr>
        <w:t xml:space="preserve">данните за </w:t>
      </w:r>
      <w:r w:rsidRPr="009F0E7F">
        <w:rPr>
          <w:b/>
          <w:sz w:val="22"/>
          <w:szCs w:val="22"/>
          <w:lang w:val="bg-BG"/>
        </w:rPr>
        <w:t>постигнатите стойности на индикаторите</w:t>
      </w:r>
      <w:r>
        <w:rPr>
          <w:sz w:val="22"/>
          <w:szCs w:val="22"/>
          <w:lang w:val="bg-BG"/>
        </w:rPr>
        <w:t>,</w:t>
      </w:r>
      <w:r w:rsidRPr="00BC513A">
        <w:rPr>
          <w:sz w:val="22"/>
          <w:szCs w:val="22"/>
          <w:lang w:val="bg-BG"/>
        </w:rPr>
        <w:t xml:space="preserve"> предоставени от </w:t>
      </w:r>
      <w:r>
        <w:rPr>
          <w:sz w:val="22"/>
          <w:szCs w:val="22"/>
          <w:lang w:val="bg-BG"/>
        </w:rPr>
        <w:t>Държавен фонд земеделие</w:t>
      </w:r>
      <w:r w:rsidRPr="00BC513A">
        <w:rPr>
          <w:sz w:val="22"/>
          <w:szCs w:val="22"/>
          <w:lang w:val="bg-BG"/>
        </w:rPr>
        <w:t xml:space="preserve">. В допълнение </w:t>
      </w:r>
      <w:r>
        <w:rPr>
          <w:sz w:val="22"/>
          <w:szCs w:val="22"/>
          <w:lang w:val="bg-BG"/>
        </w:rPr>
        <w:t xml:space="preserve">са ползвани различни </w:t>
      </w:r>
      <w:r w:rsidRPr="009F0E7F">
        <w:rPr>
          <w:b/>
          <w:sz w:val="22"/>
          <w:szCs w:val="22"/>
          <w:lang w:val="bg-BG"/>
        </w:rPr>
        <w:t>видове доклади и анализи</w:t>
      </w:r>
      <w:r>
        <w:rPr>
          <w:sz w:val="22"/>
          <w:szCs w:val="22"/>
          <w:lang w:val="bg-BG"/>
        </w:rPr>
        <w:t xml:space="preserve"> и</w:t>
      </w:r>
      <w:r w:rsidRPr="00BC513A">
        <w:rPr>
          <w:sz w:val="22"/>
          <w:szCs w:val="22"/>
          <w:lang w:val="bg-BG"/>
        </w:rPr>
        <w:t xml:space="preserve"> </w:t>
      </w:r>
      <w:r w:rsidRPr="009F0E7F">
        <w:rPr>
          <w:b/>
          <w:sz w:val="22"/>
          <w:szCs w:val="22"/>
          <w:lang w:val="bg-BG"/>
        </w:rPr>
        <w:t>публично-налична информация</w:t>
      </w:r>
      <w:r w:rsidRPr="00BC513A">
        <w:rPr>
          <w:sz w:val="22"/>
          <w:szCs w:val="22"/>
          <w:lang w:val="bg-BG"/>
        </w:rPr>
        <w:t xml:space="preserve"> относно </w:t>
      </w:r>
      <w:r>
        <w:rPr>
          <w:sz w:val="22"/>
          <w:szCs w:val="22"/>
          <w:lang w:val="bg-BG"/>
        </w:rPr>
        <w:t xml:space="preserve">стратегически и нормативни </w:t>
      </w:r>
      <w:r w:rsidRPr="00BC513A">
        <w:rPr>
          <w:sz w:val="22"/>
          <w:szCs w:val="22"/>
          <w:lang w:val="bg-BG"/>
        </w:rPr>
        <w:t>европейски, национални, регионални и общински планове за развитие</w:t>
      </w:r>
      <w:r>
        <w:rPr>
          <w:sz w:val="22"/>
          <w:szCs w:val="22"/>
          <w:lang w:val="bg-BG"/>
        </w:rPr>
        <w:t>, данни от националната статистика, агростатистика и Евростат,</w:t>
      </w:r>
      <w:r w:rsidRPr="00BC513A">
        <w:rPr>
          <w:sz w:val="22"/>
          <w:szCs w:val="22"/>
          <w:lang w:val="bg-BG"/>
        </w:rPr>
        <w:t xml:space="preserve"> както и одитни доклади на Сметната палата.</w:t>
      </w:r>
    </w:p>
    <w:p w14:paraId="2A7F7C2F" w14:textId="77777777" w:rsidR="004D4F2D" w:rsidRPr="00BC513A" w:rsidRDefault="004D4F2D" w:rsidP="004D4F2D">
      <w:pPr>
        <w:pStyle w:val="DefaultText"/>
        <w:spacing w:after="120" w:line="300" w:lineRule="atLeast"/>
        <w:ind w:firstLine="709"/>
        <w:rPr>
          <w:sz w:val="22"/>
          <w:szCs w:val="22"/>
          <w:lang w:val="bg-BG"/>
        </w:rPr>
      </w:pPr>
      <w:r w:rsidRPr="00BC513A">
        <w:rPr>
          <w:sz w:val="22"/>
          <w:szCs w:val="22"/>
          <w:lang w:val="bg-BG"/>
        </w:rPr>
        <w:t xml:space="preserve">Допълнителна информация е набавена по време на оценката чрез провеждане на </w:t>
      </w:r>
      <w:r w:rsidRPr="009F0E7F">
        <w:rPr>
          <w:b/>
          <w:sz w:val="22"/>
          <w:szCs w:val="22"/>
          <w:lang w:val="bg-BG"/>
        </w:rPr>
        <w:t>срещи/интервюта</w:t>
      </w:r>
      <w:r w:rsidRPr="00BC513A">
        <w:rPr>
          <w:sz w:val="22"/>
          <w:szCs w:val="22"/>
          <w:lang w:val="bg-BG"/>
        </w:rPr>
        <w:t xml:space="preserve"> с представители на </w:t>
      </w:r>
      <w:r>
        <w:rPr>
          <w:sz w:val="22"/>
          <w:szCs w:val="22"/>
          <w:lang w:val="bg-BG"/>
        </w:rPr>
        <w:t>Управляващия орган</w:t>
      </w:r>
      <w:r w:rsidRPr="00BC513A">
        <w:rPr>
          <w:sz w:val="22"/>
          <w:szCs w:val="22"/>
          <w:lang w:val="bg-BG"/>
        </w:rPr>
        <w:t xml:space="preserve">, </w:t>
      </w:r>
      <w:r>
        <w:rPr>
          <w:sz w:val="22"/>
          <w:szCs w:val="22"/>
          <w:lang w:val="bg-BG"/>
        </w:rPr>
        <w:t>Държавен фонд земеделие,</w:t>
      </w:r>
      <w:r w:rsidRPr="00BC513A">
        <w:rPr>
          <w:sz w:val="22"/>
          <w:szCs w:val="22"/>
          <w:lang w:val="bg-BG"/>
        </w:rPr>
        <w:t xml:space="preserve"> членове на Комитета за наблюдение</w:t>
      </w:r>
      <w:r>
        <w:rPr>
          <w:sz w:val="22"/>
          <w:szCs w:val="22"/>
          <w:lang w:val="bg-BG"/>
        </w:rPr>
        <w:t xml:space="preserve"> и Националното сдружение на общините в България.</w:t>
      </w:r>
    </w:p>
    <w:p w14:paraId="77CBDC3B" w14:textId="3DFAE7A6" w:rsidR="004D4F2D" w:rsidRPr="00BC513A" w:rsidRDefault="004D4F2D" w:rsidP="004D4F2D">
      <w:pPr>
        <w:pStyle w:val="DefaultText"/>
        <w:spacing w:after="120" w:line="300" w:lineRule="atLeast"/>
        <w:ind w:firstLine="709"/>
        <w:rPr>
          <w:sz w:val="22"/>
          <w:szCs w:val="22"/>
          <w:lang w:val="bg-BG"/>
        </w:rPr>
      </w:pPr>
      <w:r w:rsidRPr="00BC513A">
        <w:rPr>
          <w:sz w:val="22"/>
          <w:szCs w:val="22"/>
          <w:lang w:val="bg-BG"/>
        </w:rPr>
        <w:t xml:space="preserve">Като част от анализите по ос 1 и ос 4 са проведени две </w:t>
      </w:r>
      <w:r w:rsidRPr="009F0E7F">
        <w:rPr>
          <w:b/>
          <w:sz w:val="22"/>
          <w:szCs w:val="22"/>
          <w:lang w:val="bg-BG"/>
        </w:rPr>
        <w:t>фокус групи</w:t>
      </w:r>
      <w:r w:rsidRPr="00BC513A">
        <w:rPr>
          <w:sz w:val="22"/>
          <w:szCs w:val="22"/>
          <w:lang w:val="bg-BG"/>
        </w:rPr>
        <w:t xml:space="preserve"> с представители на браншови организации (по ос 1) и представители на </w:t>
      </w:r>
      <w:r w:rsidR="00A05E77">
        <w:rPr>
          <w:sz w:val="22"/>
          <w:szCs w:val="22"/>
          <w:lang w:val="bg-BG"/>
        </w:rPr>
        <w:t>Местните инициативни групи</w:t>
      </w:r>
      <w:r w:rsidRPr="00BC513A">
        <w:rPr>
          <w:sz w:val="22"/>
          <w:szCs w:val="22"/>
          <w:lang w:val="bg-BG"/>
        </w:rPr>
        <w:t xml:space="preserve"> (ос 4).</w:t>
      </w:r>
    </w:p>
    <w:p w14:paraId="62CCB65F" w14:textId="77777777" w:rsidR="004D4F2D" w:rsidRDefault="004D4F2D" w:rsidP="004D4F2D">
      <w:pPr>
        <w:pStyle w:val="DefaultText"/>
        <w:spacing w:after="120" w:line="300" w:lineRule="atLeast"/>
        <w:ind w:firstLine="709"/>
        <w:rPr>
          <w:sz w:val="22"/>
          <w:szCs w:val="22"/>
          <w:lang w:val="bg-BG"/>
        </w:rPr>
      </w:pPr>
      <w:r w:rsidRPr="00853992">
        <w:rPr>
          <w:sz w:val="22"/>
          <w:szCs w:val="22"/>
          <w:lang w:val="bg-BG"/>
        </w:rPr>
        <w:lastRenderedPageBreak/>
        <w:t xml:space="preserve">Анализите по ос 3 са подкрепени с информацията, получена от </w:t>
      </w:r>
      <w:r w:rsidRPr="009F0E7F">
        <w:rPr>
          <w:b/>
          <w:sz w:val="22"/>
          <w:szCs w:val="22"/>
          <w:lang w:val="bg-BG"/>
        </w:rPr>
        <w:t>онлайн проучване</w:t>
      </w:r>
      <w:r w:rsidRPr="00BC513A">
        <w:rPr>
          <w:sz w:val="22"/>
          <w:szCs w:val="22"/>
          <w:lang w:val="bg-BG"/>
        </w:rPr>
        <w:t xml:space="preserve"> сред селски общини, бенефициенти по мерки 313, 321 и 322. Във въпросника са включени и въпроси относно ефектите от изпълнението на мерките по ос 4 ЛИДЕР. Въпросникът е разпратен до 231 общини, от които са отговорили 47 общини (20% от респондентите).</w:t>
      </w:r>
      <w:r>
        <w:rPr>
          <w:sz w:val="22"/>
          <w:szCs w:val="22"/>
          <w:lang w:val="bg-BG"/>
        </w:rPr>
        <w:t xml:space="preserve"> </w:t>
      </w:r>
    </w:p>
    <w:p w14:paraId="627D4CED" w14:textId="2657FF55" w:rsidR="004D4F2D" w:rsidRDefault="004D4F2D" w:rsidP="004D4F2D">
      <w:pPr>
        <w:pStyle w:val="DefaultText"/>
        <w:spacing w:after="120" w:line="300" w:lineRule="atLeast"/>
        <w:ind w:firstLine="709"/>
        <w:rPr>
          <w:sz w:val="22"/>
          <w:szCs w:val="22"/>
          <w:lang w:val="bg-BG"/>
        </w:rPr>
      </w:pPr>
      <w:r>
        <w:rPr>
          <w:sz w:val="22"/>
          <w:szCs w:val="22"/>
          <w:lang w:val="bg-BG"/>
        </w:rPr>
        <w:t xml:space="preserve">Допълнително през м. януари 2018 г. </w:t>
      </w:r>
      <w:r w:rsidR="00F66018">
        <w:rPr>
          <w:sz w:val="22"/>
          <w:szCs w:val="22"/>
          <w:lang w:val="bg-BG"/>
        </w:rPr>
        <w:t>с</w:t>
      </w:r>
      <w:r w:rsidR="009F288E">
        <w:rPr>
          <w:sz w:val="22"/>
          <w:szCs w:val="22"/>
          <w:lang w:val="bg-BG"/>
        </w:rPr>
        <w:t>а</w:t>
      </w:r>
      <w:r w:rsidR="00F66018">
        <w:rPr>
          <w:sz w:val="22"/>
          <w:szCs w:val="22"/>
          <w:lang w:val="bg-BG"/>
        </w:rPr>
        <w:t xml:space="preserve"> прове</w:t>
      </w:r>
      <w:r w:rsidR="009F288E">
        <w:rPr>
          <w:sz w:val="22"/>
          <w:szCs w:val="22"/>
          <w:lang w:val="bg-BG"/>
        </w:rPr>
        <w:t>дени</w:t>
      </w:r>
      <w:r>
        <w:rPr>
          <w:sz w:val="22"/>
          <w:szCs w:val="22"/>
          <w:lang w:val="bg-BG"/>
        </w:rPr>
        <w:t xml:space="preserve"> </w:t>
      </w:r>
      <w:r w:rsidRPr="009F0E7F">
        <w:rPr>
          <w:b/>
          <w:sz w:val="22"/>
          <w:szCs w:val="22"/>
          <w:lang w:val="bg-BG"/>
        </w:rPr>
        <w:t>теренни проучвания</w:t>
      </w:r>
      <w:r>
        <w:rPr>
          <w:sz w:val="22"/>
          <w:szCs w:val="22"/>
          <w:lang w:val="bg-BG"/>
        </w:rPr>
        <w:t xml:space="preserve"> сред бенефициенти по ос 2 и по мерки 311 и 312</w:t>
      </w:r>
      <w:r w:rsidR="00F66018">
        <w:rPr>
          <w:sz w:val="22"/>
          <w:szCs w:val="22"/>
          <w:lang w:val="bg-BG"/>
        </w:rPr>
        <w:t xml:space="preserve">, </w:t>
      </w:r>
      <w:r w:rsidR="00E85BCC">
        <w:rPr>
          <w:sz w:val="22"/>
          <w:szCs w:val="22"/>
          <w:lang w:val="bg-BG"/>
        </w:rPr>
        <w:t xml:space="preserve">резултатите от </w:t>
      </w:r>
      <w:r w:rsidR="009F288E">
        <w:rPr>
          <w:sz w:val="22"/>
          <w:szCs w:val="22"/>
          <w:lang w:val="bg-BG"/>
        </w:rPr>
        <w:t>които са</w:t>
      </w:r>
      <w:r w:rsidR="00F66018">
        <w:rPr>
          <w:sz w:val="22"/>
          <w:szCs w:val="22"/>
          <w:lang w:val="bg-BG"/>
        </w:rPr>
        <w:t xml:space="preserve"> отразени в окончателната версия на доклада</w:t>
      </w:r>
      <w:r>
        <w:rPr>
          <w:sz w:val="22"/>
          <w:szCs w:val="22"/>
          <w:lang w:val="bg-BG"/>
        </w:rPr>
        <w:t xml:space="preserve">. </w:t>
      </w:r>
    </w:p>
    <w:p w14:paraId="7BFD07F2" w14:textId="77777777" w:rsidR="004D4F2D" w:rsidRDefault="004D4F2D" w:rsidP="004D4F2D">
      <w:pPr>
        <w:pStyle w:val="DefaultText"/>
        <w:spacing w:after="120" w:line="300" w:lineRule="atLeast"/>
        <w:ind w:firstLine="709"/>
        <w:rPr>
          <w:sz w:val="22"/>
          <w:szCs w:val="22"/>
          <w:lang w:val="bg-BG"/>
        </w:rPr>
      </w:pPr>
      <w:r w:rsidRPr="009F0E7F">
        <w:rPr>
          <w:b/>
          <w:sz w:val="22"/>
          <w:szCs w:val="22"/>
          <w:lang w:val="bg-BG"/>
        </w:rPr>
        <w:t>Методите за анализ</w:t>
      </w:r>
      <w:r w:rsidRPr="00BC513A">
        <w:rPr>
          <w:sz w:val="22"/>
          <w:szCs w:val="22"/>
          <w:lang w:val="bg-BG"/>
        </w:rPr>
        <w:t>, които са използвани</w:t>
      </w:r>
      <w:r w:rsidR="00E85BCC">
        <w:rPr>
          <w:sz w:val="22"/>
          <w:szCs w:val="22"/>
          <w:lang w:val="bg-BG"/>
        </w:rPr>
        <w:t>,</w:t>
      </w:r>
      <w:r w:rsidRPr="00BC513A">
        <w:rPr>
          <w:sz w:val="22"/>
          <w:szCs w:val="22"/>
          <w:lang w:val="bg-BG"/>
        </w:rPr>
        <w:t xml:space="preserve"> са продиктувани основно от наличната информация и цели на оценката и включват:</w:t>
      </w:r>
      <w:r>
        <w:rPr>
          <w:sz w:val="22"/>
          <w:szCs w:val="22"/>
          <w:lang w:val="bg-BG"/>
        </w:rPr>
        <w:t xml:space="preserve"> </w:t>
      </w:r>
      <w:r w:rsidRPr="009F0E7F">
        <w:rPr>
          <w:sz w:val="22"/>
          <w:szCs w:val="22"/>
          <w:lang w:val="bg-BG"/>
        </w:rPr>
        <w:t>анализ на заинтересованите страни; анализ на логиката на интервенция; анализ на индикатори; финансов анализ; анализ на приноса и експертен анализ на постигнатите въздействия.</w:t>
      </w:r>
    </w:p>
    <w:p w14:paraId="3526C5AD" w14:textId="77777777" w:rsidR="004D4F2D" w:rsidRPr="00BC513A" w:rsidRDefault="004D4F2D" w:rsidP="004D4F2D">
      <w:pPr>
        <w:pStyle w:val="DefaultText"/>
        <w:spacing w:after="120" w:line="300" w:lineRule="atLeast"/>
        <w:ind w:firstLine="709"/>
        <w:rPr>
          <w:sz w:val="22"/>
          <w:szCs w:val="22"/>
          <w:lang w:val="bg-BG"/>
        </w:rPr>
      </w:pPr>
      <w:r w:rsidRPr="00BC513A">
        <w:rPr>
          <w:sz w:val="22"/>
          <w:szCs w:val="22"/>
          <w:lang w:val="bg-BG"/>
        </w:rPr>
        <w:t xml:space="preserve">Основните </w:t>
      </w:r>
      <w:r w:rsidRPr="009F0E7F">
        <w:rPr>
          <w:b/>
          <w:sz w:val="22"/>
          <w:szCs w:val="22"/>
          <w:lang w:val="bg-BG"/>
        </w:rPr>
        <w:t>ограничения на методологическия подход</w:t>
      </w:r>
      <w:r w:rsidRPr="00BC513A">
        <w:rPr>
          <w:sz w:val="22"/>
          <w:szCs w:val="22"/>
          <w:lang w:val="bg-BG"/>
        </w:rPr>
        <w:t xml:space="preserve"> произтичат от изключително кратките срокове за изпълнение на оценката, които не дават възможност за набиране на </w:t>
      </w:r>
      <w:r w:rsidR="00E85BCC">
        <w:rPr>
          <w:sz w:val="22"/>
          <w:szCs w:val="22"/>
          <w:lang w:val="bg-BG"/>
        </w:rPr>
        <w:t>по-голям</w:t>
      </w:r>
      <w:r w:rsidRPr="00BC513A">
        <w:rPr>
          <w:sz w:val="22"/>
          <w:szCs w:val="22"/>
          <w:lang w:val="bg-BG"/>
        </w:rPr>
        <w:t xml:space="preserve"> обем допълнителна информация от тази, с която вече се  разполага, ка</w:t>
      </w:r>
      <w:r w:rsidR="00CC2E36">
        <w:rPr>
          <w:sz w:val="22"/>
          <w:szCs w:val="22"/>
          <w:lang w:val="bg-BG"/>
        </w:rPr>
        <w:t>к</w:t>
      </w:r>
      <w:r w:rsidRPr="00BC513A">
        <w:rPr>
          <w:sz w:val="22"/>
          <w:szCs w:val="22"/>
          <w:lang w:val="bg-BG"/>
        </w:rPr>
        <w:t xml:space="preserve">то и възможност за </w:t>
      </w:r>
      <w:r>
        <w:rPr>
          <w:sz w:val="22"/>
          <w:szCs w:val="22"/>
          <w:lang w:val="bg-BG"/>
        </w:rPr>
        <w:t xml:space="preserve">по-пълно </w:t>
      </w:r>
      <w:r w:rsidRPr="00BC513A">
        <w:rPr>
          <w:sz w:val="22"/>
          <w:szCs w:val="22"/>
          <w:lang w:val="bg-BG"/>
        </w:rPr>
        <w:t xml:space="preserve">наблюдаване и оценка на ефектите на място. </w:t>
      </w:r>
    </w:p>
    <w:p w14:paraId="2B7A53F1" w14:textId="77777777" w:rsidR="004D4F2D" w:rsidRPr="00853992" w:rsidRDefault="004D4F2D" w:rsidP="004D4F2D">
      <w:pPr>
        <w:pStyle w:val="DefaultText"/>
        <w:keepNext/>
        <w:shd w:val="clear" w:color="auto" w:fill="DEEAF6" w:themeFill="accent1" w:themeFillTint="33"/>
        <w:spacing w:before="240" w:after="120" w:line="300" w:lineRule="atLeast"/>
        <w:ind w:firstLine="567"/>
        <w:rPr>
          <w:rFonts w:cs="Arial"/>
          <w:b/>
          <w:bCs/>
          <w:sz w:val="22"/>
          <w:szCs w:val="22"/>
          <w:lang w:val="bg-BG"/>
        </w:rPr>
      </w:pPr>
      <w:r>
        <w:rPr>
          <w:rFonts w:cs="Arial"/>
          <w:b/>
          <w:bCs/>
          <w:sz w:val="22"/>
          <w:szCs w:val="22"/>
          <w:lang w:val="bg-BG"/>
        </w:rPr>
        <w:t>Съдържание на доклада за оценка</w:t>
      </w:r>
    </w:p>
    <w:p w14:paraId="0EF31314" w14:textId="77777777" w:rsidR="004D4F2D" w:rsidRPr="00BC513A" w:rsidRDefault="004D4F2D" w:rsidP="004D4F2D">
      <w:pPr>
        <w:pStyle w:val="DefaultText"/>
        <w:spacing w:after="120" w:line="300" w:lineRule="atLeast"/>
        <w:ind w:firstLine="708"/>
        <w:rPr>
          <w:sz w:val="22"/>
          <w:szCs w:val="22"/>
          <w:lang w:val="bg-BG"/>
        </w:rPr>
      </w:pPr>
      <w:r w:rsidRPr="00BC513A">
        <w:rPr>
          <w:sz w:val="22"/>
          <w:szCs w:val="22"/>
          <w:lang w:val="bg-BG"/>
        </w:rPr>
        <w:t xml:space="preserve">Докладът е структуриран в </w:t>
      </w:r>
      <w:r w:rsidRPr="00BC513A">
        <w:rPr>
          <w:b/>
          <w:sz w:val="22"/>
          <w:szCs w:val="22"/>
          <w:lang w:val="bg-BG"/>
        </w:rPr>
        <w:t>6 раздела</w:t>
      </w:r>
      <w:r w:rsidRPr="00BC513A">
        <w:rPr>
          <w:sz w:val="22"/>
          <w:szCs w:val="22"/>
          <w:lang w:val="bg-BG"/>
        </w:rPr>
        <w:t xml:space="preserve"> съгласно техническата спецификация на Възложителя и съгласно Ръководство за последваща оценка на програмите за развитие на селските райони (2007-2013 г.), изготвено от Европейската мрежа за оценка на развитието на селските райони</w:t>
      </w:r>
      <w:r w:rsidRPr="00BC513A">
        <w:rPr>
          <w:rStyle w:val="FootnoteReference"/>
          <w:sz w:val="22"/>
          <w:szCs w:val="22"/>
          <w:lang w:val="bg-BG"/>
        </w:rPr>
        <w:footnoteReference w:id="2"/>
      </w:r>
      <w:r w:rsidRPr="00BC513A">
        <w:rPr>
          <w:sz w:val="22"/>
          <w:szCs w:val="22"/>
          <w:lang w:val="bg-BG"/>
        </w:rPr>
        <w:t>.</w:t>
      </w:r>
    </w:p>
    <w:p w14:paraId="1E2FA788" w14:textId="77777777" w:rsidR="004D4F2D" w:rsidRPr="00BC513A" w:rsidRDefault="004D4F2D" w:rsidP="004D4F2D">
      <w:pPr>
        <w:pStyle w:val="DefaultText"/>
        <w:spacing w:after="120" w:line="300" w:lineRule="atLeast"/>
        <w:ind w:firstLine="709"/>
        <w:rPr>
          <w:b/>
          <w:sz w:val="22"/>
          <w:szCs w:val="22"/>
          <w:lang w:val="bg-BG"/>
        </w:rPr>
      </w:pPr>
      <w:r w:rsidRPr="00BC513A">
        <w:rPr>
          <w:sz w:val="22"/>
          <w:szCs w:val="22"/>
          <w:lang w:val="bg-BG"/>
        </w:rPr>
        <w:t>Въвеждаща информация относно предмета на доклада и неговото съдържание</w:t>
      </w:r>
      <w:r w:rsidRPr="00BC513A">
        <w:rPr>
          <w:b/>
          <w:sz w:val="22"/>
          <w:szCs w:val="22"/>
          <w:lang w:val="bg-BG"/>
        </w:rPr>
        <w:t xml:space="preserve"> </w:t>
      </w:r>
      <w:r w:rsidRPr="004D4F2D">
        <w:rPr>
          <w:sz w:val="22"/>
          <w:szCs w:val="22"/>
          <w:lang w:val="bg-BG"/>
        </w:rPr>
        <w:t>е представена в</w:t>
      </w:r>
      <w:r w:rsidRPr="00BC513A">
        <w:rPr>
          <w:b/>
          <w:sz w:val="22"/>
          <w:szCs w:val="22"/>
          <w:lang w:val="bg-BG"/>
        </w:rPr>
        <w:t xml:space="preserve"> Раздел I. </w:t>
      </w:r>
    </w:p>
    <w:p w14:paraId="253AC7E7" w14:textId="77777777" w:rsidR="004D4F2D" w:rsidRPr="00BC513A" w:rsidRDefault="004D4F2D" w:rsidP="004D4F2D">
      <w:pPr>
        <w:pStyle w:val="DefaultText"/>
        <w:spacing w:after="120" w:line="300" w:lineRule="atLeast"/>
        <w:ind w:firstLine="709"/>
        <w:rPr>
          <w:sz w:val="22"/>
          <w:szCs w:val="22"/>
          <w:lang w:val="bg-BG"/>
        </w:rPr>
      </w:pPr>
      <w:r w:rsidRPr="00BC513A">
        <w:rPr>
          <w:sz w:val="22"/>
          <w:szCs w:val="22"/>
          <w:lang w:val="bg-BG"/>
        </w:rPr>
        <w:t xml:space="preserve">В </w:t>
      </w:r>
      <w:r w:rsidRPr="00BC513A">
        <w:rPr>
          <w:b/>
          <w:sz w:val="22"/>
          <w:szCs w:val="22"/>
          <w:lang w:val="bg-BG"/>
        </w:rPr>
        <w:t>Раздел II</w:t>
      </w:r>
      <w:r w:rsidRPr="00BC513A">
        <w:rPr>
          <w:sz w:val="22"/>
          <w:szCs w:val="22"/>
          <w:lang w:val="bg-BG"/>
        </w:rPr>
        <w:t xml:space="preserve"> е представена </w:t>
      </w:r>
      <w:r>
        <w:rPr>
          <w:sz w:val="22"/>
          <w:szCs w:val="22"/>
          <w:lang w:val="bg-BG"/>
        </w:rPr>
        <w:t>Програмата за развитие на селските райони</w:t>
      </w:r>
      <w:r w:rsidRPr="00BC513A">
        <w:rPr>
          <w:sz w:val="22"/>
          <w:szCs w:val="22"/>
          <w:lang w:val="bg-BG"/>
        </w:rPr>
        <w:t xml:space="preserve"> 2007-2013, целите и обхвата на оценката и предходни оценки на </w:t>
      </w:r>
      <w:r w:rsidR="006C1D34">
        <w:rPr>
          <w:sz w:val="22"/>
          <w:szCs w:val="22"/>
          <w:lang w:val="bg-BG"/>
        </w:rPr>
        <w:t>п</w:t>
      </w:r>
      <w:r w:rsidRPr="00BC513A">
        <w:rPr>
          <w:sz w:val="22"/>
          <w:szCs w:val="22"/>
          <w:lang w:val="bg-BG"/>
        </w:rPr>
        <w:t xml:space="preserve">рограмата. </w:t>
      </w:r>
    </w:p>
    <w:p w14:paraId="5B13A4EF" w14:textId="77777777" w:rsidR="004D4F2D" w:rsidRPr="00BC513A" w:rsidRDefault="004D4F2D" w:rsidP="004D4F2D">
      <w:pPr>
        <w:pStyle w:val="DefaultText"/>
        <w:spacing w:after="120" w:line="300" w:lineRule="atLeast"/>
        <w:ind w:firstLine="709"/>
        <w:rPr>
          <w:sz w:val="22"/>
          <w:szCs w:val="22"/>
          <w:lang w:val="bg-BG"/>
        </w:rPr>
      </w:pPr>
      <w:r w:rsidRPr="00BC513A">
        <w:rPr>
          <w:b/>
          <w:sz w:val="22"/>
          <w:szCs w:val="22"/>
          <w:lang w:val="bg-BG"/>
        </w:rPr>
        <w:t>Раздел III</w:t>
      </w:r>
      <w:r w:rsidRPr="00BC513A">
        <w:rPr>
          <w:sz w:val="22"/>
          <w:szCs w:val="22"/>
          <w:lang w:val="bg-BG"/>
        </w:rPr>
        <w:t xml:space="preserve"> представя методологическия подход за осъществяване на оценката и неговите ограничения. </w:t>
      </w:r>
    </w:p>
    <w:p w14:paraId="1BAB519F" w14:textId="77777777" w:rsidR="004D4F2D" w:rsidRPr="00BC513A" w:rsidRDefault="004D4F2D" w:rsidP="004D4F2D">
      <w:pPr>
        <w:pStyle w:val="DefaultText"/>
        <w:spacing w:after="120" w:line="300" w:lineRule="atLeast"/>
        <w:ind w:firstLine="709"/>
        <w:rPr>
          <w:sz w:val="22"/>
          <w:szCs w:val="22"/>
          <w:lang w:val="bg-BG"/>
        </w:rPr>
      </w:pPr>
      <w:r w:rsidRPr="00BC513A">
        <w:rPr>
          <w:b/>
          <w:sz w:val="22"/>
          <w:szCs w:val="22"/>
          <w:lang w:val="bg-BG"/>
        </w:rPr>
        <w:t>Раздел IV</w:t>
      </w:r>
      <w:r w:rsidRPr="00BC513A">
        <w:rPr>
          <w:sz w:val="22"/>
          <w:szCs w:val="22"/>
          <w:lang w:val="bg-BG"/>
        </w:rPr>
        <w:t xml:space="preserve"> коментира институционалната рамка за осъществяване на </w:t>
      </w:r>
      <w:r w:rsidR="006C1D34">
        <w:rPr>
          <w:sz w:val="22"/>
          <w:szCs w:val="22"/>
          <w:lang w:val="bg-BG"/>
        </w:rPr>
        <w:t>п</w:t>
      </w:r>
      <w:r w:rsidRPr="00BC513A">
        <w:rPr>
          <w:sz w:val="22"/>
          <w:szCs w:val="22"/>
          <w:lang w:val="bg-BG"/>
        </w:rPr>
        <w:t xml:space="preserve">рограмата, мерките и приоритетите, логиката на интервенция и финансовото изпълнение. </w:t>
      </w:r>
    </w:p>
    <w:p w14:paraId="166710B7" w14:textId="77777777" w:rsidR="004D4F2D" w:rsidRPr="00BC513A" w:rsidRDefault="004D4F2D" w:rsidP="004D4F2D">
      <w:pPr>
        <w:pStyle w:val="DefaultText"/>
        <w:spacing w:after="120" w:line="300" w:lineRule="atLeast"/>
        <w:ind w:firstLine="709"/>
        <w:rPr>
          <w:sz w:val="22"/>
          <w:szCs w:val="22"/>
          <w:lang w:val="bg-BG"/>
        </w:rPr>
      </w:pPr>
      <w:r w:rsidRPr="00BC513A">
        <w:rPr>
          <w:b/>
          <w:sz w:val="22"/>
          <w:szCs w:val="22"/>
          <w:lang w:val="bg-BG"/>
        </w:rPr>
        <w:t>Раздел V</w:t>
      </w:r>
      <w:r w:rsidRPr="00BC513A">
        <w:rPr>
          <w:sz w:val="22"/>
          <w:szCs w:val="22"/>
          <w:lang w:val="bg-BG"/>
        </w:rPr>
        <w:t xml:space="preserve"> дава отговори на оценителните въпроси и анализира постигането на целевите стойности на индикаторите.</w:t>
      </w:r>
    </w:p>
    <w:p w14:paraId="0AF8E8B1" w14:textId="77777777" w:rsidR="004D4F2D" w:rsidRPr="00BC513A" w:rsidRDefault="004D4F2D" w:rsidP="004D4F2D">
      <w:pPr>
        <w:pStyle w:val="DefaultText"/>
        <w:spacing w:after="120" w:line="300" w:lineRule="atLeast"/>
        <w:ind w:firstLine="708"/>
        <w:rPr>
          <w:sz w:val="22"/>
          <w:szCs w:val="22"/>
          <w:lang w:val="bg-BG"/>
        </w:rPr>
      </w:pPr>
      <w:r w:rsidRPr="00BC513A">
        <w:rPr>
          <w:sz w:val="22"/>
          <w:szCs w:val="22"/>
          <w:lang w:val="bg-BG"/>
        </w:rPr>
        <w:t xml:space="preserve">В </w:t>
      </w:r>
      <w:r w:rsidRPr="00BC513A">
        <w:rPr>
          <w:b/>
          <w:sz w:val="22"/>
          <w:szCs w:val="22"/>
          <w:lang w:val="bg-BG"/>
        </w:rPr>
        <w:t>Раздел VI</w:t>
      </w:r>
      <w:r w:rsidRPr="00BC513A">
        <w:rPr>
          <w:sz w:val="22"/>
          <w:szCs w:val="22"/>
          <w:lang w:val="bg-BG"/>
        </w:rPr>
        <w:t xml:space="preserve"> са представени заключенията и препоръките от оценката. </w:t>
      </w:r>
    </w:p>
    <w:p w14:paraId="0A038839" w14:textId="77777777" w:rsidR="004D4F2D" w:rsidRPr="00853992" w:rsidRDefault="004D4F2D" w:rsidP="004D4F2D">
      <w:pPr>
        <w:pStyle w:val="DefaultText"/>
        <w:keepNext/>
        <w:shd w:val="clear" w:color="auto" w:fill="DEEAF6" w:themeFill="accent1" w:themeFillTint="33"/>
        <w:spacing w:before="240" w:after="120" w:line="300" w:lineRule="atLeast"/>
        <w:ind w:firstLine="567"/>
        <w:rPr>
          <w:rFonts w:cs="Arial"/>
          <w:b/>
          <w:bCs/>
          <w:sz w:val="22"/>
          <w:szCs w:val="22"/>
          <w:lang w:val="bg-BG"/>
        </w:rPr>
      </w:pPr>
      <w:r>
        <w:rPr>
          <w:rFonts w:cs="Arial"/>
          <w:b/>
          <w:bCs/>
          <w:sz w:val="22"/>
          <w:szCs w:val="22"/>
          <w:lang w:val="bg-BG"/>
        </w:rPr>
        <w:t>Основни изводи и препоръки</w:t>
      </w:r>
    </w:p>
    <w:p w14:paraId="448DB5D8" w14:textId="77777777" w:rsidR="004D4F2D" w:rsidRPr="00CD7112" w:rsidRDefault="004D4F2D" w:rsidP="004D4F2D">
      <w:pPr>
        <w:pStyle w:val="DefaultText"/>
        <w:spacing w:after="120" w:line="300" w:lineRule="atLeast"/>
        <w:rPr>
          <w:b/>
          <w:color w:val="000000" w:themeColor="text1"/>
          <w:sz w:val="22"/>
          <w:szCs w:val="22"/>
          <w:lang w:val="bg-BG"/>
        </w:rPr>
      </w:pPr>
      <w:r w:rsidRPr="009F0E7F">
        <w:rPr>
          <w:sz w:val="22"/>
          <w:szCs w:val="22"/>
          <w:lang w:val="bg-BG"/>
        </w:rPr>
        <w:t xml:space="preserve">Съществува </w:t>
      </w:r>
      <w:r w:rsidRPr="009F0E7F">
        <w:rPr>
          <w:b/>
          <w:sz w:val="22"/>
          <w:szCs w:val="22"/>
          <w:lang w:val="bg-BG"/>
        </w:rPr>
        <w:t>добра свързаност</w:t>
      </w:r>
      <w:r w:rsidRPr="009F0E7F">
        <w:rPr>
          <w:sz w:val="22"/>
          <w:szCs w:val="22"/>
          <w:lang w:val="bg-BG"/>
        </w:rPr>
        <w:t xml:space="preserve"> между идентифицираните проблеми и целите</w:t>
      </w:r>
      <w:r w:rsidR="00174633">
        <w:rPr>
          <w:sz w:val="22"/>
          <w:szCs w:val="22"/>
          <w:lang w:val="bg-BG"/>
        </w:rPr>
        <w:t>,</w:t>
      </w:r>
      <w:r w:rsidRPr="009F0E7F">
        <w:rPr>
          <w:sz w:val="22"/>
          <w:szCs w:val="22"/>
          <w:lang w:val="bg-BG"/>
        </w:rPr>
        <w:t xml:space="preserve"> както и между целите и мерките, с които е предвидено постигане на целите. Логиката н</w:t>
      </w:r>
      <w:r w:rsidR="00C645A9">
        <w:rPr>
          <w:sz w:val="22"/>
          <w:szCs w:val="22"/>
          <w:lang w:val="bg-BG"/>
        </w:rPr>
        <w:t>а интервенция на ПРСР 2007-2013</w:t>
      </w:r>
      <w:r w:rsidRPr="009F0E7F">
        <w:rPr>
          <w:sz w:val="22"/>
          <w:szCs w:val="22"/>
          <w:lang w:val="bg-BG"/>
        </w:rPr>
        <w:t xml:space="preserve"> по отношение на целите и приорите</w:t>
      </w:r>
      <w:r w:rsidR="00C645A9">
        <w:rPr>
          <w:sz w:val="22"/>
          <w:szCs w:val="22"/>
          <w:lang w:val="bg-BG"/>
        </w:rPr>
        <w:t>тите</w:t>
      </w:r>
      <w:r w:rsidRPr="009F0E7F">
        <w:rPr>
          <w:sz w:val="22"/>
          <w:szCs w:val="22"/>
          <w:lang w:val="bg-BG"/>
        </w:rPr>
        <w:t xml:space="preserve"> се запазва </w:t>
      </w:r>
      <w:r w:rsidRPr="009F0E7F">
        <w:rPr>
          <w:sz w:val="22"/>
          <w:szCs w:val="22"/>
          <w:lang w:val="bg-BG"/>
        </w:rPr>
        <w:lastRenderedPageBreak/>
        <w:t xml:space="preserve">валидна през цялото време на изпълнение на </w:t>
      </w:r>
      <w:r w:rsidR="006C1D34">
        <w:rPr>
          <w:sz w:val="22"/>
          <w:szCs w:val="22"/>
          <w:lang w:val="bg-BG"/>
        </w:rPr>
        <w:t>п</w:t>
      </w:r>
      <w:r w:rsidRPr="009F0E7F">
        <w:rPr>
          <w:sz w:val="22"/>
          <w:szCs w:val="22"/>
          <w:lang w:val="bg-BG"/>
        </w:rPr>
        <w:t xml:space="preserve">рограмата и значителни промени в това </w:t>
      </w:r>
      <w:r w:rsidRPr="00CD7112">
        <w:rPr>
          <w:sz w:val="22"/>
          <w:szCs w:val="22"/>
          <w:lang w:val="bg-BG"/>
        </w:rPr>
        <w:t>отношение не се налагат и не са правени. Програмата е изменяна сравнително често (общо 15 изменения)</w:t>
      </w:r>
      <w:r w:rsidR="00174633" w:rsidRPr="00CD7112">
        <w:rPr>
          <w:sz w:val="22"/>
          <w:szCs w:val="22"/>
          <w:lang w:val="bg-BG"/>
        </w:rPr>
        <w:t>,</w:t>
      </w:r>
      <w:r w:rsidRPr="00CD7112">
        <w:rPr>
          <w:sz w:val="22"/>
          <w:szCs w:val="22"/>
          <w:lang w:val="bg-BG"/>
        </w:rPr>
        <w:t xml:space="preserve"> като тези промени са свързани предимно с начина на прилагане.</w:t>
      </w:r>
    </w:p>
    <w:p w14:paraId="0B85EFB8" w14:textId="20E6056F" w:rsidR="004D4F2D" w:rsidRPr="00CD7112" w:rsidRDefault="004D4F2D" w:rsidP="004D4F2D">
      <w:pPr>
        <w:pStyle w:val="DefaultText"/>
        <w:spacing w:after="120" w:line="300" w:lineRule="atLeast"/>
        <w:rPr>
          <w:b/>
          <w:color w:val="000000" w:themeColor="text1"/>
          <w:sz w:val="22"/>
          <w:szCs w:val="22"/>
          <w:lang w:val="bg-BG"/>
        </w:rPr>
      </w:pPr>
      <w:r w:rsidRPr="00CD7112">
        <w:rPr>
          <w:sz w:val="22"/>
          <w:szCs w:val="22"/>
          <w:lang w:val="bg-BG"/>
        </w:rPr>
        <w:t xml:space="preserve">При разработване на </w:t>
      </w:r>
      <w:r w:rsidR="006C1D34" w:rsidRPr="00CD7112">
        <w:rPr>
          <w:sz w:val="22"/>
          <w:szCs w:val="22"/>
          <w:lang w:val="bg-BG"/>
        </w:rPr>
        <w:t>п</w:t>
      </w:r>
      <w:r w:rsidRPr="00CD7112">
        <w:rPr>
          <w:sz w:val="22"/>
          <w:szCs w:val="22"/>
          <w:lang w:val="bg-BG"/>
        </w:rPr>
        <w:t xml:space="preserve">рограмата е търсено </w:t>
      </w:r>
      <w:r w:rsidRPr="00CD7112">
        <w:rPr>
          <w:b/>
          <w:sz w:val="22"/>
          <w:szCs w:val="22"/>
          <w:lang w:val="bg-BG"/>
        </w:rPr>
        <w:t xml:space="preserve">допълване между отделните мерки </w:t>
      </w:r>
      <w:r w:rsidRPr="00CD7112">
        <w:rPr>
          <w:sz w:val="22"/>
          <w:szCs w:val="22"/>
          <w:lang w:val="bg-BG"/>
        </w:rPr>
        <w:t xml:space="preserve">за по-добро постигане на целите. Поради тази причина са програмирани и мерки, които имат допълващ ефект и като цяло са важни за постигане на целите на </w:t>
      </w:r>
      <w:r w:rsidR="006C1D34" w:rsidRPr="00CD7112">
        <w:rPr>
          <w:sz w:val="22"/>
          <w:szCs w:val="22"/>
          <w:lang w:val="bg-BG"/>
        </w:rPr>
        <w:t>п</w:t>
      </w:r>
      <w:r w:rsidRPr="00CD7112">
        <w:rPr>
          <w:sz w:val="22"/>
          <w:szCs w:val="22"/>
          <w:lang w:val="bg-BG"/>
        </w:rPr>
        <w:t xml:space="preserve">рограмата, но не са от основен приоритет за бенефициентите (като мярка 122 и 124), както и мерки, за които не е съществувала готовност за прилагане към момента на стартиране на </w:t>
      </w:r>
      <w:r w:rsidR="006C1D34" w:rsidRPr="00CD7112">
        <w:rPr>
          <w:sz w:val="22"/>
          <w:szCs w:val="22"/>
          <w:lang w:val="bg-BG"/>
        </w:rPr>
        <w:t>п</w:t>
      </w:r>
      <w:r w:rsidRPr="00CD7112">
        <w:rPr>
          <w:sz w:val="22"/>
          <w:szCs w:val="22"/>
          <w:lang w:val="bg-BG"/>
        </w:rPr>
        <w:t>рограмата (125, 126, 224). Ниската приоритетност и липсата на подходящи условия за прилагане води до слаб интерес и до отпадането на мерките или слабо усвояване на средствата</w:t>
      </w:r>
      <w:r w:rsidR="00C645A9" w:rsidRPr="00CD7112">
        <w:rPr>
          <w:sz w:val="22"/>
          <w:szCs w:val="22"/>
          <w:lang w:val="bg-BG"/>
        </w:rPr>
        <w:t>,</w:t>
      </w:r>
      <w:r w:rsidRPr="00CD7112">
        <w:rPr>
          <w:sz w:val="22"/>
          <w:szCs w:val="22"/>
          <w:lang w:val="bg-BG"/>
        </w:rPr>
        <w:t xml:space="preserve"> и до слабо постигане или непостигане на заложените цели. </w:t>
      </w:r>
    </w:p>
    <w:p w14:paraId="2C4A2DED" w14:textId="336B2B00" w:rsidR="004D4F2D" w:rsidRPr="00CD7112" w:rsidRDefault="004D4F2D" w:rsidP="004D4F2D">
      <w:pPr>
        <w:pStyle w:val="DefaultText"/>
        <w:spacing w:after="120" w:line="300" w:lineRule="atLeast"/>
        <w:rPr>
          <w:b/>
          <w:color w:val="000000" w:themeColor="text1"/>
          <w:sz w:val="22"/>
          <w:szCs w:val="22"/>
          <w:lang w:val="bg-BG"/>
        </w:rPr>
      </w:pPr>
      <w:r w:rsidRPr="00CD7112">
        <w:rPr>
          <w:sz w:val="22"/>
          <w:szCs w:val="22"/>
          <w:lang w:val="bg-BG"/>
        </w:rPr>
        <w:t xml:space="preserve">Първоначалният вариант на </w:t>
      </w:r>
      <w:r w:rsidR="006C1D34" w:rsidRPr="00CD7112">
        <w:rPr>
          <w:sz w:val="22"/>
          <w:szCs w:val="22"/>
          <w:lang w:val="bg-BG"/>
        </w:rPr>
        <w:t>п</w:t>
      </w:r>
      <w:r w:rsidRPr="00CD7112">
        <w:rPr>
          <w:sz w:val="22"/>
          <w:szCs w:val="22"/>
          <w:lang w:val="bg-BG"/>
        </w:rPr>
        <w:t xml:space="preserve">рограмата поставя </w:t>
      </w:r>
      <w:r w:rsidRPr="00CD7112">
        <w:rPr>
          <w:b/>
          <w:sz w:val="22"/>
          <w:szCs w:val="22"/>
          <w:lang w:val="bg-BG"/>
        </w:rPr>
        <w:t>фокус върху икономическото развитие на земеделието и свързаните дейности</w:t>
      </w:r>
      <w:r w:rsidRPr="00CD7112">
        <w:rPr>
          <w:sz w:val="22"/>
          <w:szCs w:val="22"/>
          <w:lang w:val="bg-BG"/>
        </w:rPr>
        <w:t xml:space="preserve">. Заделеният бюджет за ос 1 е 41% от финансовия план на </w:t>
      </w:r>
      <w:r w:rsidR="006C1D34" w:rsidRPr="00CD7112">
        <w:rPr>
          <w:sz w:val="22"/>
          <w:szCs w:val="22"/>
          <w:lang w:val="bg-BG"/>
        </w:rPr>
        <w:t>п</w:t>
      </w:r>
      <w:r w:rsidRPr="00CD7112">
        <w:rPr>
          <w:sz w:val="22"/>
          <w:szCs w:val="22"/>
          <w:lang w:val="bg-BG"/>
        </w:rPr>
        <w:t xml:space="preserve">рограмата. Втори приоритет е подобряване на качеството на живот и услугите в селските райони </w:t>
      </w:r>
      <w:r w:rsidR="00174633" w:rsidRPr="00CD7112">
        <w:rPr>
          <w:sz w:val="22"/>
          <w:szCs w:val="22"/>
          <w:lang w:val="bg-BG"/>
        </w:rPr>
        <w:t>–</w:t>
      </w:r>
      <w:r w:rsidRPr="00CD7112">
        <w:rPr>
          <w:sz w:val="22"/>
          <w:szCs w:val="22"/>
          <w:lang w:val="bg-BG"/>
        </w:rPr>
        <w:t xml:space="preserve"> ос 3, с бюджет от 29% от бюджетите на оси 1, 2 3 и 4. Бюджетите на ос 2 и ос 4 са на нивото на изискваните от Регламент </w:t>
      </w:r>
      <w:r w:rsidR="00D57404" w:rsidRPr="00CD7112">
        <w:rPr>
          <w:sz w:val="22"/>
          <w:szCs w:val="22"/>
          <w:lang w:val="bg-BG"/>
        </w:rPr>
        <w:t xml:space="preserve">(ЕО)                           № </w:t>
      </w:r>
      <w:r w:rsidRPr="00CD7112">
        <w:rPr>
          <w:sz w:val="22"/>
          <w:szCs w:val="22"/>
          <w:lang w:val="bg-BG"/>
        </w:rPr>
        <w:t xml:space="preserve">1698/2005 прагове – съответно 26% (при минимален праг 25%) и 2,6% (при минимален праг 2,5%). По този начин се гарантира сравнително добър баланс между приоритетите и мерките. Подходът ЛИДЕР се прилага за първи път в България през програмния период 2007-2013 и поради това е разбираема предпазливостта при планиране на средствата за ос 4. Реалното изпълнение обаче, изкривява така направеното първоначално разпределение в посока на </w:t>
      </w:r>
      <w:r w:rsidRPr="00CD7112">
        <w:rPr>
          <w:b/>
          <w:sz w:val="22"/>
          <w:szCs w:val="22"/>
          <w:lang w:val="bg-BG"/>
        </w:rPr>
        <w:t>инвестиционните мерки за общините по ос</w:t>
      </w:r>
      <w:r w:rsidRPr="00CD7112">
        <w:rPr>
          <w:sz w:val="22"/>
          <w:szCs w:val="22"/>
          <w:lang w:val="bg-BG"/>
        </w:rPr>
        <w:t xml:space="preserve"> 3 и води до значително редуциране в процентно отношение на подкрепата за икономическото развитие от 41% на 31% и за местен капацитет и инициативи от 2,6% на 1,8%. Редуцирането на подкрепата за икономически растеж и местен капацитет и инициативи намалява очакваното въздействие на </w:t>
      </w:r>
      <w:r w:rsidR="006C1D34" w:rsidRPr="00CD7112">
        <w:rPr>
          <w:sz w:val="22"/>
          <w:szCs w:val="22"/>
          <w:lang w:val="bg-BG"/>
        </w:rPr>
        <w:t>п</w:t>
      </w:r>
      <w:r w:rsidRPr="00CD7112">
        <w:rPr>
          <w:sz w:val="22"/>
          <w:szCs w:val="22"/>
          <w:lang w:val="bg-BG"/>
        </w:rPr>
        <w:t>рограмата в тази посока.</w:t>
      </w:r>
    </w:p>
    <w:p w14:paraId="34D0ACE6" w14:textId="77777777" w:rsidR="004D4F2D" w:rsidRPr="00CD7112" w:rsidRDefault="004D4F2D" w:rsidP="004D4F2D">
      <w:pPr>
        <w:pStyle w:val="DefaultText"/>
        <w:spacing w:after="120" w:line="300" w:lineRule="atLeast"/>
        <w:rPr>
          <w:b/>
          <w:color w:val="000000" w:themeColor="text1"/>
          <w:sz w:val="22"/>
          <w:szCs w:val="22"/>
          <w:lang w:val="bg-BG"/>
        </w:rPr>
      </w:pPr>
      <w:r w:rsidRPr="00CD7112">
        <w:rPr>
          <w:sz w:val="22"/>
          <w:szCs w:val="22"/>
          <w:lang w:val="bg-BG"/>
        </w:rPr>
        <w:t xml:space="preserve">При програмиране на мерките е търсена </w:t>
      </w:r>
      <w:r w:rsidRPr="00CD7112">
        <w:rPr>
          <w:b/>
          <w:sz w:val="22"/>
          <w:szCs w:val="22"/>
          <w:lang w:val="bg-BG"/>
        </w:rPr>
        <w:t xml:space="preserve">синергия </w:t>
      </w:r>
      <w:r w:rsidRPr="00CD7112">
        <w:rPr>
          <w:sz w:val="22"/>
          <w:szCs w:val="22"/>
          <w:lang w:val="bg-BG"/>
        </w:rPr>
        <w:t>между приоритетите и отделните мерки. Връзката между приоритетите и мерките е ка</w:t>
      </w:r>
      <w:r w:rsidR="00FF6080" w:rsidRPr="00CD7112">
        <w:rPr>
          <w:sz w:val="22"/>
          <w:szCs w:val="22"/>
          <w:lang w:val="bg-BG"/>
        </w:rPr>
        <w:t>к</w:t>
      </w:r>
      <w:r w:rsidRPr="00CD7112">
        <w:rPr>
          <w:sz w:val="22"/>
          <w:szCs w:val="22"/>
          <w:lang w:val="bg-BG"/>
        </w:rPr>
        <w:t>то на ниво въздействие</w:t>
      </w:r>
      <w:r w:rsidR="00174633" w:rsidRPr="00CD7112">
        <w:rPr>
          <w:sz w:val="22"/>
          <w:szCs w:val="22"/>
          <w:lang w:val="bg-BG"/>
        </w:rPr>
        <w:t>,</w:t>
      </w:r>
      <w:r w:rsidRPr="00CD7112">
        <w:rPr>
          <w:sz w:val="22"/>
          <w:szCs w:val="22"/>
          <w:lang w:val="bg-BG"/>
        </w:rPr>
        <w:t xml:space="preserve"> така и на оперативно ниво. На ниво въздействие голяма част от мерките по ос 1 и ос 3 са програмирани така</w:t>
      </w:r>
      <w:r w:rsidR="00FF6080" w:rsidRPr="00CD7112">
        <w:rPr>
          <w:sz w:val="22"/>
          <w:szCs w:val="22"/>
          <w:lang w:val="bg-BG"/>
        </w:rPr>
        <w:t>,</w:t>
      </w:r>
      <w:r w:rsidRPr="00CD7112">
        <w:rPr>
          <w:sz w:val="22"/>
          <w:szCs w:val="22"/>
          <w:lang w:val="bg-BG"/>
        </w:rPr>
        <w:t xml:space="preserve"> че да генерират допълнителни въздействия по отношение на опазване на околната среда (ос 2)</w:t>
      </w:r>
      <w:r w:rsidR="00174633" w:rsidRPr="00CD7112">
        <w:rPr>
          <w:sz w:val="22"/>
          <w:szCs w:val="22"/>
          <w:lang w:val="bg-BG"/>
        </w:rPr>
        <w:t>,</w:t>
      </w:r>
      <w:r w:rsidRPr="00CD7112">
        <w:rPr>
          <w:sz w:val="22"/>
          <w:szCs w:val="22"/>
          <w:lang w:val="bg-BG"/>
        </w:rPr>
        <w:t xml:space="preserve"> в това число мерки за предотвратяване на замърсяването на водите от торове и отпадъчни води от земеделските стопанства и населените места, използване на възобновяеми източници на енергия, подобряване на енергийната </w:t>
      </w:r>
      <w:r w:rsidR="00532F05" w:rsidRPr="00CD7112">
        <w:rPr>
          <w:sz w:val="22"/>
          <w:szCs w:val="22"/>
          <w:lang w:val="bg-BG"/>
        </w:rPr>
        <w:t>и</w:t>
      </w:r>
      <w:r w:rsidRPr="00CD7112">
        <w:rPr>
          <w:sz w:val="22"/>
          <w:szCs w:val="22"/>
          <w:lang w:val="bg-BG"/>
        </w:rPr>
        <w:t xml:space="preserve"> ресурсна ефективност. Мерките по ос 1 и ос 3 се допълват по отношение на създаване на предпоставки за оживяване на селската икономика и създаване на условия за икономически растеж и заетост. Ос 4 ЛИДЕР е хоризонтална по своя характер и е планирана да има допълнителен принос към постигане на целите на оси 1, 2 и 3. Мерките за плащания в необлагодетелствани райони (211 и 212) имат директен принос към намаляване на проблемите, свързани с изоставяне на земи и обезлюдяване на селските райони. По отношение на изпълнението на мерките също са търсени синергични ефекти. Мерките за предоставяне на обучение и консултации имат хоризонтален характер.</w:t>
      </w:r>
    </w:p>
    <w:p w14:paraId="4485B830" w14:textId="315D67E8" w:rsidR="004D4F2D" w:rsidRPr="00CD7112" w:rsidRDefault="004D4F2D" w:rsidP="004D4F2D">
      <w:pPr>
        <w:pStyle w:val="DefaultText"/>
        <w:spacing w:after="120" w:line="300" w:lineRule="atLeast"/>
        <w:rPr>
          <w:b/>
          <w:color w:val="000000" w:themeColor="text1"/>
          <w:sz w:val="22"/>
          <w:szCs w:val="22"/>
          <w:lang w:val="bg-BG"/>
        </w:rPr>
      </w:pPr>
      <w:r w:rsidRPr="00CD7112">
        <w:rPr>
          <w:sz w:val="22"/>
          <w:szCs w:val="22"/>
          <w:lang w:val="bg-BG"/>
        </w:rPr>
        <w:t xml:space="preserve">Програмата има съществен принос за </w:t>
      </w:r>
      <w:r w:rsidRPr="00CD7112">
        <w:rPr>
          <w:b/>
          <w:sz w:val="22"/>
          <w:szCs w:val="22"/>
          <w:lang w:val="bg-BG"/>
        </w:rPr>
        <w:t>придадена нетна добавена стойност</w:t>
      </w:r>
      <w:r w:rsidRPr="00CD7112">
        <w:rPr>
          <w:sz w:val="22"/>
          <w:szCs w:val="22"/>
          <w:lang w:val="bg-BG"/>
        </w:rPr>
        <w:t xml:space="preserve"> в подпомогнатите стопанства и създадена добавена стойност на </w:t>
      </w:r>
      <w:r w:rsidR="00174633" w:rsidRPr="00CD7112">
        <w:rPr>
          <w:sz w:val="22"/>
          <w:szCs w:val="22"/>
          <w:lang w:val="bg-BG"/>
        </w:rPr>
        <w:t>г</w:t>
      </w:r>
      <w:r w:rsidRPr="00CD7112">
        <w:rPr>
          <w:sz w:val="22"/>
          <w:szCs w:val="22"/>
          <w:lang w:val="bg-BG"/>
        </w:rPr>
        <w:t xml:space="preserve">одишна работна </w:t>
      </w:r>
      <w:r w:rsidRPr="00CD7112">
        <w:rPr>
          <w:sz w:val="22"/>
          <w:szCs w:val="22"/>
          <w:lang w:val="bg-BG"/>
        </w:rPr>
        <w:lastRenderedPageBreak/>
        <w:t>единица. Наблюдава се засилване на концентрацията на подпомогнатите стопанства в общия обем на създаваната брутна продукция от земеделие от 69% преди началото на програмния период до 82% през 2015 г. Като цяло подкрепените предприятия в хранителната индустрия успяват до голяма степен да се възползват от помощта, като добавената стойност в този отрасъл нараства забележимо, което свидетелства за повишаване на конкурентоспособността.</w:t>
      </w:r>
    </w:p>
    <w:p w14:paraId="58F7F1F6" w14:textId="77777777" w:rsidR="004D4F2D" w:rsidRPr="00CD7112" w:rsidRDefault="004D4F2D" w:rsidP="004D4F2D">
      <w:pPr>
        <w:pStyle w:val="DefaultText"/>
        <w:spacing w:after="120"/>
        <w:rPr>
          <w:sz w:val="22"/>
          <w:szCs w:val="22"/>
          <w:lang w:val="bg-BG"/>
        </w:rPr>
      </w:pPr>
      <w:r w:rsidRPr="00CD7112">
        <w:rPr>
          <w:sz w:val="22"/>
          <w:szCs w:val="22"/>
          <w:lang w:val="bg-BG"/>
        </w:rPr>
        <w:t xml:space="preserve">Програмата оказва положително въздействие върху </w:t>
      </w:r>
      <w:r w:rsidRPr="00CD7112">
        <w:rPr>
          <w:b/>
          <w:sz w:val="22"/>
          <w:szCs w:val="22"/>
          <w:lang w:val="bg-BG"/>
        </w:rPr>
        <w:t>околната среда</w:t>
      </w:r>
      <w:r w:rsidRPr="00CD7112">
        <w:rPr>
          <w:sz w:val="22"/>
          <w:szCs w:val="22"/>
          <w:lang w:val="bg-BG"/>
        </w:rPr>
        <w:t xml:space="preserve">, но това въздействие е трудно да се измери и оцени. В голяма степен това се дължи и на липсата на реални наблюдения на въздействията, както и някои пропуски на системата за мониторинг. Повечето от индикаторите за измерване на въздействията не могат непосредствено да се измерят чрез системата за мониторинг и за оценка на въздействията са необходими допълнителни проучвания като например за „индекса за </w:t>
      </w:r>
      <w:r w:rsidR="00537BE5" w:rsidRPr="00CD7112">
        <w:rPr>
          <w:sz w:val="22"/>
          <w:szCs w:val="22"/>
          <w:lang w:val="bg-BG"/>
        </w:rPr>
        <w:t xml:space="preserve">популацията на </w:t>
      </w:r>
      <w:r w:rsidRPr="00CD7112">
        <w:rPr>
          <w:sz w:val="22"/>
          <w:szCs w:val="22"/>
          <w:lang w:val="bg-BG"/>
        </w:rPr>
        <w:t>птици</w:t>
      </w:r>
      <w:r w:rsidR="00213E30" w:rsidRPr="00CD7112">
        <w:rPr>
          <w:sz w:val="22"/>
          <w:szCs w:val="22"/>
          <w:lang w:val="bg-BG"/>
        </w:rPr>
        <w:t>,</w:t>
      </w:r>
      <w:r w:rsidR="00537BE5" w:rsidRPr="00CD7112">
        <w:rPr>
          <w:sz w:val="22"/>
          <w:szCs w:val="22"/>
          <w:lang w:val="bg-BG"/>
        </w:rPr>
        <w:t xml:space="preserve"> обитаващи земеделски земи</w:t>
      </w:r>
      <w:r w:rsidRPr="00CD7112">
        <w:rPr>
          <w:sz w:val="22"/>
          <w:szCs w:val="22"/>
          <w:lang w:val="bg-BG"/>
        </w:rPr>
        <w:t xml:space="preserve">“. При индикаторите, свързани с възобновяемата енергия, не е въведено уеднаквено събиране и докладване на информацията, което препятства по-доброто отчитане на приноса на проектите за производство на енергия от възобновяеми източници. Препоръчва се Управляващият орган да възложи допълнителни проучвания и анализи за оценка на въздействието от мерките на </w:t>
      </w:r>
      <w:r w:rsidR="006C1D34" w:rsidRPr="00CD7112">
        <w:rPr>
          <w:sz w:val="22"/>
          <w:szCs w:val="22"/>
          <w:lang w:val="bg-BG"/>
        </w:rPr>
        <w:t>п</w:t>
      </w:r>
      <w:r w:rsidRPr="00CD7112">
        <w:rPr>
          <w:sz w:val="22"/>
          <w:szCs w:val="22"/>
          <w:lang w:val="bg-BG"/>
        </w:rPr>
        <w:t xml:space="preserve">рограмата върху околната среда. Препоръчва се да се анализира ефективността на създадената система за набиране на данни за резултатите от мерките в Програмата за развитие на селските райони 2014-2020 върху околната среда, с цел да се осигури набирането на данни, които да позволят отчитане на постигнатите резултати и ефекти върху околната среда.  </w:t>
      </w:r>
    </w:p>
    <w:p w14:paraId="3B0A531E" w14:textId="4EAB881B" w:rsidR="004D4F2D" w:rsidRPr="00CD7112" w:rsidRDefault="004D4F2D" w:rsidP="004D4F2D">
      <w:pPr>
        <w:pStyle w:val="DefaultText"/>
        <w:spacing w:after="120" w:line="300" w:lineRule="atLeast"/>
        <w:rPr>
          <w:sz w:val="22"/>
          <w:szCs w:val="22"/>
          <w:lang w:val="bg-BG"/>
        </w:rPr>
      </w:pPr>
      <w:r w:rsidRPr="00CD7112">
        <w:rPr>
          <w:sz w:val="22"/>
          <w:szCs w:val="22"/>
          <w:lang w:val="bg-BG"/>
        </w:rPr>
        <w:t xml:space="preserve">Основното въздействие от </w:t>
      </w:r>
      <w:r w:rsidR="006C1D34" w:rsidRPr="00CD7112">
        <w:rPr>
          <w:sz w:val="22"/>
          <w:szCs w:val="22"/>
          <w:lang w:val="bg-BG"/>
        </w:rPr>
        <w:t>п</w:t>
      </w:r>
      <w:r w:rsidRPr="00CD7112">
        <w:rPr>
          <w:sz w:val="22"/>
          <w:szCs w:val="22"/>
          <w:lang w:val="bg-BG"/>
        </w:rPr>
        <w:t xml:space="preserve">рограмата по ос 3 е по отношение на </w:t>
      </w:r>
      <w:r w:rsidRPr="00CD7112">
        <w:rPr>
          <w:b/>
          <w:sz w:val="22"/>
          <w:szCs w:val="22"/>
          <w:lang w:val="bg-BG"/>
        </w:rPr>
        <w:t>подобряване на инфраструктурата и услугите</w:t>
      </w:r>
      <w:r w:rsidRPr="00CD7112">
        <w:rPr>
          <w:sz w:val="22"/>
          <w:szCs w:val="22"/>
          <w:lang w:val="bg-BG"/>
        </w:rPr>
        <w:t xml:space="preserve"> в селските общини и от тук и качеството на живот и на територията на селските райони. Сравнително по-малко е въздействието по отношение съживяване на местната икономика, повишаване на икономическата активност на населението, намаляване на безработицата и повишаване на жизнения стандарт. Това е така поради значително преизпълнение както по отношение на финансов ресурс, така и като резултати на инфраструктурните мерки за общините и постигнатите по-слаби резултати по мерките за съживяване на селската икономика. По мерки 311 и 312 не са предвидени секторни приоритети за разнообразяване на икономическите дейности. Това се оказва не особено удачно, тъй като </w:t>
      </w:r>
      <w:r w:rsidR="00FF7E1D" w:rsidRPr="00CD7112">
        <w:rPr>
          <w:sz w:val="22"/>
          <w:szCs w:val="22"/>
          <w:lang w:val="bg-BG"/>
        </w:rPr>
        <w:t>подкрепените проекти</w:t>
      </w:r>
      <w:r w:rsidRPr="00CD7112">
        <w:rPr>
          <w:sz w:val="22"/>
          <w:szCs w:val="22"/>
          <w:lang w:val="bg-BG"/>
        </w:rPr>
        <w:t xml:space="preserve"> се фокусират основно в две сфери –</w:t>
      </w:r>
      <w:r w:rsidR="009F358B" w:rsidRPr="00CD7112">
        <w:rPr>
          <w:sz w:val="22"/>
          <w:szCs w:val="22"/>
          <w:lang w:val="bg-BG"/>
        </w:rPr>
        <w:t xml:space="preserve"> </w:t>
      </w:r>
      <w:r w:rsidRPr="00CD7112">
        <w:rPr>
          <w:sz w:val="22"/>
          <w:szCs w:val="22"/>
          <w:lang w:val="bg-BG"/>
        </w:rPr>
        <w:t xml:space="preserve">къщи за гости и фотоволтаични централи, което от своя страна не води до постигане на заложената цел за диверсификация на икономиката в селските региони. Създаването на нови и обновяването на съществуващи </w:t>
      </w:r>
      <w:r w:rsidR="0057318C" w:rsidRPr="00CD7112">
        <w:rPr>
          <w:sz w:val="22"/>
          <w:szCs w:val="22"/>
          <w:lang w:val="bg-BG"/>
        </w:rPr>
        <w:t xml:space="preserve">центрове за </w:t>
      </w:r>
      <w:r w:rsidR="0057318C" w:rsidRPr="003A0F89">
        <w:rPr>
          <w:sz w:val="22"/>
          <w:szCs w:val="22"/>
          <w:lang w:val="bg-BG"/>
        </w:rPr>
        <w:t>информационни и комуникационни технологии</w:t>
      </w:r>
      <w:r w:rsidRPr="00CD7112">
        <w:rPr>
          <w:sz w:val="22"/>
          <w:szCs w:val="22"/>
          <w:lang w:val="bg-BG"/>
        </w:rPr>
        <w:t xml:space="preserve"> в населените места не намира пряко отражение или конкретен принос към създаването на достъп до широколентов интернет. Приносът на </w:t>
      </w:r>
      <w:r w:rsidR="006C1D34" w:rsidRPr="00CD7112">
        <w:rPr>
          <w:sz w:val="22"/>
          <w:szCs w:val="22"/>
          <w:lang w:val="bg-BG"/>
        </w:rPr>
        <w:t>п</w:t>
      </w:r>
      <w:r w:rsidRPr="00CD7112">
        <w:rPr>
          <w:sz w:val="22"/>
          <w:szCs w:val="22"/>
          <w:lang w:val="bg-BG"/>
        </w:rPr>
        <w:t xml:space="preserve">рограмата в това отношение е силно ограничен. Препоръчително е при подкрепата за разнообразяване на икономическите дейности по </w:t>
      </w:r>
      <w:r w:rsidR="006C1D34" w:rsidRPr="00CD7112">
        <w:rPr>
          <w:sz w:val="22"/>
          <w:szCs w:val="22"/>
          <w:lang w:val="bg-BG"/>
        </w:rPr>
        <w:t>п</w:t>
      </w:r>
      <w:r w:rsidRPr="00CD7112">
        <w:rPr>
          <w:sz w:val="22"/>
          <w:szCs w:val="22"/>
          <w:lang w:val="bg-BG"/>
        </w:rPr>
        <w:t>рограмата за развитие на селските райони 2014-2020 да се приложат секторни приоритети или други способи, които да осигурят по-добри ефекти при изпълнение на мерките, насочени към разнообразяване и създаване на възможности за развитие на икономиката на селските райони.</w:t>
      </w:r>
    </w:p>
    <w:p w14:paraId="16237D31" w14:textId="259163E7" w:rsidR="004D4F2D" w:rsidRPr="009F0E7F" w:rsidRDefault="004D4F2D" w:rsidP="004D4F2D">
      <w:pPr>
        <w:pStyle w:val="DefaultText"/>
        <w:spacing w:after="120" w:line="300" w:lineRule="atLeast"/>
        <w:rPr>
          <w:b/>
          <w:color w:val="000000" w:themeColor="text1"/>
          <w:sz w:val="22"/>
          <w:szCs w:val="22"/>
          <w:lang w:val="bg-BG"/>
        </w:rPr>
      </w:pPr>
      <w:r w:rsidRPr="009F0E7F">
        <w:rPr>
          <w:b/>
          <w:sz w:val="22"/>
          <w:szCs w:val="22"/>
          <w:lang w:val="bg-BG"/>
        </w:rPr>
        <w:t xml:space="preserve">Ос 4 ЛИДЕР </w:t>
      </w:r>
      <w:r w:rsidRPr="009F0E7F">
        <w:rPr>
          <w:sz w:val="22"/>
          <w:szCs w:val="22"/>
          <w:lang w:val="bg-BG"/>
        </w:rPr>
        <w:t>поставя началото на изграждане на местен капацитет за прилагане на подход „отдолу-нагоре“ чрез създаване на местни инициативни групи. През програмния период 2007-2013 г. е подкрепено изпълнен</w:t>
      </w:r>
      <w:r w:rsidR="00884BF3">
        <w:rPr>
          <w:sz w:val="22"/>
          <w:szCs w:val="22"/>
          <w:lang w:val="bg-BG"/>
        </w:rPr>
        <w:t>ие</w:t>
      </w:r>
      <w:r w:rsidRPr="009F0E7F">
        <w:rPr>
          <w:sz w:val="22"/>
          <w:szCs w:val="22"/>
          <w:lang w:val="bg-BG"/>
        </w:rPr>
        <w:t xml:space="preserve">то на местни стратегии за развитие на 35 </w:t>
      </w:r>
      <w:r w:rsidRPr="009F0E7F">
        <w:rPr>
          <w:sz w:val="22"/>
          <w:szCs w:val="22"/>
          <w:lang w:val="bg-BG"/>
        </w:rPr>
        <w:lastRenderedPageBreak/>
        <w:t>местни инициативни групи, действащи на територията на 57 общини (28% от територията на селските райони). Липсата на достатъчно средства, допълнително редуцирани от съкращаване на бюджета по ЛИДЕР, както и съпроводеното с трудности изпълнение в началото са основната причина за непостигане на още по-голямо въздействие. Дублирането на функции между Управляващия орган и Разплащателната агенция по отношение на оценката на проектни предложения</w:t>
      </w:r>
      <w:r w:rsidR="00884BF3">
        <w:rPr>
          <w:sz w:val="22"/>
          <w:szCs w:val="22"/>
          <w:lang w:val="bg-BG"/>
        </w:rPr>
        <w:t>,</w:t>
      </w:r>
      <w:r w:rsidRPr="009F0E7F">
        <w:rPr>
          <w:sz w:val="22"/>
          <w:szCs w:val="22"/>
          <w:lang w:val="bg-BG"/>
        </w:rPr>
        <w:t xml:space="preserve"> както и твърде консервативния подход на оценка на проектите, който не е съобразен с размера на инвестициите, водят до забава в изпълнението и съответно редуциране на първоначалния ентусиазъм и времето, което е било налично за изпълнение на стратегиите за местно развитие. Въпреки трудностите интересът към подхода от страна на местните общности остава голям. Прилагането на подхода Водено от общностите местно развитие в Програмата за развитие на селските райони 2014-2020 трябва да бъде административно облекчено и където </w:t>
      </w:r>
      <w:r w:rsidR="00DA441E">
        <w:rPr>
          <w:sz w:val="22"/>
          <w:szCs w:val="22"/>
          <w:lang w:val="bg-BG"/>
        </w:rPr>
        <w:t xml:space="preserve">е </w:t>
      </w:r>
      <w:r w:rsidRPr="009F0E7F">
        <w:rPr>
          <w:sz w:val="22"/>
          <w:szCs w:val="22"/>
          <w:lang w:val="bg-BG"/>
        </w:rPr>
        <w:t>възможно децентрализирано с делегиране на повече правомощия на Местните инициативни групи при подбора и оценката на проекти. Управляващият орган и Разплащателната агенция могат да осъществяват контрол чрез проверки на база на анализ на риска.</w:t>
      </w:r>
    </w:p>
    <w:p w14:paraId="6A868BBA" w14:textId="4631D1E3" w:rsidR="004D4F2D" w:rsidRPr="009F0E7F" w:rsidRDefault="004D4F2D" w:rsidP="004D4F2D">
      <w:pPr>
        <w:pStyle w:val="DefaultText"/>
        <w:spacing w:after="120" w:line="300" w:lineRule="atLeast"/>
        <w:rPr>
          <w:b/>
          <w:color w:val="000000" w:themeColor="text1"/>
          <w:sz w:val="22"/>
          <w:szCs w:val="22"/>
          <w:lang w:val="bg-BG"/>
        </w:rPr>
      </w:pPr>
      <w:r w:rsidRPr="009F0E7F">
        <w:rPr>
          <w:sz w:val="22"/>
          <w:szCs w:val="22"/>
          <w:lang w:val="bg-BG"/>
        </w:rPr>
        <w:t xml:space="preserve">Програмата не постига очакваното въздействие по отношение на </w:t>
      </w:r>
      <w:r w:rsidRPr="009F0E7F">
        <w:rPr>
          <w:b/>
          <w:sz w:val="22"/>
          <w:szCs w:val="22"/>
          <w:lang w:val="bg-BG"/>
        </w:rPr>
        <w:t>създаване на заетост</w:t>
      </w:r>
      <w:r w:rsidRPr="009F0E7F">
        <w:rPr>
          <w:sz w:val="22"/>
          <w:szCs w:val="22"/>
          <w:lang w:val="bg-BG"/>
        </w:rPr>
        <w:t>. Причина за това е, че голяма част от подкрепата – например ос 2, инфраструктурните мерки по ос 3, инвестициите във възобновяеми енергийни източници нямат реален принос към създаване на заетост, а мерките</w:t>
      </w:r>
      <w:r w:rsidR="00884BF3">
        <w:rPr>
          <w:sz w:val="22"/>
          <w:szCs w:val="22"/>
          <w:lang w:val="bg-BG"/>
        </w:rPr>
        <w:t>,</w:t>
      </w:r>
      <w:r w:rsidRPr="009F0E7F">
        <w:rPr>
          <w:sz w:val="22"/>
          <w:szCs w:val="22"/>
          <w:lang w:val="bg-BG"/>
        </w:rPr>
        <w:t xml:space="preserve"> които имат пряк принос</w:t>
      </w:r>
      <w:r w:rsidR="00884BF3">
        <w:rPr>
          <w:sz w:val="22"/>
          <w:szCs w:val="22"/>
          <w:lang w:val="bg-BG"/>
        </w:rPr>
        <w:t>,</w:t>
      </w:r>
      <w:r w:rsidRPr="009F0E7F">
        <w:rPr>
          <w:sz w:val="22"/>
          <w:szCs w:val="22"/>
          <w:lang w:val="bg-BG"/>
        </w:rPr>
        <w:t xml:space="preserve"> не са постигнали целите си в това отношение. От друга страна, повишаване на ефективността на стопанствата и предприятията и на тяхната конкурентоспособност, с подкрепа за модернизиране и обновяване влиза в конфликт с целта за повишаване на заетостта. За периода 2007-2013 г. са отпаднали около 240 хил. стопанства, докато съкращението на работната сила, изразена в </w:t>
      </w:r>
      <w:r w:rsidR="00884BF3">
        <w:rPr>
          <w:sz w:val="22"/>
          <w:szCs w:val="22"/>
          <w:lang w:val="bg-BG"/>
        </w:rPr>
        <w:t>г</w:t>
      </w:r>
      <w:r w:rsidRPr="009F0E7F">
        <w:rPr>
          <w:sz w:val="22"/>
          <w:szCs w:val="22"/>
          <w:lang w:val="bg-BG"/>
        </w:rPr>
        <w:t>одишни работни единици е около</w:t>
      </w:r>
      <w:r w:rsidR="00A95E36">
        <w:rPr>
          <w:sz w:val="22"/>
          <w:szCs w:val="22"/>
          <w:lang w:val="en-US"/>
        </w:rPr>
        <w:t xml:space="preserve"> </w:t>
      </w:r>
      <w:r w:rsidR="00A05E77">
        <w:rPr>
          <w:sz w:val="22"/>
          <w:szCs w:val="22"/>
          <w:lang w:val="bg-BG"/>
        </w:rPr>
        <w:t> </w:t>
      </w:r>
      <w:r w:rsidR="000D70C4" w:rsidRPr="009F0E7F">
        <w:rPr>
          <w:sz w:val="22"/>
          <w:szCs w:val="22"/>
          <w:lang w:val="bg-BG"/>
        </w:rPr>
        <w:t>1</w:t>
      </w:r>
      <w:r w:rsidR="000D70C4" w:rsidRPr="00AB2B2B">
        <w:rPr>
          <w:sz w:val="22"/>
          <w:szCs w:val="22"/>
          <w:lang w:val="bg-BG"/>
        </w:rPr>
        <w:t>7</w:t>
      </w:r>
      <w:r w:rsidR="000D70C4" w:rsidRPr="009F0E7F">
        <w:rPr>
          <w:sz w:val="22"/>
          <w:szCs w:val="22"/>
          <w:lang w:val="bg-BG"/>
        </w:rPr>
        <w:t>0</w:t>
      </w:r>
      <w:r w:rsidR="00A05E77">
        <w:rPr>
          <w:sz w:val="22"/>
          <w:szCs w:val="22"/>
          <w:lang w:val="bg-BG"/>
        </w:rPr>
        <w:t> </w:t>
      </w:r>
      <w:r w:rsidRPr="009F0E7F">
        <w:rPr>
          <w:sz w:val="22"/>
          <w:szCs w:val="22"/>
          <w:lang w:val="bg-BG"/>
        </w:rPr>
        <w:t>хил., което показва, че има повишение на производителността на труда, но се усилват социалните проблеми</w:t>
      </w:r>
      <w:r w:rsidR="00884BF3">
        <w:rPr>
          <w:sz w:val="22"/>
          <w:szCs w:val="22"/>
          <w:lang w:val="bg-BG"/>
        </w:rPr>
        <w:t>,</w:t>
      </w:r>
      <w:r w:rsidRPr="009F0E7F">
        <w:rPr>
          <w:sz w:val="22"/>
          <w:szCs w:val="22"/>
          <w:lang w:val="bg-BG"/>
        </w:rPr>
        <w:t xml:space="preserve"> свързани с безработицата в селските райони.</w:t>
      </w:r>
    </w:p>
    <w:p w14:paraId="46AB50FC" w14:textId="004DBD72" w:rsidR="004D4F2D" w:rsidRPr="009F0E7F" w:rsidRDefault="004D4F2D" w:rsidP="004D4F2D">
      <w:pPr>
        <w:pStyle w:val="DefaultText"/>
        <w:spacing w:after="120" w:line="300" w:lineRule="atLeast"/>
        <w:rPr>
          <w:b/>
          <w:color w:val="000000" w:themeColor="text1"/>
          <w:sz w:val="22"/>
          <w:szCs w:val="22"/>
          <w:lang w:val="bg-BG"/>
        </w:rPr>
      </w:pPr>
      <w:r w:rsidRPr="009F0E7F">
        <w:rPr>
          <w:sz w:val="22"/>
          <w:szCs w:val="22"/>
          <w:lang w:val="bg-BG"/>
        </w:rPr>
        <w:t>Приносът на ПРСР 2007-2013 за въвеждане на иновативни подходи е незначителен. Всички мерки, подкрепящи въвеждането на иновативни подходи и технологии</w:t>
      </w:r>
      <w:r w:rsidR="00884BF3">
        <w:rPr>
          <w:sz w:val="22"/>
          <w:szCs w:val="22"/>
          <w:lang w:val="bg-BG"/>
        </w:rPr>
        <w:t>,</w:t>
      </w:r>
      <w:r w:rsidRPr="009F0E7F">
        <w:rPr>
          <w:sz w:val="22"/>
          <w:szCs w:val="22"/>
          <w:lang w:val="bg-BG"/>
        </w:rPr>
        <w:t xml:space="preserve"> без една не постигат целевите си стойности. Основната мярка, насочена към сътрудничество и разработване на нови продукти, процеси и технологии не стартира и не е изпълнена. </w:t>
      </w:r>
      <w:r w:rsidRPr="00C11CFA">
        <w:rPr>
          <w:sz w:val="22"/>
          <w:szCs w:val="22"/>
          <w:lang w:val="bg-BG"/>
        </w:rPr>
        <w:t>Като цяло въвеждането на нови технологии не е било водещ приоритет за бенефициентите, а стои на следващ план след модернизацията и технологичните подобрения. Допълнителна пречка е ниското ниво на сътрудничество между научно</w:t>
      </w:r>
      <w:r w:rsidRPr="009F0E7F">
        <w:rPr>
          <w:sz w:val="22"/>
          <w:szCs w:val="22"/>
          <w:lang w:val="bg-BG"/>
        </w:rPr>
        <w:t xml:space="preserve">-развойните звена и бизнеса в страната. </w:t>
      </w:r>
    </w:p>
    <w:p w14:paraId="354EBB66" w14:textId="416978EF" w:rsidR="004D4F2D" w:rsidRPr="009F0E7F" w:rsidRDefault="004D4F2D" w:rsidP="004D4F2D">
      <w:pPr>
        <w:pStyle w:val="DefaultText"/>
        <w:spacing w:after="120"/>
        <w:rPr>
          <w:sz w:val="22"/>
          <w:szCs w:val="22"/>
          <w:lang w:val="bg-BG"/>
        </w:rPr>
      </w:pPr>
      <w:r w:rsidRPr="009F0E7F">
        <w:rPr>
          <w:sz w:val="22"/>
          <w:szCs w:val="22"/>
          <w:lang w:val="bg-BG"/>
        </w:rPr>
        <w:t xml:space="preserve">Предоставената </w:t>
      </w:r>
      <w:r w:rsidRPr="009F0E7F">
        <w:rPr>
          <w:b/>
          <w:sz w:val="22"/>
          <w:szCs w:val="22"/>
          <w:lang w:val="bg-BG"/>
        </w:rPr>
        <w:t>техническа помощ</w:t>
      </w:r>
      <w:r w:rsidRPr="009F0E7F">
        <w:rPr>
          <w:sz w:val="22"/>
          <w:szCs w:val="22"/>
          <w:lang w:val="bg-BG"/>
        </w:rPr>
        <w:t xml:space="preserve"> частично е допринесла </w:t>
      </w:r>
      <w:r w:rsidR="00C37D8B">
        <w:rPr>
          <w:sz w:val="22"/>
          <w:szCs w:val="22"/>
          <w:lang w:val="bg-BG"/>
        </w:rPr>
        <w:t xml:space="preserve">за </w:t>
      </w:r>
      <w:r w:rsidRPr="009F0E7F">
        <w:rPr>
          <w:sz w:val="22"/>
          <w:szCs w:val="22"/>
          <w:lang w:val="bg-BG"/>
        </w:rPr>
        <w:t xml:space="preserve">постигане на целите на </w:t>
      </w:r>
      <w:r w:rsidR="006C1D34">
        <w:rPr>
          <w:sz w:val="22"/>
          <w:szCs w:val="22"/>
          <w:lang w:val="bg-BG"/>
        </w:rPr>
        <w:t>п</w:t>
      </w:r>
      <w:r w:rsidRPr="009F0E7F">
        <w:rPr>
          <w:sz w:val="22"/>
          <w:szCs w:val="22"/>
          <w:lang w:val="bg-BG"/>
        </w:rPr>
        <w:t xml:space="preserve">рограмата. Много от заложените дейности, свързани </w:t>
      </w:r>
      <w:r w:rsidR="00312BE1">
        <w:rPr>
          <w:sz w:val="22"/>
          <w:szCs w:val="22"/>
          <w:lang w:val="bg-BG"/>
        </w:rPr>
        <w:t xml:space="preserve">с </w:t>
      </w:r>
      <w:r w:rsidRPr="009F0E7F">
        <w:rPr>
          <w:sz w:val="22"/>
          <w:szCs w:val="22"/>
          <w:lang w:val="bg-BG"/>
        </w:rPr>
        <w:t>въвеждането на информационни технологии и анализи и проучвания</w:t>
      </w:r>
      <w:r w:rsidR="00884BF3">
        <w:rPr>
          <w:sz w:val="22"/>
          <w:szCs w:val="22"/>
          <w:lang w:val="bg-BG"/>
        </w:rPr>
        <w:t>,</w:t>
      </w:r>
      <w:r w:rsidRPr="009F0E7F">
        <w:rPr>
          <w:sz w:val="22"/>
          <w:szCs w:val="22"/>
          <w:lang w:val="bg-BG"/>
        </w:rPr>
        <w:t xml:space="preserve"> не са реализирани. Ефектите върху укрепване на капацитета на Управляващия орган и Разплащателната агенция по отношение на повишаване на компетентността на служителите са минимални, тъй като провежданите обучения са били спорадични и не са се базирали на анализ на нуждите. </w:t>
      </w:r>
      <w:r w:rsidR="00884BF3">
        <w:rPr>
          <w:sz w:val="22"/>
          <w:szCs w:val="22"/>
          <w:lang w:val="bg-BG"/>
        </w:rPr>
        <w:t>Управляващият орган</w:t>
      </w:r>
      <w:r w:rsidRPr="009F0E7F">
        <w:rPr>
          <w:sz w:val="22"/>
          <w:szCs w:val="22"/>
          <w:lang w:val="bg-BG"/>
        </w:rPr>
        <w:t xml:space="preserve"> по време на изпълнението на </w:t>
      </w:r>
      <w:r w:rsidR="006C1D34">
        <w:rPr>
          <w:sz w:val="22"/>
          <w:szCs w:val="22"/>
          <w:lang w:val="bg-BG"/>
        </w:rPr>
        <w:t>п</w:t>
      </w:r>
      <w:r w:rsidRPr="009F0E7F">
        <w:rPr>
          <w:sz w:val="22"/>
          <w:szCs w:val="22"/>
          <w:lang w:val="bg-BG"/>
        </w:rPr>
        <w:t>рограмата не е разполагал с ефективна информационна и мониторингова система и електронен архив. Интернет страниците както на Управляващия орган</w:t>
      </w:r>
      <w:r w:rsidR="00884BF3">
        <w:rPr>
          <w:sz w:val="22"/>
          <w:szCs w:val="22"/>
          <w:lang w:val="bg-BG"/>
        </w:rPr>
        <w:t>,</w:t>
      </w:r>
      <w:r w:rsidRPr="009F0E7F">
        <w:rPr>
          <w:sz w:val="22"/>
          <w:szCs w:val="22"/>
          <w:lang w:val="bg-BG"/>
        </w:rPr>
        <w:t xml:space="preserve"> така и на Разплащателната агенция не са достатъчно информативни, добре структурирани и лесни за ползване от потребителите. В настоящия програмен период (2014-2020) се препоръчва обученията </w:t>
      </w:r>
      <w:r w:rsidRPr="009F0E7F">
        <w:rPr>
          <w:sz w:val="22"/>
          <w:szCs w:val="22"/>
          <w:lang w:val="bg-BG"/>
        </w:rPr>
        <w:lastRenderedPageBreak/>
        <w:t xml:space="preserve">за експертите в Управляващия орган и Разплащателната агенция да бъдат по-добре структурирани и планирани на база на анализ на нуждите. Необходимо е да се осигурят равномерни и непрекъснати дейности в тази посока. Препоръчително е за Управляващия орган да се въведат информационни системи, които да подпомагат съхранението и структурирането на информацията и процеса на мониторинг, както и да се разработи и въведе електронен архив. Необходимо е да се подобри интернет страницата на </w:t>
      </w:r>
      <w:r w:rsidR="00D93EA1">
        <w:rPr>
          <w:sz w:val="22"/>
          <w:szCs w:val="22"/>
          <w:lang w:val="bg-BG"/>
        </w:rPr>
        <w:t>П</w:t>
      </w:r>
      <w:r w:rsidRPr="009F0E7F">
        <w:rPr>
          <w:sz w:val="22"/>
          <w:szCs w:val="22"/>
          <w:lang w:val="bg-BG"/>
        </w:rPr>
        <w:t xml:space="preserve">рограмата за развитие на селските райони. На страницата да се предоставя изчерпателна информация за </w:t>
      </w:r>
      <w:r w:rsidR="006C1D34">
        <w:rPr>
          <w:sz w:val="22"/>
          <w:szCs w:val="22"/>
          <w:lang w:val="bg-BG"/>
        </w:rPr>
        <w:t>п</w:t>
      </w:r>
      <w:r w:rsidRPr="009F0E7F">
        <w:rPr>
          <w:sz w:val="22"/>
          <w:szCs w:val="22"/>
          <w:lang w:val="bg-BG"/>
        </w:rPr>
        <w:t xml:space="preserve">рограмата и нейните мерки, наредби и инструменти, сключени договори с бенефициенти, постигнати резултати, добри практики както и изготвени анализи и оценки. Страницата трябва да осигурява лесен достъп до информация и да гарантира висока прозрачност на изпълнение на </w:t>
      </w:r>
      <w:r w:rsidR="006C1D34">
        <w:rPr>
          <w:sz w:val="22"/>
          <w:szCs w:val="22"/>
          <w:lang w:val="bg-BG"/>
        </w:rPr>
        <w:t>п</w:t>
      </w:r>
      <w:r w:rsidRPr="009F0E7F">
        <w:rPr>
          <w:sz w:val="22"/>
          <w:szCs w:val="22"/>
          <w:lang w:val="bg-BG"/>
        </w:rPr>
        <w:t>рограмата.</w:t>
      </w:r>
    </w:p>
    <w:p w14:paraId="28780874" w14:textId="77777777" w:rsidR="004D4F2D" w:rsidRPr="009F0E7F" w:rsidRDefault="004D4F2D" w:rsidP="004D4F2D">
      <w:pPr>
        <w:pStyle w:val="DefaultText"/>
        <w:spacing w:after="120" w:line="300" w:lineRule="atLeast"/>
        <w:rPr>
          <w:b/>
          <w:color w:val="000000" w:themeColor="text1"/>
          <w:sz w:val="22"/>
          <w:szCs w:val="22"/>
          <w:lang w:val="bg-BG"/>
        </w:rPr>
      </w:pPr>
      <w:r w:rsidRPr="009F0E7F">
        <w:rPr>
          <w:sz w:val="22"/>
          <w:szCs w:val="22"/>
          <w:lang w:val="bg-BG"/>
        </w:rPr>
        <w:t xml:space="preserve">Основните цели на </w:t>
      </w:r>
      <w:r w:rsidRPr="009F0E7F">
        <w:rPr>
          <w:b/>
          <w:sz w:val="22"/>
          <w:szCs w:val="22"/>
          <w:lang w:val="bg-BG"/>
        </w:rPr>
        <w:t>Комуникационния план</w:t>
      </w:r>
      <w:r w:rsidRPr="009F0E7F">
        <w:rPr>
          <w:sz w:val="22"/>
          <w:szCs w:val="22"/>
          <w:lang w:val="bg-BG"/>
        </w:rPr>
        <w:t xml:space="preserve"> по отношение на популяризиране на </w:t>
      </w:r>
      <w:r w:rsidR="006C1D34">
        <w:rPr>
          <w:sz w:val="22"/>
          <w:szCs w:val="22"/>
          <w:lang w:val="bg-BG"/>
        </w:rPr>
        <w:t>п</w:t>
      </w:r>
      <w:r w:rsidRPr="009F0E7F">
        <w:rPr>
          <w:sz w:val="22"/>
          <w:szCs w:val="22"/>
          <w:lang w:val="bg-BG"/>
        </w:rPr>
        <w:t>рограмата и запознаване на потенциалните кандидати с възможностите за кандидатстване са постигнати чрез провеждане на множество информационни кампании, за което са заделени значителна част от средствата по техническа помощ. Липсата на независима оценка и анализ на изпълнение на комуникационните дейности е довела до липса на обективна информация относно постигане на целите и не е дала възможност на Управляващия орган да фокусира и подобри кампаниите с цел постигане на по-големи ефекти. Препоръчително е УО да вземе предвид нуждата от осъществяване на независим анализ и оценка на комуникационните дейности в рамките на Програмата за развитие на селските райони 2014-2020 с цел постигане на по-добри резултати от тези дейности.</w:t>
      </w:r>
    </w:p>
    <w:p w14:paraId="1FE92029" w14:textId="77777777" w:rsidR="004D4F2D" w:rsidRPr="009F0E7F" w:rsidRDefault="004D4F2D" w:rsidP="004D4F2D">
      <w:pPr>
        <w:pStyle w:val="DefaultText"/>
        <w:spacing w:after="120" w:line="300" w:lineRule="atLeast"/>
        <w:rPr>
          <w:b/>
          <w:color w:val="000000" w:themeColor="text1"/>
          <w:sz w:val="22"/>
          <w:szCs w:val="22"/>
          <w:lang w:val="bg-BG"/>
        </w:rPr>
      </w:pPr>
      <w:r w:rsidRPr="009F0E7F">
        <w:rPr>
          <w:b/>
          <w:sz w:val="22"/>
          <w:szCs w:val="22"/>
          <w:lang w:val="bg-BG"/>
        </w:rPr>
        <w:t xml:space="preserve">Националната селска мрежа </w:t>
      </w:r>
      <w:r w:rsidRPr="009F0E7F">
        <w:rPr>
          <w:sz w:val="22"/>
          <w:szCs w:val="22"/>
          <w:lang w:val="bg-BG"/>
        </w:rPr>
        <w:t xml:space="preserve">има частичен принос към осигуряване на подкрепа за ефективното изпълнение на </w:t>
      </w:r>
      <w:r w:rsidR="006C1D34">
        <w:rPr>
          <w:sz w:val="22"/>
          <w:szCs w:val="22"/>
          <w:lang w:val="bg-BG"/>
        </w:rPr>
        <w:t>п</w:t>
      </w:r>
      <w:r w:rsidRPr="009F0E7F">
        <w:rPr>
          <w:sz w:val="22"/>
          <w:szCs w:val="22"/>
          <w:lang w:val="bg-BG"/>
        </w:rPr>
        <w:t>рограмата</w:t>
      </w:r>
      <w:r w:rsidR="00EB5042">
        <w:rPr>
          <w:sz w:val="22"/>
          <w:szCs w:val="22"/>
          <w:lang w:val="bg-BG"/>
        </w:rPr>
        <w:t>,</w:t>
      </w:r>
      <w:r w:rsidRPr="009F0E7F">
        <w:rPr>
          <w:sz w:val="22"/>
          <w:szCs w:val="22"/>
          <w:lang w:val="bg-BG"/>
        </w:rPr>
        <w:t xml:space="preserve"> тъй като на практика мрежата функционира само в периода 2013-2015 г. Мрежата се създава със закъснение поради проблеми с провеждане на обществената поръчка. След приключване на договора с избрания изпълнител, който изпълнява ролята на звено за управление на мрежата, в края на 2015</w:t>
      </w:r>
      <w:r w:rsidR="00EB5042">
        <w:rPr>
          <w:sz w:val="22"/>
          <w:szCs w:val="22"/>
          <w:lang w:val="bg-BG"/>
        </w:rPr>
        <w:t xml:space="preserve"> година</w:t>
      </w:r>
      <w:r w:rsidRPr="009F0E7F">
        <w:rPr>
          <w:sz w:val="22"/>
          <w:szCs w:val="22"/>
          <w:lang w:val="bg-BG"/>
        </w:rPr>
        <w:t xml:space="preserve"> все още не е избрано ново звено за управление. Препоръчително е да се разгледа възможността функцията на звено за управление на Националната селска мрежа да бъде институционализирано в администрацията (например в Националната служба за съвети в земеделието)</w:t>
      </w:r>
      <w:r w:rsidR="00EB5042">
        <w:rPr>
          <w:sz w:val="22"/>
          <w:szCs w:val="22"/>
          <w:lang w:val="bg-BG"/>
        </w:rPr>
        <w:t>,</w:t>
      </w:r>
      <w:r w:rsidRPr="009F0E7F">
        <w:rPr>
          <w:sz w:val="22"/>
          <w:szCs w:val="22"/>
          <w:lang w:val="bg-BG"/>
        </w:rPr>
        <w:t xml:space="preserve"> като специфични задачи се възлагат на външни изпълнители. По този начин ще се гарантира непрекъснатост на функциониране на мрежата.</w:t>
      </w:r>
    </w:p>
    <w:p w14:paraId="4D838C73" w14:textId="77777777" w:rsidR="00E8617E" w:rsidRPr="00BC513A" w:rsidRDefault="00E8617E" w:rsidP="00E8617E">
      <w:pPr>
        <w:pStyle w:val="Heading1"/>
        <w:numPr>
          <w:ilvl w:val="0"/>
          <w:numId w:val="0"/>
        </w:numPr>
        <w:spacing w:after="480"/>
        <w:rPr>
          <w:lang w:val="bg-BG"/>
        </w:rPr>
      </w:pPr>
      <w:bookmarkStart w:id="8" w:name="_Toc504136118"/>
      <w:r w:rsidRPr="00BC513A">
        <w:rPr>
          <w:lang w:val="bg-BG"/>
        </w:rPr>
        <w:lastRenderedPageBreak/>
        <w:t>Съдържание</w:t>
      </w:r>
      <w:bookmarkEnd w:id="2"/>
      <w:bookmarkEnd w:id="3"/>
      <w:bookmarkEnd w:id="4"/>
      <w:bookmarkEnd w:id="5"/>
      <w:bookmarkEnd w:id="6"/>
      <w:bookmarkEnd w:id="8"/>
    </w:p>
    <w:p w14:paraId="4AB00386" w14:textId="77777777" w:rsidR="00205C7B" w:rsidRDefault="00E8617E">
      <w:pPr>
        <w:pStyle w:val="TOC1"/>
        <w:rPr>
          <w:b w:val="0"/>
          <w:color w:val="auto"/>
        </w:rPr>
      </w:pPr>
      <w:r w:rsidRPr="00BC513A">
        <w:rPr>
          <w:rFonts w:ascii="Arial" w:hAnsi="Arial" w:cs="Arial"/>
          <w:b w:val="0"/>
          <w:noProof w:val="0"/>
          <w:sz w:val="20"/>
          <w:szCs w:val="20"/>
        </w:rPr>
        <w:fldChar w:fldCharType="begin"/>
      </w:r>
      <w:r w:rsidRPr="00BC513A">
        <w:rPr>
          <w:rFonts w:ascii="Arial" w:hAnsi="Arial" w:cs="Arial"/>
          <w:b w:val="0"/>
          <w:noProof w:val="0"/>
          <w:sz w:val="20"/>
          <w:szCs w:val="20"/>
        </w:rPr>
        <w:instrText xml:space="preserve"> TOC \o "1-3" \h \z \u </w:instrText>
      </w:r>
      <w:r w:rsidRPr="00BC513A">
        <w:rPr>
          <w:rFonts w:ascii="Arial" w:hAnsi="Arial" w:cs="Arial"/>
          <w:b w:val="0"/>
          <w:noProof w:val="0"/>
          <w:sz w:val="20"/>
          <w:szCs w:val="20"/>
        </w:rPr>
        <w:fldChar w:fldCharType="separate"/>
      </w:r>
      <w:hyperlink w:anchor="_Toc504136117" w:history="1">
        <w:r w:rsidR="00205C7B" w:rsidRPr="00192F07">
          <w:rPr>
            <w:rStyle w:val="Hyperlink"/>
          </w:rPr>
          <w:t>Резюме</w:t>
        </w:r>
        <w:r w:rsidR="00205C7B">
          <w:rPr>
            <w:webHidden/>
          </w:rPr>
          <w:tab/>
        </w:r>
        <w:r w:rsidR="00213E30">
          <w:rPr>
            <w:webHidden/>
          </w:rPr>
          <w:tab/>
        </w:r>
        <w:r w:rsidR="00205C7B">
          <w:rPr>
            <w:webHidden/>
          </w:rPr>
          <w:fldChar w:fldCharType="begin"/>
        </w:r>
        <w:r w:rsidR="00205C7B">
          <w:rPr>
            <w:webHidden/>
          </w:rPr>
          <w:instrText xml:space="preserve"> PAGEREF _Toc504136117 \h </w:instrText>
        </w:r>
        <w:r w:rsidR="00205C7B">
          <w:rPr>
            <w:webHidden/>
          </w:rPr>
        </w:r>
        <w:r w:rsidR="00205C7B">
          <w:rPr>
            <w:webHidden/>
          </w:rPr>
          <w:fldChar w:fldCharType="separate"/>
        </w:r>
        <w:r w:rsidR="0023010D">
          <w:rPr>
            <w:webHidden/>
          </w:rPr>
          <w:t>2</w:t>
        </w:r>
        <w:r w:rsidR="00205C7B">
          <w:rPr>
            <w:webHidden/>
          </w:rPr>
          <w:fldChar w:fldCharType="end"/>
        </w:r>
      </w:hyperlink>
    </w:p>
    <w:p w14:paraId="5D840D29" w14:textId="77777777" w:rsidR="00205C7B" w:rsidRDefault="000161DB">
      <w:pPr>
        <w:pStyle w:val="TOC1"/>
        <w:rPr>
          <w:b w:val="0"/>
          <w:color w:val="auto"/>
        </w:rPr>
      </w:pPr>
      <w:hyperlink w:anchor="_Toc504136118" w:history="1">
        <w:r w:rsidR="00205C7B" w:rsidRPr="00192F07">
          <w:rPr>
            <w:rStyle w:val="Hyperlink"/>
          </w:rPr>
          <w:t>Съдържание</w:t>
        </w:r>
        <w:r w:rsidR="00205C7B">
          <w:rPr>
            <w:webHidden/>
          </w:rPr>
          <w:tab/>
        </w:r>
        <w:r w:rsidR="00205C7B">
          <w:rPr>
            <w:webHidden/>
          </w:rPr>
          <w:fldChar w:fldCharType="begin"/>
        </w:r>
        <w:r w:rsidR="00205C7B">
          <w:rPr>
            <w:webHidden/>
          </w:rPr>
          <w:instrText xml:space="preserve"> PAGEREF _Toc504136118 \h </w:instrText>
        </w:r>
        <w:r w:rsidR="00205C7B">
          <w:rPr>
            <w:webHidden/>
          </w:rPr>
        </w:r>
        <w:r w:rsidR="00205C7B">
          <w:rPr>
            <w:webHidden/>
          </w:rPr>
          <w:fldChar w:fldCharType="separate"/>
        </w:r>
        <w:r w:rsidR="0023010D">
          <w:rPr>
            <w:webHidden/>
          </w:rPr>
          <w:t>8</w:t>
        </w:r>
        <w:r w:rsidR="00205C7B">
          <w:rPr>
            <w:webHidden/>
          </w:rPr>
          <w:fldChar w:fldCharType="end"/>
        </w:r>
      </w:hyperlink>
    </w:p>
    <w:p w14:paraId="2DF9C3CC" w14:textId="77777777" w:rsidR="00205C7B" w:rsidRDefault="000161DB">
      <w:pPr>
        <w:pStyle w:val="TOC1"/>
        <w:rPr>
          <w:b w:val="0"/>
          <w:color w:val="auto"/>
        </w:rPr>
      </w:pPr>
      <w:hyperlink w:anchor="_Toc504136119" w:history="1">
        <w:r w:rsidR="00205C7B" w:rsidRPr="00192F07">
          <w:rPr>
            <w:rStyle w:val="Hyperlink"/>
          </w:rPr>
          <w:t>Списък на таблиците</w:t>
        </w:r>
        <w:r w:rsidR="00205C7B">
          <w:rPr>
            <w:webHidden/>
          </w:rPr>
          <w:tab/>
        </w:r>
        <w:r w:rsidR="00205C7B">
          <w:rPr>
            <w:webHidden/>
          </w:rPr>
          <w:fldChar w:fldCharType="begin"/>
        </w:r>
        <w:r w:rsidR="00205C7B">
          <w:rPr>
            <w:webHidden/>
          </w:rPr>
          <w:instrText xml:space="preserve"> PAGEREF _Toc504136119 \h </w:instrText>
        </w:r>
        <w:r w:rsidR="00205C7B">
          <w:rPr>
            <w:webHidden/>
          </w:rPr>
        </w:r>
        <w:r w:rsidR="00205C7B">
          <w:rPr>
            <w:webHidden/>
          </w:rPr>
          <w:fldChar w:fldCharType="separate"/>
        </w:r>
        <w:r w:rsidR="0023010D">
          <w:rPr>
            <w:webHidden/>
          </w:rPr>
          <w:t>10</w:t>
        </w:r>
        <w:r w:rsidR="00205C7B">
          <w:rPr>
            <w:webHidden/>
          </w:rPr>
          <w:fldChar w:fldCharType="end"/>
        </w:r>
      </w:hyperlink>
    </w:p>
    <w:p w14:paraId="61D94425" w14:textId="77777777" w:rsidR="00205C7B" w:rsidRDefault="000161DB">
      <w:pPr>
        <w:pStyle w:val="TOC1"/>
        <w:rPr>
          <w:b w:val="0"/>
          <w:color w:val="auto"/>
        </w:rPr>
      </w:pPr>
      <w:hyperlink w:anchor="_Toc504136120" w:history="1">
        <w:r w:rsidR="00205C7B" w:rsidRPr="00192F07">
          <w:rPr>
            <w:rStyle w:val="Hyperlink"/>
          </w:rPr>
          <w:t>Списък на фигурите</w:t>
        </w:r>
        <w:r w:rsidR="00205C7B">
          <w:rPr>
            <w:webHidden/>
          </w:rPr>
          <w:tab/>
        </w:r>
        <w:r w:rsidR="00205C7B">
          <w:rPr>
            <w:webHidden/>
          </w:rPr>
          <w:fldChar w:fldCharType="begin"/>
        </w:r>
        <w:r w:rsidR="00205C7B">
          <w:rPr>
            <w:webHidden/>
          </w:rPr>
          <w:instrText xml:space="preserve"> PAGEREF _Toc504136120 \h </w:instrText>
        </w:r>
        <w:r w:rsidR="00205C7B">
          <w:rPr>
            <w:webHidden/>
          </w:rPr>
        </w:r>
        <w:r w:rsidR="00205C7B">
          <w:rPr>
            <w:webHidden/>
          </w:rPr>
          <w:fldChar w:fldCharType="separate"/>
        </w:r>
        <w:r w:rsidR="0023010D">
          <w:rPr>
            <w:webHidden/>
          </w:rPr>
          <w:t>13</w:t>
        </w:r>
        <w:r w:rsidR="00205C7B">
          <w:rPr>
            <w:webHidden/>
          </w:rPr>
          <w:fldChar w:fldCharType="end"/>
        </w:r>
      </w:hyperlink>
    </w:p>
    <w:p w14:paraId="671833E1" w14:textId="77777777" w:rsidR="00205C7B" w:rsidRDefault="000161DB">
      <w:pPr>
        <w:pStyle w:val="TOC1"/>
        <w:rPr>
          <w:b w:val="0"/>
          <w:color w:val="auto"/>
        </w:rPr>
      </w:pPr>
      <w:hyperlink w:anchor="_Toc504136121" w:history="1">
        <w:r w:rsidR="00205C7B" w:rsidRPr="00192F07">
          <w:rPr>
            <w:rStyle w:val="Hyperlink"/>
          </w:rPr>
          <w:t>Списък на използваните съкращения</w:t>
        </w:r>
        <w:r w:rsidR="00205C7B">
          <w:rPr>
            <w:webHidden/>
          </w:rPr>
          <w:tab/>
        </w:r>
        <w:r w:rsidR="00205C7B">
          <w:rPr>
            <w:webHidden/>
          </w:rPr>
          <w:fldChar w:fldCharType="begin"/>
        </w:r>
        <w:r w:rsidR="00205C7B">
          <w:rPr>
            <w:webHidden/>
          </w:rPr>
          <w:instrText xml:space="preserve"> PAGEREF _Toc504136121 \h </w:instrText>
        </w:r>
        <w:r w:rsidR="00205C7B">
          <w:rPr>
            <w:webHidden/>
          </w:rPr>
        </w:r>
        <w:r w:rsidR="00205C7B">
          <w:rPr>
            <w:webHidden/>
          </w:rPr>
          <w:fldChar w:fldCharType="separate"/>
        </w:r>
        <w:r w:rsidR="0023010D">
          <w:rPr>
            <w:webHidden/>
          </w:rPr>
          <w:t>14</w:t>
        </w:r>
        <w:r w:rsidR="00205C7B">
          <w:rPr>
            <w:webHidden/>
          </w:rPr>
          <w:fldChar w:fldCharType="end"/>
        </w:r>
      </w:hyperlink>
    </w:p>
    <w:p w14:paraId="268B22EB" w14:textId="77777777" w:rsidR="00205C7B" w:rsidRDefault="000161DB">
      <w:pPr>
        <w:pStyle w:val="TOC1"/>
        <w:rPr>
          <w:b w:val="0"/>
          <w:color w:val="auto"/>
        </w:rPr>
      </w:pPr>
      <w:hyperlink w:anchor="_Toc504136122" w:history="1">
        <w:r w:rsidR="00205C7B" w:rsidRPr="00192F07">
          <w:rPr>
            <w:rStyle w:val="Hyperlink"/>
          </w:rPr>
          <w:t>Раздел I. Въведение</w:t>
        </w:r>
        <w:r w:rsidR="00205C7B">
          <w:rPr>
            <w:webHidden/>
          </w:rPr>
          <w:tab/>
        </w:r>
        <w:r w:rsidR="00205C7B">
          <w:rPr>
            <w:webHidden/>
          </w:rPr>
          <w:fldChar w:fldCharType="begin"/>
        </w:r>
        <w:r w:rsidR="00205C7B">
          <w:rPr>
            <w:webHidden/>
          </w:rPr>
          <w:instrText xml:space="preserve"> PAGEREF _Toc504136122 \h </w:instrText>
        </w:r>
        <w:r w:rsidR="00205C7B">
          <w:rPr>
            <w:webHidden/>
          </w:rPr>
        </w:r>
        <w:r w:rsidR="00205C7B">
          <w:rPr>
            <w:webHidden/>
          </w:rPr>
          <w:fldChar w:fldCharType="separate"/>
        </w:r>
        <w:r w:rsidR="0023010D">
          <w:rPr>
            <w:webHidden/>
          </w:rPr>
          <w:t>15</w:t>
        </w:r>
        <w:r w:rsidR="00205C7B">
          <w:rPr>
            <w:webHidden/>
          </w:rPr>
          <w:fldChar w:fldCharType="end"/>
        </w:r>
      </w:hyperlink>
    </w:p>
    <w:p w14:paraId="42C76597" w14:textId="77777777" w:rsidR="00205C7B" w:rsidRDefault="000161DB">
      <w:pPr>
        <w:pStyle w:val="TOC2"/>
        <w:rPr>
          <w:rFonts w:asciiTheme="minorHAnsi" w:hAnsiTheme="minorHAnsi" w:cstheme="minorBidi"/>
          <w:sz w:val="22"/>
          <w:szCs w:val="22"/>
        </w:rPr>
      </w:pPr>
      <w:hyperlink w:anchor="_Toc504136123" w:history="1">
        <w:r w:rsidR="00205C7B" w:rsidRPr="00192F07">
          <w:rPr>
            <w:rStyle w:val="Hyperlink"/>
          </w:rPr>
          <w:t>1.1</w:t>
        </w:r>
        <w:r w:rsidR="00205C7B">
          <w:rPr>
            <w:rFonts w:asciiTheme="minorHAnsi" w:hAnsiTheme="minorHAnsi" w:cstheme="minorBidi"/>
            <w:sz w:val="22"/>
            <w:szCs w:val="22"/>
          </w:rPr>
          <w:tab/>
        </w:r>
        <w:r w:rsidR="00205C7B" w:rsidRPr="00192F07">
          <w:rPr>
            <w:rStyle w:val="Hyperlink"/>
          </w:rPr>
          <w:t>Цел на доклада</w:t>
        </w:r>
        <w:r w:rsidR="00205C7B">
          <w:rPr>
            <w:webHidden/>
          </w:rPr>
          <w:tab/>
        </w:r>
        <w:r w:rsidR="00205C7B">
          <w:rPr>
            <w:webHidden/>
          </w:rPr>
          <w:fldChar w:fldCharType="begin"/>
        </w:r>
        <w:r w:rsidR="00205C7B">
          <w:rPr>
            <w:webHidden/>
          </w:rPr>
          <w:instrText xml:space="preserve"> PAGEREF _Toc504136123 \h </w:instrText>
        </w:r>
        <w:r w:rsidR="00205C7B">
          <w:rPr>
            <w:webHidden/>
          </w:rPr>
        </w:r>
        <w:r w:rsidR="00205C7B">
          <w:rPr>
            <w:webHidden/>
          </w:rPr>
          <w:fldChar w:fldCharType="separate"/>
        </w:r>
        <w:r w:rsidR="0023010D">
          <w:rPr>
            <w:webHidden/>
          </w:rPr>
          <w:t>15</w:t>
        </w:r>
        <w:r w:rsidR="00205C7B">
          <w:rPr>
            <w:webHidden/>
          </w:rPr>
          <w:fldChar w:fldCharType="end"/>
        </w:r>
      </w:hyperlink>
    </w:p>
    <w:p w14:paraId="769131FC" w14:textId="77777777" w:rsidR="00205C7B" w:rsidRDefault="000161DB">
      <w:pPr>
        <w:pStyle w:val="TOC2"/>
        <w:rPr>
          <w:rFonts w:asciiTheme="minorHAnsi" w:hAnsiTheme="minorHAnsi" w:cstheme="minorBidi"/>
          <w:sz w:val="22"/>
          <w:szCs w:val="22"/>
        </w:rPr>
      </w:pPr>
      <w:hyperlink w:anchor="_Toc504136124" w:history="1">
        <w:r w:rsidR="00205C7B" w:rsidRPr="00192F07">
          <w:rPr>
            <w:rStyle w:val="Hyperlink"/>
          </w:rPr>
          <w:t>1.2</w:t>
        </w:r>
        <w:r w:rsidR="00205C7B">
          <w:rPr>
            <w:rFonts w:asciiTheme="minorHAnsi" w:hAnsiTheme="minorHAnsi" w:cstheme="minorBidi"/>
            <w:sz w:val="22"/>
            <w:szCs w:val="22"/>
          </w:rPr>
          <w:tab/>
        </w:r>
        <w:r w:rsidR="00205C7B" w:rsidRPr="00192F07">
          <w:rPr>
            <w:rStyle w:val="Hyperlink"/>
          </w:rPr>
          <w:t>Структура на доклада</w:t>
        </w:r>
        <w:r w:rsidR="00205C7B">
          <w:rPr>
            <w:webHidden/>
          </w:rPr>
          <w:tab/>
        </w:r>
        <w:r w:rsidR="00205C7B">
          <w:rPr>
            <w:webHidden/>
          </w:rPr>
          <w:fldChar w:fldCharType="begin"/>
        </w:r>
        <w:r w:rsidR="00205C7B">
          <w:rPr>
            <w:webHidden/>
          </w:rPr>
          <w:instrText xml:space="preserve"> PAGEREF _Toc504136124 \h </w:instrText>
        </w:r>
        <w:r w:rsidR="00205C7B">
          <w:rPr>
            <w:webHidden/>
          </w:rPr>
        </w:r>
        <w:r w:rsidR="00205C7B">
          <w:rPr>
            <w:webHidden/>
          </w:rPr>
          <w:fldChar w:fldCharType="separate"/>
        </w:r>
        <w:r w:rsidR="0023010D">
          <w:rPr>
            <w:webHidden/>
          </w:rPr>
          <w:t>15</w:t>
        </w:r>
        <w:r w:rsidR="00205C7B">
          <w:rPr>
            <w:webHidden/>
          </w:rPr>
          <w:fldChar w:fldCharType="end"/>
        </w:r>
      </w:hyperlink>
    </w:p>
    <w:p w14:paraId="3B379279" w14:textId="77777777" w:rsidR="00205C7B" w:rsidRDefault="000161DB">
      <w:pPr>
        <w:pStyle w:val="TOC1"/>
        <w:rPr>
          <w:b w:val="0"/>
          <w:color w:val="auto"/>
        </w:rPr>
      </w:pPr>
      <w:hyperlink w:anchor="_Toc504136125" w:history="1">
        <w:r w:rsidR="00205C7B" w:rsidRPr="00192F07">
          <w:rPr>
            <w:rStyle w:val="Hyperlink"/>
          </w:rPr>
          <w:t>Раздел II.</w:t>
        </w:r>
        <w:r w:rsidR="00205C7B">
          <w:rPr>
            <w:b w:val="0"/>
            <w:color w:val="auto"/>
          </w:rPr>
          <w:tab/>
        </w:r>
        <w:r w:rsidR="00205C7B" w:rsidRPr="00192F07">
          <w:rPr>
            <w:rStyle w:val="Hyperlink"/>
          </w:rPr>
          <w:t>Контекст на оценката</w:t>
        </w:r>
        <w:r w:rsidR="00205C7B">
          <w:rPr>
            <w:webHidden/>
          </w:rPr>
          <w:tab/>
        </w:r>
        <w:r w:rsidR="00205C7B">
          <w:rPr>
            <w:webHidden/>
          </w:rPr>
          <w:fldChar w:fldCharType="begin"/>
        </w:r>
        <w:r w:rsidR="00205C7B">
          <w:rPr>
            <w:webHidden/>
          </w:rPr>
          <w:instrText xml:space="preserve"> PAGEREF _Toc504136125 \h </w:instrText>
        </w:r>
        <w:r w:rsidR="00205C7B">
          <w:rPr>
            <w:webHidden/>
          </w:rPr>
        </w:r>
        <w:r w:rsidR="00205C7B">
          <w:rPr>
            <w:webHidden/>
          </w:rPr>
          <w:fldChar w:fldCharType="separate"/>
        </w:r>
        <w:r w:rsidR="0023010D">
          <w:rPr>
            <w:webHidden/>
          </w:rPr>
          <w:t>16</w:t>
        </w:r>
        <w:r w:rsidR="00205C7B">
          <w:rPr>
            <w:webHidden/>
          </w:rPr>
          <w:fldChar w:fldCharType="end"/>
        </w:r>
      </w:hyperlink>
    </w:p>
    <w:p w14:paraId="5DFB0498" w14:textId="77777777" w:rsidR="00205C7B" w:rsidRDefault="000161DB">
      <w:pPr>
        <w:pStyle w:val="TOC2"/>
        <w:rPr>
          <w:rFonts w:asciiTheme="minorHAnsi" w:hAnsiTheme="minorHAnsi" w:cstheme="minorBidi"/>
          <w:sz w:val="22"/>
          <w:szCs w:val="22"/>
        </w:rPr>
      </w:pPr>
      <w:hyperlink w:anchor="_Toc504136126" w:history="1">
        <w:r w:rsidR="00205C7B" w:rsidRPr="00192F07">
          <w:rPr>
            <w:rStyle w:val="Hyperlink"/>
          </w:rPr>
          <w:t>2.1</w:t>
        </w:r>
        <w:r w:rsidR="00205C7B">
          <w:rPr>
            <w:rFonts w:asciiTheme="minorHAnsi" w:hAnsiTheme="minorHAnsi" w:cstheme="minorBidi"/>
            <w:sz w:val="22"/>
            <w:szCs w:val="22"/>
          </w:rPr>
          <w:tab/>
        </w:r>
        <w:r w:rsidR="00205C7B" w:rsidRPr="00192F07">
          <w:rPr>
            <w:rStyle w:val="Hyperlink"/>
          </w:rPr>
          <w:t>Програма за развитие на селските райони 2007-2013 г.</w:t>
        </w:r>
        <w:r w:rsidR="00205C7B">
          <w:rPr>
            <w:webHidden/>
          </w:rPr>
          <w:tab/>
        </w:r>
        <w:r w:rsidR="00205C7B">
          <w:rPr>
            <w:webHidden/>
          </w:rPr>
          <w:fldChar w:fldCharType="begin"/>
        </w:r>
        <w:r w:rsidR="00205C7B">
          <w:rPr>
            <w:webHidden/>
          </w:rPr>
          <w:instrText xml:space="preserve"> PAGEREF _Toc504136126 \h </w:instrText>
        </w:r>
        <w:r w:rsidR="00205C7B">
          <w:rPr>
            <w:webHidden/>
          </w:rPr>
        </w:r>
        <w:r w:rsidR="00205C7B">
          <w:rPr>
            <w:webHidden/>
          </w:rPr>
          <w:fldChar w:fldCharType="separate"/>
        </w:r>
        <w:r w:rsidR="0023010D">
          <w:rPr>
            <w:webHidden/>
          </w:rPr>
          <w:t>16</w:t>
        </w:r>
        <w:r w:rsidR="00205C7B">
          <w:rPr>
            <w:webHidden/>
          </w:rPr>
          <w:fldChar w:fldCharType="end"/>
        </w:r>
      </w:hyperlink>
    </w:p>
    <w:p w14:paraId="01EC36DB" w14:textId="77777777" w:rsidR="00205C7B" w:rsidRDefault="000161DB">
      <w:pPr>
        <w:pStyle w:val="TOC2"/>
        <w:rPr>
          <w:rFonts w:asciiTheme="minorHAnsi" w:hAnsiTheme="minorHAnsi" w:cstheme="minorBidi"/>
          <w:sz w:val="22"/>
          <w:szCs w:val="22"/>
        </w:rPr>
      </w:pPr>
      <w:hyperlink w:anchor="_Toc504136127" w:history="1">
        <w:r w:rsidR="00205C7B" w:rsidRPr="00192F07">
          <w:rPr>
            <w:rStyle w:val="Hyperlink"/>
          </w:rPr>
          <w:t>2.2</w:t>
        </w:r>
        <w:r w:rsidR="00205C7B">
          <w:rPr>
            <w:rFonts w:asciiTheme="minorHAnsi" w:hAnsiTheme="minorHAnsi" w:cstheme="minorBidi"/>
            <w:sz w:val="22"/>
            <w:szCs w:val="22"/>
          </w:rPr>
          <w:tab/>
        </w:r>
        <w:r w:rsidR="00205C7B" w:rsidRPr="00192F07">
          <w:rPr>
            <w:rStyle w:val="Hyperlink"/>
          </w:rPr>
          <w:t>Цел и обхват на оценката</w:t>
        </w:r>
        <w:r w:rsidR="00205C7B">
          <w:rPr>
            <w:webHidden/>
          </w:rPr>
          <w:tab/>
        </w:r>
        <w:r w:rsidR="00205C7B">
          <w:rPr>
            <w:webHidden/>
          </w:rPr>
          <w:fldChar w:fldCharType="begin"/>
        </w:r>
        <w:r w:rsidR="00205C7B">
          <w:rPr>
            <w:webHidden/>
          </w:rPr>
          <w:instrText xml:space="preserve"> PAGEREF _Toc504136127 \h </w:instrText>
        </w:r>
        <w:r w:rsidR="00205C7B">
          <w:rPr>
            <w:webHidden/>
          </w:rPr>
        </w:r>
        <w:r w:rsidR="00205C7B">
          <w:rPr>
            <w:webHidden/>
          </w:rPr>
          <w:fldChar w:fldCharType="separate"/>
        </w:r>
        <w:r w:rsidR="0023010D">
          <w:rPr>
            <w:webHidden/>
          </w:rPr>
          <w:t>20</w:t>
        </w:r>
        <w:r w:rsidR="00205C7B">
          <w:rPr>
            <w:webHidden/>
          </w:rPr>
          <w:fldChar w:fldCharType="end"/>
        </w:r>
      </w:hyperlink>
    </w:p>
    <w:p w14:paraId="5E0117CB" w14:textId="77777777" w:rsidR="00205C7B" w:rsidRDefault="000161DB">
      <w:pPr>
        <w:pStyle w:val="TOC2"/>
        <w:rPr>
          <w:rFonts w:asciiTheme="minorHAnsi" w:hAnsiTheme="minorHAnsi" w:cstheme="minorBidi"/>
          <w:sz w:val="22"/>
          <w:szCs w:val="22"/>
        </w:rPr>
      </w:pPr>
      <w:hyperlink w:anchor="_Toc504136128" w:history="1">
        <w:r w:rsidR="00205C7B" w:rsidRPr="00192F07">
          <w:rPr>
            <w:rStyle w:val="Hyperlink"/>
          </w:rPr>
          <w:t>2.3</w:t>
        </w:r>
        <w:r w:rsidR="00205C7B">
          <w:rPr>
            <w:rFonts w:asciiTheme="minorHAnsi" w:hAnsiTheme="minorHAnsi" w:cstheme="minorBidi"/>
            <w:sz w:val="22"/>
            <w:szCs w:val="22"/>
          </w:rPr>
          <w:tab/>
        </w:r>
        <w:r w:rsidR="00205C7B" w:rsidRPr="00192F07">
          <w:rPr>
            <w:rStyle w:val="Hyperlink"/>
          </w:rPr>
          <w:t>Предходни оценки на ПРСР 2007-2013 г.</w:t>
        </w:r>
        <w:r w:rsidR="00205C7B">
          <w:rPr>
            <w:webHidden/>
          </w:rPr>
          <w:tab/>
        </w:r>
        <w:r w:rsidR="00205C7B">
          <w:rPr>
            <w:webHidden/>
          </w:rPr>
          <w:fldChar w:fldCharType="begin"/>
        </w:r>
        <w:r w:rsidR="00205C7B">
          <w:rPr>
            <w:webHidden/>
          </w:rPr>
          <w:instrText xml:space="preserve"> PAGEREF _Toc504136128 \h </w:instrText>
        </w:r>
        <w:r w:rsidR="00205C7B">
          <w:rPr>
            <w:webHidden/>
          </w:rPr>
        </w:r>
        <w:r w:rsidR="00205C7B">
          <w:rPr>
            <w:webHidden/>
          </w:rPr>
          <w:fldChar w:fldCharType="separate"/>
        </w:r>
        <w:r w:rsidR="0023010D">
          <w:rPr>
            <w:webHidden/>
          </w:rPr>
          <w:t>20</w:t>
        </w:r>
        <w:r w:rsidR="00205C7B">
          <w:rPr>
            <w:webHidden/>
          </w:rPr>
          <w:fldChar w:fldCharType="end"/>
        </w:r>
      </w:hyperlink>
    </w:p>
    <w:p w14:paraId="6AFAB557" w14:textId="77777777" w:rsidR="00205C7B" w:rsidRDefault="000161DB">
      <w:pPr>
        <w:pStyle w:val="TOC3"/>
        <w:tabs>
          <w:tab w:val="left" w:pos="1760"/>
        </w:tabs>
        <w:rPr>
          <w:rFonts w:eastAsiaTheme="minorEastAsia"/>
          <w:i w:val="0"/>
          <w:noProof/>
          <w:sz w:val="22"/>
          <w:lang w:eastAsia="bg-BG"/>
        </w:rPr>
      </w:pPr>
      <w:hyperlink w:anchor="_Toc504136129" w:history="1">
        <w:r w:rsidR="00205C7B" w:rsidRPr="00192F07">
          <w:rPr>
            <w:rStyle w:val="Hyperlink"/>
            <w:noProof/>
          </w:rPr>
          <w:t>2.3.1</w:t>
        </w:r>
        <w:r w:rsidR="00205C7B">
          <w:rPr>
            <w:rFonts w:eastAsiaTheme="minorEastAsia"/>
            <w:i w:val="0"/>
            <w:noProof/>
            <w:sz w:val="22"/>
            <w:lang w:eastAsia="bg-BG"/>
          </w:rPr>
          <w:tab/>
        </w:r>
        <w:r w:rsidR="00205C7B" w:rsidRPr="00192F07">
          <w:rPr>
            <w:rStyle w:val="Hyperlink"/>
            <w:noProof/>
          </w:rPr>
          <w:t>Предварителна оценка на ПРСР 2007-2013 г.</w:t>
        </w:r>
        <w:r w:rsidR="00205C7B">
          <w:rPr>
            <w:noProof/>
            <w:webHidden/>
          </w:rPr>
          <w:tab/>
        </w:r>
        <w:r w:rsidR="00205C7B">
          <w:rPr>
            <w:noProof/>
            <w:webHidden/>
          </w:rPr>
          <w:fldChar w:fldCharType="begin"/>
        </w:r>
        <w:r w:rsidR="00205C7B">
          <w:rPr>
            <w:noProof/>
            <w:webHidden/>
          </w:rPr>
          <w:instrText xml:space="preserve"> PAGEREF _Toc504136129 \h </w:instrText>
        </w:r>
        <w:r w:rsidR="00205C7B">
          <w:rPr>
            <w:noProof/>
            <w:webHidden/>
          </w:rPr>
        </w:r>
        <w:r w:rsidR="00205C7B">
          <w:rPr>
            <w:noProof/>
            <w:webHidden/>
          </w:rPr>
          <w:fldChar w:fldCharType="separate"/>
        </w:r>
        <w:r w:rsidR="0023010D">
          <w:rPr>
            <w:noProof/>
            <w:webHidden/>
          </w:rPr>
          <w:t>21</w:t>
        </w:r>
        <w:r w:rsidR="00205C7B">
          <w:rPr>
            <w:noProof/>
            <w:webHidden/>
          </w:rPr>
          <w:fldChar w:fldCharType="end"/>
        </w:r>
      </w:hyperlink>
    </w:p>
    <w:p w14:paraId="2F0BBF58" w14:textId="77777777" w:rsidR="00205C7B" w:rsidRDefault="000161DB">
      <w:pPr>
        <w:pStyle w:val="TOC3"/>
        <w:tabs>
          <w:tab w:val="left" w:pos="1760"/>
        </w:tabs>
        <w:rPr>
          <w:rFonts w:eastAsiaTheme="minorEastAsia"/>
          <w:i w:val="0"/>
          <w:noProof/>
          <w:sz w:val="22"/>
          <w:lang w:eastAsia="bg-BG"/>
        </w:rPr>
      </w:pPr>
      <w:hyperlink w:anchor="_Toc504136130" w:history="1">
        <w:r w:rsidR="00205C7B" w:rsidRPr="00192F07">
          <w:rPr>
            <w:rStyle w:val="Hyperlink"/>
            <w:noProof/>
          </w:rPr>
          <w:t>2.3.2</w:t>
        </w:r>
        <w:r w:rsidR="00205C7B">
          <w:rPr>
            <w:rFonts w:eastAsiaTheme="minorEastAsia"/>
            <w:i w:val="0"/>
            <w:noProof/>
            <w:sz w:val="22"/>
            <w:lang w:eastAsia="bg-BG"/>
          </w:rPr>
          <w:tab/>
        </w:r>
        <w:r w:rsidR="00205C7B" w:rsidRPr="00192F07">
          <w:rPr>
            <w:rStyle w:val="Hyperlink"/>
            <w:noProof/>
          </w:rPr>
          <w:t>Текуща и междинна оценка на изпълнението на ПРСР в периода 2008–2010 г:</w:t>
        </w:r>
        <w:r w:rsidR="00205C7B">
          <w:rPr>
            <w:noProof/>
            <w:webHidden/>
          </w:rPr>
          <w:tab/>
        </w:r>
        <w:r w:rsidR="00205C7B">
          <w:rPr>
            <w:noProof/>
            <w:webHidden/>
          </w:rPr>
          <w:fldChar w:fldCharType="begin"/>
        </w:r>
        <w:r w:rsidR="00205C7B">
          <w:rPr>
            <w:noProof/>
            <w:webHidden/>
          </w:rPr>
          <w:instrText xml:space="preserve"> PAGEREF _Toc504136130 \h </w:instrText>
        </w:r>
        <w:r w:rsidR="00205C7B">
          <w:rPr>
            <w:noProof/>
            <w:webHidden/>
          </w:rPr>
        </w:r>
        <w:r w:rsidR="00205C7B">
          <w:rPr>
            <w:noProof/>
            <w:webHidden/>
          </w:rPr>
          <w:fldChar w:fldCharType="separate"/>
        </w:r>
        <w:r w:rsidR="0023010D">
          <w:rPr>
            <w:noProof/>
            <w:webHidden/>
          </w:rPr>
          <w:t>22</w:t>
        </w:r>
        <w:r w:rsidR="00205C7B">
          <w:rPr>
            <w:noProof/>
            <w:webHidden/>
          </w:rPr>
          <w:fldChar w:fldCharType="end"/>
        </w:r>
      </w:hyperlink>
    </w:p>
    <w:p w14:paraId="70B86CCE" w14:textId="77777777" w:rsidR="00205C7B" w:rsidRDefault="000161DB">
      <w:pPr>
        <w:pStyle w:val="TOC3"/>
        <w:tabs>
          <w:tab w:val="left" w:pos="1760"/>
        </w:tabs>
        <w:rPr>
          <w:rFonts w:eastAsiaTheme="minorEastAsia"/>
          <w:i w:val="0"/>
          <w:noProof/>
          <w:sz w:val="22"/>
          <w:lang w:eastAsia="bg-BG"/>
        </w:rPr>
      </w:pPr>
      <w:hyperlink w:anchor="_Toc504136131" w:history="1">
        <w:r w:rsidR="00205C7B" w:rsidRPr="00192F07">
          <w:rPr>
            <w:rStyle w:val="Hyperlink"/>
            <w:noProof/>
          </w:rPr>
          <w:t>2.3.3</w:t>
        </w:r>
        <w:r w:rsidR="00205C7B">
          <w:rPr>
            <w:rFonts w:eastAsiaTheme="minorEastAsia"/>
            <w:i w:val="0"/>
            <w:noProof/>
            <w:sz w:val="22"/>
            <w:lang w:eastAsia="bg-BG"/>
          </w:rPr>
          <w:tab/>
        </w:r>
        <w:r w:rsidR="00205C7B" w:rsidRPr="00192F07">
          <w:rPr>
            <w:rStyle w:val="Hyperlink"/>
            <w:noProof/>
          </w:rPr>
          <w:t>Текуща оценка на изпълнението на ПРСР за 2011, 2012 и 2013 г.</w:t>
        </w:r>
        <w:r w:rsidR="00205C7B">
          <w:rPr>
            <w:noProof/>
            <w:webHidden/>
          </w:rPr>
          <w:tab/>
        </w:r>
        <w:r w:rsidR="00205C7B">
          <w:rPr>
            <w:noProof/>
            <w:webHidden/>
          </w:rPr>
          <w:fldChar w:fldCharType="begin"/>
        </w:r>
        <w:r w:rsidR="00205C7B">
          <w:rPr>
            <w:noProof/>
            <w:webHidden/>
          </w:rPr>
          <w:instrText xml:space="preserve"> PAGEREF _Toc504136131 \h </w:instrText>
        </w:r>
        <w:r w:rsidR="00205C7B">
          <w:rPr>
            <w:noProof/>
            <w:webHidden/>
          </w:rPr>
        </w:r>
        <w:r w:rsidR="00205C7B">
          <w:rPr>
            <w:noProof/>
            <w:webHidden/>
          </w:rPr>
          <w:fldChar w:fldCharType="separate"/>
        </w:r>
        <w:r w:rsidR="0023010D">
          <w:rPr>
            <w:noProof/>
            <w:webHidden/>
          </w:rPr>
          <w:t>24</w:t>
        </w:r>
        <w:r w:rsidR="00205C7B">
          <w:rPr>
            <w:noProof/>
            <w:webHidden/>
          </w:rPr>
          <w:fldChar w:fldCharType="end"/>
        </w:r>
      </w:hyperlink>
    </w:p>
    <w:p w14:paraId="6E3312DE" w14:textId="77777777" w:rsidR="00205C7B" w:rsidRDefault="000161DB">
      <w:pPr>
        <w:pStyle w:val="TOC1"/>
        <w:rPr>
          <w:b w:val="0"/>
          <w:color w:val="auto"/>
        </w:rPr>
      </w:pPr>
      <w:hyperlink w:anchor="_Toc504136132" w:history="1">
        <w:r w:rsidR="00205C7B" w:rsidRPr="00192F07">
          <w:rPr>
            <w:rStyle w:val="Hyperlink"/>
          </w:rPr>
          <w:t>Раздел III.</w:t>
        </w:r>
        <w:r w:rsidR="00205C7B">
          <w:rPr>
            <w:b w:val="0"/>
            <w:color w:val="auto"/>
          </w:rPr>
          <w:tab/>
        </w:r>
        <w:r w:rsidR="00205C7B" w:rsidRPr="00192F07">
          <w:rPr>
            <w:rStyle w:val="Hyperlink"/>
          </w:rPr>
          <w:t>Методологически подход</w:t>
        </w:r>
        <w:r w:rsidR="00205C7B">
          <w:rPr>
            <w:webHidden/>
          </w:rPr>
          <w:tab/>
        </w:r>
        <w:r w:rsidR="00205C7B">
          <w:rPr>
            <w:webHidden/>
          </w:rPr>
          <w:fldChar w:fldCharType="begin"/>
        </w:r>
        <w:r w:rsidR="00205C7B">
          <w:rPr>
            <w:webHidden/>
          </w:rPr>
          <w:instrText xml:space="preserve"> PAGEREF _Toc504136132 \h </w:instrText>
        </w:r>
        <w:r w:rsidR="00205C7B">
          <w:rPr>
            <w:webHidden/>
          </w:rPr>
        </w:r>
        <w:r w:rsidR="00205C7B">
          <w:rPr>
            <w:webHidden/>
          </w:rPr>
          <w:fldChar w:fldCharType="separate"/>
        </w:r>
        <w:r w:rsidR="0023010D">
          <w:rPr>
            <w:webHidden/>
          </w:rPr>
          <w:t>26</w:t>
        </w:r>
        <w:r w:rsidR="00205C7B">
          <w:rPr>
            <w:webHidden/>
          </w:rPr>
          <w:fldChar w:fldCharType="end"/>
        </w:r>
      </w:hyperlink>
    </w:p>
    <w:p w14:paraId="3867CE8D" w14:textId="77777777" w:rsidR="00205C7B" w:rsidRDefault="000161DB">
      <w:pPr>
        <w:pStyle w:val="TOC2"/>
        <w:rPr>
          <w:rFonts w:asciiTheme="minorHAnsi" w:hAnsiTheme="minorHAnsi" w:cstheme="minorBidi"/>
          <w:sz w:val="22"/>
          <w:szCs w:val="22"/>
        </w:rPr>
      </w:pPr>
      <w:hyperlink w:anchor="_Toc504136133" w:history="1">
        <w:r w:rsidR="00205C7B" w:rsidRPr="00192F07">
          <w:rPr>
            <w:rStyle w:val="Hyperlink"/>
          </w:rPr>
          <w:t>3.1</w:t>
        </w:r>
        <w:r w:rsidR="00205C7B">
          <w:rPr>
            <w:rFonts w:asciiTheme="minorHAnsi" w:hAnsiTheme="minorHAnsi" w:cstheme="minorBidi"/>
            <w:sz w:val="22"/>
            <w:szCs w:val="22"/>
          </w:rPr>
          <w:tab/>
        </w:r>
        <w:r w:rsidR="00205C7B" w:rsidRPr="00192F07">
          <w:rPr>
            <w:rStyle w:val="Hyperlink"/>
          </w:rPr>
          <w:t>Дизайн на оценката и използвани методи</w:t>
        </w:r>
        <w:r w:rsidR="00205C7B">
          <w:rPr>
            <w:webHidden/>
          </w:rPr>
          <w:tab/>
        </w:r>
        <w:r w:rsidR="00205C7B">
          <w:rPr>
            <w:webHidden/>
          </w:rPr>
          <w:fldChar w:fldCharType="begin"/>
        </w:r>
        <w:r w:rsidR="00205C7B">
          <w:rPr>
            <w:webHidden/>
          </w:rPr>
          <w:instrText xml:space="preserve"> PAGEREF _Toc504136133 \h </w:instrText>
        </w:r>
        <w:r w:rsidR="00205C7B">
          <w:rPr>
            <w:webHidden/>
          </w:rPr>
        </w:r>
        <w:r w:rsidR="00205C7B">
          <w:rPr>
            <w:webHidden/>
          </w:rPr>
          <w:fldChar w:fldCharType="separate"/>
        </w:r>
        <w:r w:rsidR="0023010D">
          <w:rPr>
            <w:webHidden/>
          </w:rPr>
          <w:t>26</w:t>
        </w:r>
        <w:r w:rsidR="00205C7B">
          <w:rPr>
            <w:webHidden/>
          </w:rPr>
          <w:fldChar w:fldCharType="end"/>
        </w:r>
      </w:hyperlink>
    </w:p>
    <w:p w14:paraId="016BD377" w14:textId="77777777" w:rsidR="00205C7B" w:rsidRDefault="000161DB">
      <w:pPr>
        <w:pStyle w:val="TOC2"/>
        <w:rPr>
          <w:rFonts w:asciiTheme="minorHAnsi" w:hAnsiTheme="minorHAnsi" w:cstheme="minorBidi"/>
          <w:sz w:val="22"/>
          <w:szCs w:val="22"/>
        </w:rPr>
      </w:pPr>
      <w:hyperlink w:anchor="_Toc504136134" w:history="1">
        <w:r w:rsidR="00205C7B" w:rsidRPr="00192F07">
          <w:rPr>
            <w:rStyle w:val="Hyperlink"/>
          </w:rPr>
          <w:t>3.2</w:t>
        </w:r>
        <w:r w:rsidR="00205C7B">
          <w:rPr>
            <w:rFonts w:asciiTheme="minorHAnsi" w:hAnsiTheme="minorHAnsi" w:cstheme="minorBidi"/>
            <w:sz w:val="22"/>
            <w:szCs w:val="22"/>
          </w:rPr>
          <w:tab/>
        </w:r>
        <w:r w:rsidR="00205C7B" w:rsidRPr="00192F07">
          <w:rPr>
            <w:rStyle w:val="Hyperlink"/>
          </w:rPr>
          <w:t>Оценителни въпроси</w:t>
        </w:r>
        <w:r w:rsidR="00205C7B">
          <w:rPr>
            <w:webHidden/>
          </w:rPr>
          <w:tab/>
        </w:r>
        <w:r w:rsidR="00205C7B">
          <w:rPr>
            <w:webHidden/>
          </w:rPr>
          <w:fldChar w:fldCharType="begin"/>
        </w:r>
        <w:r w:rsidR="00205C7B">
          <w:rPr>
            <w:webHidden/>
          </w:rPr>
          <w:instrText xml:space="preserve"> PAGEREF _Toc504136134 \h </w:instrText>
        </w:r>
        <w:r w:rsidR="00205C7B">
          <w:rPr>
            <w:webHidden/>
          </w:rPr>
        </w:r>
        <w:r w:rsidR="00205C7B">
          <w:rPr>
            <w:webHidden/>
          </w:rPr>
          <w:fldChar w:fldCharType="separate"/>
        </w:r>
        <w:r w:rsidR="0023010D">
          <w:rPr>
            <w:webHidden/>
          </w:rPr>
          <w:t>27</w:t>
        </w:r>
        <w:r w:rsidR="00205C7B">
          <w:rPr>
            <w:webHidden/>
          </w:rPr>
          <w:fldChar w:fldCharType="end"/>
        </w:r>
      </w:hyperlink>
    </w:p>
    <w:p w14:paraId="209C2059" w14:textId="77777777" w:rsidR="00205C7B" w:rsidRDefault="000161DB">
      <w:pPr>
        <w:pStyle w:val="TOC2"/>
        <w:rPr>
          <w:rFonts w:asciiTheme="minorHAnsi" w:hAnsiTheme="minorHAnsi" w:cstheme="minorBidi"/>
          <w:sz w:val="22"/>
          <w:szCs w:val="22"/>
        </w:rPr>
      </w:pPr>
      <w:hyperlink w:anchor="_Toc504136135" w:history="1">
        <w:r w:rsidR="00205C7B" w:rsidRPr="00192F07">
          <w:rPr>
            <w:rStyle w:val="Hyperlink"/>
          </w:rPr>
          <w:t>3.3</w:t>
        </w:r>
        <w:r w:rsidR="00205C7B">
          <w:rPr>
            <w:rFonts w:asciiTheme="minorHAnsi" w:hAnsiTheme="minorHAnsi" w:cstheme="minorBidi"/>
            <w:sz w:val="22"/>
            <w:szCs w:val="22"/>
          </w:rPr>
          <w:tab/>
        </w:r>
        <w:r w:rsidR="00205C7B" w:rsidRPr="00192F07">
          <w:rPr>
            <w:rStyle w:val="Hyperlink"/>
          </w:rPr>
          <w:t>Източници на данни и подходи при изчисляване на стойността на индикаторите</w:t>
        </w:r>
        <w:r w:rsidR="00205C7B">
          <w:rPr>
            <w:webHidden/>
          </w:rPr>
          <w:tab/>
        </w:r>
        <w:r w:rsidR="00205C7B">
          <w:rPr>
            <w:webHidden/>
          </w:rPr>
          <w:fldChar w:fldCharType="begin"/>
        </w:r>
        <w:r w:rsidR="00205C7B">
          <w:rPr>
            <w:webHidden/>
          </w:rPr>
          <w:instrText xml:space="preserve"> PAGEREF _Toc504136135 \h </w:instrText>
        </w:r>
        <w:r w:rsidR="00205C7B">
          <w:rPr>
            <w:webHidden/>
          </w:rPr>
        </w:r>
        <w:r w:rsidR="00205C7B">
          <w:rPr>
            <w:webHidden/>
          </w:rPr>
          <w:fldChar w:fldCharType="separate"/>
        </w:r>
        <w:r w:rsidR="0023010D">
          <w:rPr>
            <w:webHidden/>
          </w:rPr>
          <w:t>30</w:t>
        </w:r>
        <w:r w:rsidR="00205C7B">
          <w:rPr>
            <w:webHidden/>
          </w:rPr>
          <w:fldChar w:fldCharType="end"/>
        </w:r>
      </w:hyperlink>
    </w:p>
    <w:p w14:paraId="2091BEF1" w14:textId="77777777" w:rsidR="00205C7B" w:rsidRDefault="000161DB">
      <w:pPr>
        <w:pStyle w:val="TOC2"/>
        <w:rPr>
          <w:rFonts w:asciiTheme="minorHAnsi" w:hAnsiTheme="minorHAnsi" w:cstheme="minorBidi"/>
          <w:sz w:val="22"/>
          <w:szCs w:val="22"/>
        </w:rPr>
      </w:pPr>
      <w:hyperlink w:anchor="_Toc504136136" w:history="1">
        <w:r w:rsidR="00205C7B" w:rsidRPr="00192F07">
          <w:rPr>
            <w:rStyle w:val="Hyperlink"/>
          </w:rPr>
          <w:t>3.4</w:t>
        </w:r>
        <w:r w:rsidR="00205C7B">
          <w:rPr>
            <w:rFonts w:asciiTheme="minorHAnsi" w:hAnsiTheme="minorHAnsi" w:cstheme="minorBidi"/>
            <w:sz w:val="22"/>
            <w:szCs w:val="22"/>
          </w:rPr>
          <w:tab/>
        </w:r>
        <w:r w:rsidR="00205C7B" w:rsidRPr="00192F07">
          <w:rPr>
            <w:rStyle w:val="Hyperlink"/>
          </w:rPr>
          <w:t>Ограничения на методологическия подход</w:t>
        </w:r>
        <w:r w:rsidR="00205C7B">
          <w:rPr>
            <w:webHidden/>
          </w:rPr>
          <w:tab/>
        </w:r>
        <w:r w:rsidR="00205C7B">
          <w:rPr>
            <w:webHidden/>
          </w:rPr>
          <w:fldChar w:fldCharType="begin"/>
        </w:r>
        <w:r w:rsidR="00205C7B">
          <w:rPr>
            <w:webHidden/>
          </w:rPr>
          <w:instrText xml:space="preserve"> PAGEREF _Toc504136136 \h </w:instrText>
        </w:r>
        <w:r w:rsidR="00205C7B">
          <w:rPr>
            <w:webHidden/>
          </w:rPr>
        </w:r>
        <w:r w:rsidR="00205C7B">
          <w:rPr>
            <w:webHidden/>
          </w:rPr>
          <w:fldChar w:fldCharType="separate"/>
        </w:r>
        <w:r w:rsidR="0023010D">
          <w:rPr>
            <w:webHidden/>
          </w:rPr>
          <w:t>30</w:t>
        </w:r>
        <w:r w:rsidR="00205C7B">
          <w:rPr>
            <w:webHidden/>
          </w:rPr>
          <w:fldChar w:fldCharType="end"/>
        </w:r>
      </w:hyperlink>
    </w:p>
    <w:p w14:paraId="1256E2E8" w14:textId="77777777" w:rsidR="00205C7B" w:rsidRDefault="000161DB">
      <w:pPr>
        <w:pStyle w:val="TOC1"/>
        <w:rPr>
          <w:b w:val="0"/>
          <w:color w:val="auto"/>
        </w:rPr>
      </w:pPr>
      <w:hyperlink w:anchor="_Toc504136137" w:history="1">
        <w:r w:rsidR="00205C7B" w:rsidRPr="00192F07">
          <w:rPr>
            <w:rStyle w:val="Hyperlink"/>
          </w:rPr>
          <w:t>Раздел IV.</w:t>
        </w:r>
        <w:r w:rsidR="00205C7B">
          <w:rPr>
            <w:b w:val="0"/>
            <w:color w:val="auto"/>
          </w:rPr>
          <w:tab/>
        </w:r>
        <w:r w:rsidR="00205C7B" w:rsidRPr="00192F07">
          <w:rPr>
            <w:rStyle w:val="Hyperlink"/>
          </w:rPr>
          <w:t>Описание на програмата, мерките и бюджета</w:t>
        </w:r>
        <w:r w:rsidR="00205C7B">
          <w:rPr>
            <w:webHidden/>
          </w:rPr>
          <w:tab/>
        </w:r>
        <w:r w:rsidR="00205C7B">
          <w:rPr>
            <w:webHidden/>
          </w:rPr>
          <w:fldChar w:fldCharType="begin"/>
        </w:r>
        <w:r w:rsidR="00205C7B">
          <w:rPr>
            <w:webHidden/>
          </w:rPr>
          <w:instrText xml:space="preserve"> PAGEREF _Toc504136137 \h </w:instrText>
        </w:r>
        <w:r w:rsidR="00205C7B">
          <w:rPr>
            <w:webHidden/>
          </w:rPr>
        </w:r>
        <w:r w:rsidR="00205C7B">
          <w:rPr>
            <w:webHidden/>
          </w:rPr>
          <w:fldChar w:fldCharType="separate"/>
        </w:r>
        <w:r w:rsidR="0023010D">
          <w:rPr>
            <w:webHidden/>
          </w:rPr>
          <w:t>31</w:t>
        </w:r>
        <w:r w:rsidR="00205C7B">
          <w:rPr>
            <w:webHidden/>
          </w:rPr>
          <w:fldChar w:fldCharType="end"/>
        </w:r>
      </w:hyperlink>
    </w:p>
    <w:p w14:paraId="2A4B94B8" w14:textId="77777777" w:rsidR="00205C7B" w:rsidRDefault="000161DB">
      <w:pPr>
        <w:pStyle w:val="TOC2"/>
        <w:rPr>
          <w:rFonts w:asciiTheme="minorHAnsi" w:hAnsiTheme="minorHAnsi" w:cstheme="minorBidi"/>
          <w:sz w:val="22"/>
          <w:szCs w:val="22"/>
        </w:rPr>
      </w:pPr>
      <w:hyperlink w:anchor="_Toc504136138" w:history="1">
        <w:r w:rsidR="00205C7B" w:rsidRPr="00192F07">
          <w:rPr>
            <w:rStyle w:val="Hyperlink"/>
          </w:rPr>
          <w:t>4.1</w:t>
        </w:r>
        <w:r w:rsidR="00205C7B">
          <w:rPr>
            <w:rFonts w:asciiTheme="minorHAnsi" w:hAnsiTheme="minorHAnsi" w:cstheme="minorBidi"/>
            <w:sz w:val="22"/>
            <w:szCs w:val="22"/>
          </w:rPr>
          <w:tab/>
        </w:r>
        <w:r w:rsidR="00205C7B" w:rsidRPr="00192F07">
          <w:rPr>
            <w:rStyle w:val="Hyperlink"/>
          </w:rPr>
          <w:t>Институционален контекст при прилагане на програмата</w:t>
        </w:r>
        <w:r w:rsidR="00205C7B">
          <w:rPr>
            <w:webHidden/>
          </w:rPr>
          <w:tab/>
        </w:r>
        <w:r w:rsidR="00205C7B">
          <w:rPr>
            <w:webHidden/>
          </w:rPr>
          <w:fldChar w:fldCharType="begin"/>
        </w:r>
        <w:r w:rsidR="00205C7B">
          <w:rPr>
            <w:webHidden/>
          </w:rPr>
          <w:instrText xml:space="preserve"> PAGEREF _Toc504136138 \h </w:instrText>
        </w:r>
        <w:r w:rsidR="00205C7B">
          <w:rPr>
            <w:webHidden/>
          </w:rPr>
        </w:r>
        <w:r w:rsidR="00205C7B">
          <w:rPr>
            <w:webHidden/>
          </w:rPr>
          <w:fldChar w:fldCharType="separate"/>
        </w:r>
        <w:r w:rsidR="0023010D">
          <w:rPr>
            <w:webHidden/>
          </w:rPr>
          <w:t>31</w:t>
        </w:r>
        <w:r w:rsidR="00205C7B">
          <w:rPr>
            <w:webHidden/>
          </w:rPr>
          <w:fldChar w:fldCharType="end"/>
        </w:r>
      </w:hyperlink>
    </w:p>
    <w:p w14:paraId="30951C0B" w14:textId="77777777" w:rsidR="00205C7B" w:rsidRDefault="000161DB">
      <w:pPr>
        <w:pStyle w:val="TOC2"/>
        <w:rPr>
          <w:rFonts w:asciiTheme="minorHAnsi" w:hAnsiTheme="minorHAnsi" w:cstheme="minorBidi"/>
          <w:sz w:val="22"/>
          <w:szCs w:val="22"/>
        </w:rPr>
      </w:pPr>
      <w:hyperlink w:anchor="_Toc504136139" w:history="1">
        <w:r w:rsidR="00205C7B" w:rsidRPr="00192F07">
          <w:rPr>
            <w:rStyle w:val="Hyperlink"/>
          </w:rPr>
          <w:t>4.2</w:t>
        </w:r>
        <w:r w:rsidR="00205C7B">
          <w:rPr>
            <w:rFonts w:asciiTheme="minorHAnsi" w:hAnsiTheme="minorHAnsi" w:cstheme="minorBidi"/>
            <w:sz w:val="22"/>
            <w:szCs w:val="22"/>
          </w:rPr>
          <w:tab/>
        </w:r>
        <w:r w:rsidR="00205C7B" w:rsidRPr="00192F07">
          <w:rPr>
            <w:rStyle w:val="Hyperlink"/>
          </w:rPr>
          <w:t>Описание на приоритетите и мерките на програмата</w:t>
        </w:r>
        <w:r w:rsidR="00205C7B">
          <w:rPr>
            <w:webHidden/>
          </w:rPr>
          <w:tab/>
        </w:r>
        <w:r w:rsidR="00205C7B">
          <w:rPr>
            <w:webHidden/>
          </w:rPr>
          <w:fldChar w:fldCharType="begin"/>
        </w:r>
        <w:r w:rsidR="00205C7B">
          <w:rPr>
            <w:webHidden/>
          </w:rPr>
          <w:instrText xml:space="preserve"> PAGEREF _Toc504136139 \h </w:instrText>
        </w:r>
        <w:r w:rsidR="00205C7B">
          <w:rPr>
            <w:webHidden/>
          </w:rPr>
        </w:r>
        <w:r w:rsidR="00205C7B">
          <w:rPr>
            <w:webHidden/>
          </w:rPr>
          <w:fldChar w:fldCharType="separate"/>
        </w:r>
        <w:r w:rsidR="0023010D">
          <w:rPr>
            <w:webHidden/>
          </w:rPr>
          <w:t>34</w:t>
        </w:r>
        <w:r w:rsidR="00205C7B">
          <w:rPr>
            <w:webHidden/>
          </w:rPr>
          <w:fldChar w:fldCharType="end"/>
        </w:r>
      </w:hyperlink>
    </w:p>
    <w:p w14:paraId="63618EE0" w14:textId="77777777" w:rsidR="00205C7B" w:rsidRDefault="000161DB">
      <w:pPr>
        <w:pStyle w:val="TOC2"/>
        <w:rPr>
          <w:rFonts w:asciiTheme="minorHAnsi" w:hAnsiTheme="minorHAnsi" w:cstheme="minorBidi"/>
          <w:sz w:val="22"/>
          <w:szCs w:val="22"/>
        </w:rPr>
      </w:pPr>
      <w:hyperlink w:anchor="_Toc504136140" w:history="1">
        <w:r w:rsidR="00205C7B" w:rsidRPr="00192F07">
          <w:rPr>
            <w:rStyle w:val="Hyperlink"/>
          </w:rPr>
          <w:t>4.3</w:t>
        </w:r>
        <w:r w:rsidR="00205C7B">
          <w:rPr>
            <w:rFonts w:asciiTheme="minorHAnsi" w:hAnsiTheme="minorHAnsi" w:cstheme="minorBidi"/>
            <w:sz w:val="22"/>
            <w:szCs w:val="22"/>
          </w:rPr>
          <w:tab/>
        </w:r>
        <w:r w:rsidR="00205C7B" w:rsidRPr="00192F07">
          <w:rPr>
            <w:rStyle w:val="Hyperlink"/>
          </w:rPr>
          <w:t>Логика на интервенция на програмата</w:t>
        </w:r>
        <w:r w:rsidR="00205C7B">
          <w:rPr>
            <w:webHidden/>
          </w:rPr>
          <w:tab/>
        </w:r>
        <w:r w:rsidR="00205C7B">
          <w:rPr>
            <w:webHidden/>
          </w:rPr>
          <w:fldChar w:fldCharType="begin"/>
        </w:r>
        <w:r w:rsidR="00205C7B">
          <w:rPr>
            <w:webHidden/>
          </w:rPr>
          <w:instrText xml:space="preserve"> PAGEREF _Toc504136140 \h </w:instrText>
        </w:r>
        <w:r w:rsidR="00205C7B">
          <w:rPr>
            <w:webHidden/>
          </w:rPr>
        </w:r>
        <w:r w:rsidR="00205C7B">
          <w:rPr>
            <w:webHidden/>
          </w:rPr>
          <w:fldChar w:fldCharType="separate"/>
        </w:r>
        <w:r w:rsidR="0023010D">
          <w:rPr>
            <w:webHidden/>
          </w:rPr>
          <w:t>37</w:t>
        </w:r>
        <w:r w:rsidR="00205C7B">
          <w:rPr>
            <w:webHidden/>
          </w:rPr>
          <w:fldChar w:fldCharType="end"/>
        </w:r>
      </w:hyperlink>
    </w:p>
    <w:p w14:paraId="30B30466" w14:textId="77777777" w:rsidR="00205C7B" w:rsidRDefault="000161DB">
      <w:pPr>
        <w:pStyle w:val="TOC3"/>
        <w:tabs>
          <w:tab w:val="left" w:pos="1760"/>
        </w:tabs>
        <w:rPr>
          <w:rFonts w:eastAsiaTheme="minorEastAsia"/>
          <w:i w:val="0"/>
          <w:noProof/>
          <w:sz w:val="22"/>
          <w:lang w:eastAsia="bg-BG"/>
        </w:rPr>
      </w:pPr>
      <w:hyperlink w:anchor="_Toc504136141" w:history="1">
        <w:r w:rsidR="00205C7B" w:rsidRPr="00192F07">
          <w:rPr>
            <w:rStyle w:val="Hyperlink"/>
            <w:noProof/>
          </w:rPr>
          <w:t>4.3.1</w:t>
        </w:r>
        <w:r w:rsidR="00205C7B">
          <w:rPr>
            <w:rFonts w:eastAsiaTheme="minorEastAsia"/>
            <w:i w:val="0"/>
            <w:noProof/>
            <w:sz w:val="22"/>
            <w:lang w:eastAsia="bg-BG"/>
          </w:rPr>
          <w:tab/>
        </w:r>
        <w:r w:rsidR="00205C7B" w:rsidRPr="00192F07">
          <w:rPr>
            <w:rStyle w:val="Hyperlink"/>
            <w:noProof/>
          </w:rPr>
          <w:t>Принос за постигане на националните цели и целите на Общността в периода 2007-2013 г.</w:t>
        </w:r>
        <w:r w:rsidR="00205C7B">
          <w:rPr>
            <w:noProof/>
            <w:webHidden/>
          </w:rPr>
          <w:tab/>
        </w:r>
        <w:r w:rsidR="00205C7B">
          <w:rPr>
            <w:noProof/>
            <w:webHidden/>
          </w:rPr>
          <w:fldChar w:fldCharType="begin"/>
        </w:r>
        <w:r w:rsidR="00205C7B">
          <w:rPr>
            <w:noProof/>
            <w:webHidden/>
          </w:rPr>
          <w:instrText xml:space="preserve"> PAGEREF _Toc504136141 \h </w:instrText>
        </w:r>
        <w:r w:rsidR="00205C7B">
          <w:rPr>
            <w:noProof/>
            <w:webHidden/>
          </w:rPr>
        </w:r>
        <w:r w:rsidR="00205C7B">
          <w:rPr>
            <w:noProof/>
            <w:webHidden/>
          </w:rPr>
          <w:fldChar w:fldCharType="separate"/>
        </w:r>
        <w:r w:rsidR="0023010D">
          <w:rPr>
            <w:noProof/>
            <w:webHidden/>
          </w:rPr>
          <w:t>37</w:t>
        </w:r>
        <w:r w:rsidR="00205C7B">
          <w:rPr>
            <w:noProof/>
            <w:webHidden/>
          </w:rPr>
          <w:fldChar w:fldCharType="end"/>
        </w:r>
      </w:hyperlink>
    </w:p>
    <w:p w14:paraId="5EBC971E" w14:textId="77777777" w:rsidR="00205C7B" w:rsidRDefault="000161DB">
      <w:pPr>
        <w:pStyle w:val="TOC3"/>
        <w:tabs>
          <w:tab w:val="left" w:pos="1760"/>
        </w:tabs>
        <w:rPr>
          <w:rFonts w:eastAsiaTheme="minorEastAsia"/>
          <w:i w:val="0"/>
          <w:noProof/>
          <w:sz w:val="22"/>
          <w:lang w:eastAsia="bg-BG"/>
        </w:rPr>
      </w:pPr>
      <w:hyperlink w:anchor="_Toc504136142" w:history="1">
        <w:r w:rsidR="00205C7B" w:rsidRPr="00192F07">
          <w:rPr>
            <w:rStyle w:val="Hyperlink"/>
            <w:noProof/>
          </w:rPr>
          <w:t>4.3.2</w:t>
        </w:r>
        <w:r w:rsidR="00205C7B">
          <w:rPr>
            <w:rFonts w:eastAsiaTheme="minorEastAsia"/>
            <w:i w:val="0"/>
            <w:noProof/>
            <w:sz w:val="22"/>
            <w:lang w:eastAsia="bg-BG"/>
          </w:rPr>
          <w:tab/>
        </w:r>
        <w:r w:rsidR="00205C7B" w:rsidRPr="00192F07">
          <w:rPr>
            <w:rStyle w:val="Hyperlink"/>
            <w:noProof/>
          </w:rPr>
          <w:t>Логика на интервенция на отделните оси</w:t>
        </w:r>
        <w:r w:rsidR="00205C7B">
          <w:rPr>
            <w:noProof/>
            <w:webHidden/>
          </w:rPr>
          <w:tab/>
        </w:r>
        <w:r w:rsidR="00205C7B">
          <w:rPr>
            <w:noProof/>
            <w:webHidden/>
          </w:rPr>
          <w:fldChar w:fldCharType="begin"/>
        </w:r>
        <w:r w:rsidR="00205C7B">
          <w:rPr>
            <w:noProof/>
            <w:webHidden/>
          </w:rPr>
          <w:instrText xml:space="preserve"> PAGEREF _Toc504136142 \h </w:instrText>
        </w:r>
        <w:r w:rsidR="00205C7B">
          <w:rPr>
            <w:noProof/>
            <w:webHidden/>
          </w:rPr>
        </w:r>
        <w:r w:rsidR="00205C7B">
          <w:rPr>
            <w:noProof/>
            <w:webHidden/>
          </w:rPr>
          <w:fldChar w:fldCharType="separate"/>
        </w:r>
        <w:r w:rsidR="0023010D">
          <w:rPr>
            <w:noProof/>
            <w:webHidden/>
          </w:rPr>
          <w:t>42</w:t>
        </w:r>
        <w:r w:rsidR="00205C7B">
          <w:rPr>
            <w:noProof/>
            <w:webHidden/>
          </w:rPr>
          <w:fldChar w:fldCharType="end"/>
        </w:r>
      </w:hyperlink>
    </w:p>
    <w:p w14:paraId="03FE407B" w14:textId="77777777" w:rsidR="00205C7B" w:rsidRDefault="000161DB">
      <w:pPr>
        <w:pStyle w:val="TOC2"/>
        <w:rPr>
          <w:rFonts w:asciiTheme="minorHAnsi" w:hAnsiTheme="minorHAnsi" w:cstheme="minorBidi"/>
          <w:sz w:val="22"/>
          <w:szCs w:val="22"/>
        </w:rPr>
      </w:pPr>
      <w:hyperlink w:anchor="_Toc504136143" w:history="1">
        <w:r w:rsidR="00205C7B" w:rsidRPr="00192F07">
          <w:rPr>
            <w:rStyle w:val="Hyperlink"/>
          </w:rPr>
          <w:t>4.4</w:t>
        </w:r>
        <w:r w:rsidR="00205C7B">
          <w:rPr>
            <w:rFonts w:asciiTheme="minorHAnsi" w:hAnsiTheme="minorHAnsi" w:cstheme="minorBidi"/>
            <w:sz w:val="22"/>
            <w:szCs w:val="22"/>
          </w:rPr>
          <w:tab/>
        </w:r>
        <w:r w:rsidR="00205C7B" w:rsidRPr="00192F07">
          <w:rPr>
            <w:rStyle w:val="Hyperlink"/>
          </w:rPr>
          <w:t>Финансово изпълнение на програмата</w:t>
        </w:r>
        <w:r w:rsidR="00205C7B">
          <w:rPr>
            <w:webHidden/>
          </w:rPr>
          <w:tab/>
        </w:r>
        <w:r w:rsidR="00205C7B">
          <w:rPr>
            <w:webHidden/>
          </w:rPr>
          <w:fldChar w:fldCharType="begin"/>
        </w:r>
        <w:r w:rsidR="00205C7B">
          <w:rPr>
            <w:webHidden/>
          </w:rPr>
          <w:instrText xml:space="preserve"> PAGEREF _Toc504136143 \h </w:instrText>
        </w:r>
        <w:r w:rsidR="00205C7B">
          <w:rPr>
            <w:webHidden/>
          </w:rPr>
        </w:r>
        <w:r w:rsidR="00205C7B">
          <w:rPr>
            <w:webHidden/>
          </w:rPr>
          <w:fldChar w:fldCharType="separate"/>
        </w:r>
        <w:r w:rsidR="0023010D">
          <w:rPr>
            <w:webHidden/>
          </w:rPr>
          <w:t>52</w:t>
        </w:r>
        <w:r w:rsidR="00205C7B">
          <w:rPr>
            <w:webHidden/>
          </w:rPr>
          <w:fldChar w:fldCharType="end"/>
        </w:r>
      </w:hyperlink>
    </w:p>
    <w:p w14:paraId="4BFC5559" w14:textId="77777777" w:rsidR="00205C7B" w:rsidRDefault="000161DB">
      <w:pPr>
        <w:pStyle w:val="TOC3"/>
        <w:tabs>
          <w:tab w:val="left" w:pos="1760"/>
        </w:tabs>
        <w:rPr>
          <w:rFonts w:eastAsiaTheme="minorEastAsia"/>
          <w:i w:val="0"/>
          <w:noProof/>
          <w:sz w:val="22"/>
          <w:lang w:eastAsia="bg-BG"/>
        </w:rPr>
      </w:pPr>
      <w:hyperlink w:anchor="_Toc504136144" w:history="1">
        <w:r w:rsidR="00205C7B" w:rsidRPr="00192F07">
          <w:rPr>
            <w:rStyle w:val="Hyperlink"/>
            <w:noProof/>
          </w:rPr>
          <w:t>4.4.1</w:t>
        </w:r>
        <w:r w:rsidR="00205C7B">
          <w:rPr>
            <w:rFonts w:eastAsiaTheme="minorEastAsia"/>
            <w:i w:val="0"/>
            <w:noProof/>
            <w:sz w:val="22"/>
            <w:lang w:eastAsia="bg-BG"/>
          </w:rPr>
          <w:tab/>
        </w:r>
        <w:r w:rsidR="00205C7B" w:rsidRPr="00192F07">
          <w:rPr>
            <w:rStyle w:val="Hyperlink"/>
            <w:noProof/>
          </w:rPr>
          <w:t>Планирани и разходвани средства</w:t>
        </w:r>
        <w:r w:rsidR="00205C7B">
          <w:rPr>
            <w:noProof/>
            <w:webHidden/>
          </w:rPr>
          <w:tab/>
        </w:r>
        <w:r w:rsidR="00205C7B">
          <w:rPr>
            <w:noProof/>
            <w:webHidden/>
          </w:rPr>
          <w:fldChar w:fldCharType="begin"/>
        </w:r>
        <w:r w:rsidR="00205C7B">
          <w:rPr>
            <w:noProof/>
            <w:webHidden/>
          </w:rPr>
          <w:instrText xml:space="preserve"> PAGEREF _Toc504136144 \h </w:instrText>
        </w:r>
        <w:r w:rsidR="00205C7B">
          <w:rPr>
            <w:noProof/>
            <w:webHidden/>
          </w:rPr>
        </w:r>
        <w:r w:rsidR="00205C7B">
          <w:rPr>
            <w:noProof/>
            <w:webHidden/>
          </w:rPr>
          <w:fldChar w:fldCharType="separate"/>
        </w:r>
        <w:r w:rsidR="0023010D">
          <w:rPr>
            <w:noProof/>
            <w:webHidden/>
          </w:rPr>
          <w:t>52</w:t>
        </w:r>
        <w:r w:rsidR="00205C7B">
          <w:rPr>
            <w:noProof/>
            <w:webHidden/>
          </w:rPr>
          <w:fldChar w:fldCharType="end"/>
        </w:r>
      </w:hyperlink>
    </w:p>
    <w:p w14:paraId="2A6306AF" w14:textId="77777777" w:rsidR="00205C7B" w:rsidRDefault="000161DB">
      <w:pPr>
        <w:pStyle w:val="TOC3"/>
        <w:tabs>
          <w:tab w:val="left" w:pos="1760"/>
        </w:tabs>
        <w:rPr>
          <w:rFonts w:eastAsiaTheme="minorEastAsia"/>
          <w:i w:val="0"/>
          <w:noProof/>
          <w:sz w:val="22"/>
          <w:lang w:eastAsia="bg-BG"/>
        </w:rPr>
      </w:pPr>
      <w:hyperlink w:anchor="_Toc504136145" w:history="1">
        <w:r w:rsidR="00205C7B" w:rsidRPr="00192F07">
          <w:rPr>
            <w:rStyle w:val="Hyperlink"/>
            <w:noProof/>
          </w:rPr>
          <w:t>4.4.2</w:t>
        </w:r>
        <w:r w:rsidR="00205C7B">
          <w:rPr>
            <w:rFonts w:eastAsiaTheme="minorEastAsia"/>
            <w:i w:val="0"/>
            <w:noProof/>
            <w:sz w:val="22"/>
            <w:lang w:eastAsia="bg-BG"/>
          </w:rPr>
          <w:tab/>
        </w:r>
        <w:r w:rsidR="00205C7B" w:rsidRPr="00192F07">
          <w:rPr>
            <w:rStyle w:val="Hyperlink"/>
            <w:noProof/>
          </w:rPr>
          <w:t>Разпределение на ниво програма и ниво на ос</w:t>
        </w:r>
        <w:r w:rsidR="00205C7B">
          <w:rPr>
            <w:noProof/>
            <w:webHidden/>
          </w:rPr>
          <w:tab/>
        </w:r>
        <w:r w:rsidR="00205C7B">
          <w:rPr>
            <w:noProof/>
            <w:webHidden/>
          </w:rPr>
          <w:fldChar w:fldCharType="begin"/>
        </w:r>
        <w:r w:rsidR="00205C7B">
          <w:rPr>
            <w:noProof/>
            <w:webHidden/>
          </w:rPr>
          <w:instrText xml:space="preserve"> PAGEREF _Toc504136145 \h </w:instrText>
        </w:r>
        <w:r w:rsidR="00205C7B">
          <w:rPr>
            <w:noProof/>
            <w:webHidden/>
          </w:rPr>
        </w:r>
        <w:r w:rsidR="00205C7B">
          <w:rPr>
            <w:noProof/>
            <w:webHidden/>
          </w:rPr>
          <w:fldChar w:fldCharType="separate"/>
        </w:r>
        <w:r w:rsidR="0023010D">
          <w:rPr>
            <w:noProof/>
            <w:webHidden/>
          </w:rPr>
          <w:t>56</w:t>
        </w:r>
        <w:r w:rsidR="00205C7B">
          <w:rPr>
            <w:noProof/>
            <w:webHidden/>
          </w:rPr>
          <w:fldChar w:fldCharType="end"/>
        </w:r>
      </w:hyperlink>
    </w:p>
    <w:p w14:paraId="340428C3" w14:textId="77777777" w:rsidR="00205C7B" w:rsidRDefault="000161DB">
      <w:pPr>
        <w:pStyle w:val="TOC3"/>
        <w:tabs>
          <w:tab w:val="left" w:pos="1760"/>
        </w:tabs>
        <w:rPr>
          <w:rFonts w:eastAsiaTheme="minorEastAsia"/>
          <w:i w:val="0"/>
          <w:noProof/>
          <w:sz w:val="22"/>
          <w:lang w:eastAsia="bg-BG"/>
        </w:rPr>
      </w:pPr>
      <w:hyperlink w:anchor="_Toc504136146" w:history="1">
        <w:r w:rsidR="00205C7B" w:rsidRPr="00192F07">
          <w:rPr>
            <w:rStyle w:val="Hyperlink"/>
            <w:noProof/>
          </w:rPr>
          <w:t>4.4.3</w:t>
        </w:r>
        <w:r w:rsidR="00205C7B">
          <w:rPr>
            <w:rFonts w:eastAsiaTheme="minorEastAsia"/>
            <w:i w:val="0"/>
            <w:noProof/>
            <w:sz w:val="22"/>
            <w:lang w:eastAsia="bg-BG"/>
          </w:rPr>
          <w:tab/>
        </w:r>
        <w:r w:rsidR="00205C7B" w:rsidRPr="00192F07">
          <w:rPr>
            <w:rStyle w:val="Hyperlink"/>
            <w:noProof/>
          </w:rPr>
          <w:t>Финансови средства по мерки</w:t>
        </w:r>
        <w:r w:rsidR="00205C7B">
          <w:rPr>
            <w:noProof/>
            <w:webHidden/>
          </w:rPr>
          <w:tab/>
        </w:r>
        <w:r w:rsidR="00205C7B">
          <w:rPr>
            <w:noProof/>
            <w:webHidden/>
          </w:rPr>
          <w:fldChar w:fldCharType="begin"/>
        </w:r>
        <w:r w:rsidR="00205C7B">
          <w:rPr>
            <w:noProof/>
            <w:webHidden/>
          </w:rPr>
          <w:instrText xml:space="preserve"> PAGEREF _Toc504136146 \h </w:instrText>
        </w:r>
        <w:r w:rsidR="00205C7B">
          <w:rPr>
            <w:noProof/>
            <w:webHidden/>
          </w:rPr>
        </w:r>
        <w:r w:rsidR="00205C7B">
          <w:rPr>
            <w:noProof/>
            <w:webHidden/>
          </w:rPr>
          <w:fldChar w:fldCharType="separate"/>
        </w:r>
        <w:r w:rsidR="0023010D">
          <w:rPr>
            <w:noProof/>
            <w:webHidden/>
          </w:rPr>
          <w:t>60</w:t>
        </w:r>
        <w:r w:rsidR="00205C7B">
          <w:rPr>
            <w:noProof/>
            <w:webHidden/>
          </w:rPr>
          <w:fldChar w:fldCharType="end"/>
        </w:r>
      </w:hyperlink>
    </w:p>
    <w:p w14:paraId="1E9C9BBB" w14:textId="77777777" w:rsidR="00205C7B" w:rsidRDefault="000161DB">
      <w:pPr>
        <w:pStyle w:val="TOC3"/>
        <w:tabs>
          <w:tab w:val="left" w:pos="1760"/>
        </w:tabs>
        <w:rPr>
          <w:rFonts w:eastAsiaTheme="minorEastAsia"/>
          <w:i w:val="0"/>
          <w:noProof/>
          <w:sz w:val="22"/>
          <w:lang w:eastAsia="bg-BG"/>
        </w:rPr>
      </w:pPr>
      <w:hyperlink w:anchor="_Toc504136147" w:history="1">
        <w:r w:rsidR="00205C7B" w:rsidRPr="00192F07">
          <w:rPr>
            <w:rStyle w:val="Hyperlink"/>
            <w:noProof/>
          </w:rPr>
          <w:t>4.4.4</w:t>
        </w:r>
        <w:r w:rsidR="00205C7B">
          <w:rPr>
            <w:rFonts w:eastAsiaTheme="minorEastAsia"/>
            <w:i w:val="0"/>
            <w:noProof/>
            <w:sz w:val="22"/>
            <w:lang w:eastAsia="bg-BG"/>
          </w:rPr>
          <w:tab/>
        </w:r>
        <w:r w:rsidR="00205C7B" w:rsidRPr="00192F07">
          <w:rPr>
            <w:rStyle w:val="Hyperlink"/>
            <w:noProof/>
          </w:rPr>
          <w:t>Обобщение на финансовото изпълнение на ПРСР 2007-2013</w:t>
        </w:r>
        <w:r w:rsidR="00205C7B">
          <w:rPr>
            <w:noProof/>
            <w:webHidden/>
          </w:rPr>
          <w:tab/>
        </w:r>
        <w:r w:rsidR="00205C7B">
          <w:rPr>
            <w:noProof/>
            <w:webHidden/>
          </w:rPr>
          <w:fldChar w:fldCharType="begin"/>
        </w:r>
        <w:r w:rsidR="00205C7B">
          <w:rPr>
            <w:noProof/>
            <w:webHidden/>
          </w:rPr>
          <w:instrText xml:space="preserve"> PAGEREF _Toc504136147 \h </w:instrText>
        </w:r>
        <w:r w:rsidR="00205C7B">
          <w:rPr>
            <w:noProof/>
            <w:webHidden/>
          </w:rPr>
        </w:r>
        <w:r w:rsidR="00205C7B">
          <w:rPr>
            <w:noProof/>
            <w:webHidden/>
          </w:rPr>
          <w:fldChar w:fldCharType="separate"/>
        </w:r>
        <w:r w:rsidR="0023010D">
          <w:rPr>
            <w:noProof/>
            <w:webHidden/>
          </w:rPr>
          <w:t>67</w:t>
        </w:r>
        <w:r w:rsidR="00205C7B">
          <w:rPr>
            <w:noProof/>
            <w:webHidden/>
          </w:rPr>
          <w:fldChar w:fldCharType="end"/>
        </w:r>
      </w:hyperlink>
    </w:p>
    <w:p w14:paraId="790F1512" w14:textId="77777777" w:rsidR="00205C7B" w:rsidRDefault="000161DB">
      <w:pPr>
        <w:pStyle w:val="TOC1"/>
        <w:rPr>
          <w:b w:val="0"/>
          <w:color w:val="auto"/>
        </w:rPr>
      </w:pPr>
      <w:hyperlink w:anchor="_Toc504136148" w:history="1">
        <w:r w:rsidR="00205C7B" w:rsidRPr="00192F07">
          <w:rPr>
            <w:rStyle w:val="Hyperlink"/>
          </w:rPr>
          <w:t>Раздел V.</w:t>
        </w:r>
        <w:r w:rsidR="00205C7B">
          <w:rPr>
            <w:b w:val="0"/>
            <w:color w:val="auto"/>
          </w:rPr>
          <w:tab/>
        </w:r>
        <w:r w:rsidR="00205C7B" w:rsidRPr="00192F07">
          <w:rPr>
            <w:rStyle w:val="Hyperlink"/>
          </w:rPr>
          <w:t>Отговори на въпросите за оценка</w:t>
        </w:r>
        <w:r w:rsidR="00205C7B">
          <w:rPr>
            <w:webHidden/>
          </w:rPr>
          <w:tab/>
        </w:r>
        <w:r w:rsidR="00205C7B">
          <w:rPr>
            <w:webHidden/>
          </w:rPr>
          <w:fldChar w:fldCharType="begin"/>
        </w:r>
        <w:r w:rsidR="00205C7B">
          <w:rPr>
            <w:webHidden/>
          </w:rPr>
          <w:instrText xml:space="preserve"> PAGEREF _Toc504136148 \h </w:instrText>
        </w:r>
        <w:r w:rsidR="00205C7B">
          <w:rPr>
            <w:webHidden/>
          </w:rPr>
        </w:r>
        <w:r w:rsidR="00205C7B">
          <w:rPr>
            <w:webHidden/>
          </w:rPr>
          <w:fldChar w:fldCharType="separate"/>
        </w:r>
        <w:r w:rsidR="0023010D">
          <w:rPr>
            <w:webHidden/>
          </w:rPr>
          <w:t>68</w:t>
        </w:r>
        <w:r w:rsidR="00205C7B">
          <w:rPr>
            <w:webHidden/>
          </w:rPr>
          <w:fldChar w:fldCharType="end"/>
        </w:r>
      </w:hyperlink>
    </w:p>
    <w:p w14:paraId="52A83FF6" w14:textId="77777777" w:rsidR="00205C7B" w:rsidRDefault="000161DB">
      <w:pPr>
        <w:pStyle w:val="TOC2"/>
        <w:rPr>
          <w:rFonts w:asciiTheme="minorHAnsi" w:hAnsiTheme="minorHAnsi" w:cstheme="minorBidi"/>
          <w:sz w:val="22"/>
          <w:szCs w:val="22"/>
        </w:rPr>
      </w:pPr>
      <w:hyperlink w:anchor="_Toc504136149" w:history="1">
        <w:r w:rsidR="00205C7B" w:rsidRPr="00192F07">
          <w:rPr>
            <w:rStyle w:val="Hyperlink"/>
          </w:rPr>
          <w:t>5.1</w:t>
        </w:r>
        <w:r w:rsidR="00205C7B">
          <w:rPr>
            <w:rFonts w:asciiTheme="minorHAnsi" w:hAnsiTheme="minorHAnsi" w:cstheme="minorBidi"/>
            <w:sz w:val="22"/>
            <w:szCs w:val="22"/>
          </w:rPr>
          <w:tab/>
        </w:r>
        <w:r w:rsidR="00205C7B" w:rsidRPr="00192F07">
          <w:rPr>
            <w:rStyle w:val="Hyperlink"/>
          </w:rPr>
          <w:t>Постигане на целевите стойности на индикаторите</w:t>
        </w:r>
        <w:r w:rsidR="00205C7B">
          <w:rPr>
            <w:webHidden/>
          </w:rPr>
          <w:tab/>
        </w:r>
        <w:r w:rsidR="00205C7B">
          <w:rPr>
            <w:webHidden/>
          </w:rPr>
          <w:fldChar w:fldCharType="begin"/>
        </w:r>
        <w:r w:rsidR="00205C7B">
          <w:rPr>
            <w:webHidden/>
          </w:rPr>
          <w:instrText xml:space="preserve"> PAGEREF _Toc504136149 \h </w:instrText>
        </w:r>
        <w:r w:rsidR="00205C7B">
          <w:rPr>
            <w:webHidden/>
          </w:rPr>
        </w:r>
        <w:r w:rsidR="00205C7B">
          <w:rPr>
            <w:webHidden/>
          </w:rPr>
          <w:fldChar w:fldCharType="separate"/>
        </w:r>
        <w:r w:rsidR="0023010D">
          <w:rPr>
            <w:webHidden/>
          </w:rPr>
          <w:t>68</w:t>
        </w:r>
        <w:r w:rsidR="00205C7B">
          <w:rPr>
            <w:webHidden/>
          </w:rPr>
          <w:fldChar w:fldCharType="end"/>
        </w:r>
      </w:hyperlink>
    </w:p>
    <w:p w14:paraId="1BAA93EA" w14:textId="77777777" w:rsidR="00205C7B" w:rsidRDefault="000161DB">
      <w:pPr>
        <w:pStyle w:val="TOC3"/>
        <w:rPr>
          <w:rFonts w:eastAsiaTheme="minorEastAsia"/>
          <w:i w:val="0"/>
          <w:noProof/>
          <w:sz w:val="22"/>
          <w:lang w:eastAsia="bg-BG"/>
        </w:rPr>
      </w:pPr>
      <w:hyperlink w:anchor="_Toc504136150" w:history="1">
        <w:r w:rsidR="00205C7B" w:rsidRPr="00192F07">
          <w:rPr>
            <w:rStyle w:val="Hyperlink"/>
            <w:noProof/>
          </w:rPr>
          <w:t>Ос 1: Подобряване на конкурентоспособността на земеделския и горския сектор</w:t>
        </w:r>
        <w:r w:rsidR="00205C7B">
          <w:rPr>
            <w:noProof/>
            <w:webHidden/>
          </w:rPr>
          <w:tab/>
        </w:r>
        <w:r w:rsidR="00205C7B">
          <w:rPr>
            <w:noProof/>
            <w:webHidden/>
          </w:rPr>
          <w:fldChar w:fldCharType="begin"/>
        </w:r>
        <w:r w:rsidR="00205C7B">
          <w:rPr>
            <w:noProof/>
            <w:webHidden/>
          </w:rPr>
          <w:instrText xml:space="preserve"> PAGEREF _Toc504136150 \h </w:instrText>
        </w:r>
        <w:r w:rsidR="00205C7B">
          <w:rPr>
            <w:noProof/>
            <w:webHidden/>
          </w:rPr>
        </w:r>
        <w:r w:rsidR="00205C7B">
          <w:rPr>
            <w:noProof/>
            <w:webHidden/>
          </w:rPr>
          <w:fldChar w:fldCharType="separate"/>
        </w:r>
        <w:r w:rsidR="0023010D">
          <w:rPr>
            <w:noProof/>
            <w:webHidden/>
          </w:rPr>
          <w:t>68</w:t>
        </w:r>
        <w:r w:rsidR="00205C7B">
          <w:rPr>
            <w:noProof/>
            <w:webHidden/>
          </w:rPr>
          <w:fldChar w:fldCharType="end"/>
        </w:r>
      </w:hyperlink>
    </w:p>
    <w:p w14:paraId="79F93FC9" w14:textId="77777777" w:rsidR="00205C7B" w:rsidRDefault="000161DB">
      <w:pPr>
        <w:pStyle w:val="TOC3"/>
        <w:rPr>
          <w:rFonts w:eastAsiaTheme="minorEastAsia"/>
          <w:i w:val="0"/>
          <w:noProof/>
          <w:sz w:val="22"/>
          <w:lang w:eastAsia="bg-BG"/>
        </w:rPr>
      </w:pPr>
      <w:hyperlink w:anchor="_Toc504136151" w:history="1">
        <w:r w:rsidR="00205C7B" w:rsidRPr="00192F07">
          <w:rPr>
            <w:rStyle w:val="Hyperlink"/>
            <w:noProof/>
          </w:rPr>
          <w:t>ОС 2: Подобряване на околната среда и природата</w:t>
        </w:r>
        <w:r w:rsidR="00205C7B">
          <w:rPr>
            <w:noProof/>
            <w:webHidden/>
          </w:rPr>
          <w:tab/>
        </w:r>
        <w:r w:rsidR="00205C7B">
          <w:rPr>
            <w:noProof/>
            <w:webHidden/>
          </w:rPr>
          <w:fldChar w:fldCharType="begin"/>
        </w:r>
        <w:r w:rsidR="00205C7B">
          <w:rPr>
            <w:noProof/>
            <w:webHidden/>
          </w:rPr>
          <w:instrText xml:space="preserve"> PAGEREF _Toc504136151 \h </w:instrText>
        </w:r>
        <w:r w:rsidR="00205C7B">
          <w:rPr>
            <w:noProof/>
            <w:webHidden/>
          </w:rPr>
        </w:r>
        <w:r w:rsidR="00205C7B">
          <w:rPr>
            <w:noProof/>
            <w:webHidden/>
          </w:rPr>
          <w:fldChar w:fldCharType="separate"/>
        </w:r>
        <w:r w:rsidR="0023010D">
          <w:rPr>
            <w:noProof/>
            <w:webHidden/>
          </w:rPr>
          <w:t>69</w:t>
        </w:r>
        <w:r w:rsidR="00205C7B">
          <w:rPr>
            <w:noProof/>
            <w:webHidden/>
          </w:rPr>
          <w:fldChar w:fldCharType="end"/>
        </w:r>
      </w:hyperlink>
    </w:p>
    <w:p w14:paraId="6A1102AB" w14:textId="77777777" w:rsidR="00205C7B" w:rsidRDefault="000161DB">
      <w:pPr>
        <w:pStyle w:val="TOC3"/>
        <w:rPr>
          <w:rFonts w:eastAsiaTheme="minorEastAsia"/>
          <w:i w:val="0"/>
          <w:noProof/>
          <w:sz w:val="22"/>
          <w:lang w:eastAsia="bg-BG"/>
        </w:rPr>
      </w:pPr>
      <w:hyperlink w:anchor="_Toc504136152" w:history="1">
        <w:r w:rsidR="00205C7B" w:rsidRPr="00192F07">
          <w:rPr>
            <w:rStyle w:val="Hyperlink"/>
            <w:noProof/>
          </w:rPr>
          <w:t>ОС3: Качество на живот в селските райони и разнообразяване на селската икономика</w:t>
        </w:r>
        <w:r w:rsidR="00205C7B">
          <w:rPr>
            <w:noProof/>
            <w:webHidden/>
          </w:rPr>
          <w:tab/>
        </w:r>
        <w:r w:rsidR="00205C7B">
          <w:rPr>
            <w:noProof/>
            <w:webHidden/>
          </w:rPr>
          <w:fldChar w:fldCharType="begin"/>
        </w:r>
        <w:r w:rsidR="00205C7B">
          <w:rPr>
            <w:noProof/>
            <w:webHidden/>
          </w:rPr>
          <w:instrText xml:space="preserve"> PAGEREF _Toc504136152 \h </w:instrText>
        </w:r>
        <w:r w:rsidR="00205C7B">
          <w:rPr>
            <w:noProof/>
            <w:webHidden/>
          </w:rPr>
        </w:r>
        <w:r w:rsidR="00205C7B">
          <w:rPr>
            <w:noProof/>
            <w:webHidden/>
          </w:rPr>
          <w:fldChar w:fldCharType="separate"/>
        </w:r>
        <w:r w:rsidR="0023010D">
          <w:rPr>
            <w:noProof/>
            <w:webHidden/>
          </w:rPr>
          <w:t>71</w:t>
        </w:r>
        <w:r w:rsidR="00205C7B">
          <w:rPr>
            <w:noProof/>
            <w:webHidden/>
          </w:rPr>
          <w:fldChar w:fldCharType="end"/>
        </w:r>
      </w:hyperlink>
    </w:p>
    <w:p w14:paraId="29A055AE" w14:textId="77777777" w:rsidR="00205C7B" w:rsidRDefault="000161DB">
      <w:pPr>
        <w:pStyle w:val="TOC3"/>
        <w:rPr>
          <w:rFonts w:eastAsiaTheme="minorEastAsia"/>
          <w:i w:val="0"/>
          <w:noProof/>
          <w:sz w:val="22"/>
          <w:lang w:eastAsia="bg-BG"/>
        </w:rPr>
      </w:pPr>
      <w:hyperlink w:anchor="_Toc504136153" w:history="1">
        <w:r w:rsidR="00205C7B" w:rsidRPr="00192F07">
          <w:rPr>
            <w:rStyle w:val="Hyperlink"/>
            <w:noProof/>
          </w:rPr>
          <w:t>Общи индикатори за въздействие</w:t>
        </w:r>
        <w:r w:rsidR="00205C7B">
          <w:rPr>
            <w:noProof/>
            <w:webHidden/>
          </w:rPr>
          <w:tab/>
        </w:r>
        <w:r w:rsidR="00205C7B">
          <w:rPr>
            <w:noProof/>
            <w:webHidden/>
          </w:rPr>
          <w:fldChar w:fldCharType="begin"/>
        </w:r>
        <w:r w:rsidR="00205C7B">
          <w:rPr>
            <w:noProof/>
            <w:webHidden/>
          </w:rPr>
          <w:instrText xml:space="preserve"> PAGEREF _Toc504136153 \h </w:instrText>
        </w:r>
        <w:r w:rsidR="00205C7B">
          <w:rPr>
            <w:noProof/>
            <w:webHidden/>
          </w:rPr>
        </w:r>
        <w:r w:rsidR="00205C7B">
          <w:rPr>
            <w:noProof/>
            <w:webHidden/>
          </w:rPr>
          <w:fldChar w:fldCharType="separate"/>
        </w:r>
        <w:r w:rsidR="0023010D">
          <w:rPr>
            <w:noProof/>
            <w:webHidden/>
          </w:rPr>
          <w:t>72</w:t>
        </w:r>
        <w:r w:rsidR="00205C7B">
          <w:rPr>
            <w:noProof/>
            <w:webHidden/>
          </w:rPr>
          <w:fldChar w:fldCharType="end"/>
        </w:r>
      </w:hyperlink>
    </w:p>
    <w:p w14:paraId="0703BBD9" w14:textId="77777777" w:rsidR="00205C7B" w:rsidRDefault="000161DB">
      <w:pPr>
        <w:pStyle w:val="TOC2"/>
        <w:rPr>
          <w:rFonts w:asciiTheme="minorHAnsi" w:hAnsiTheme="minorHAnsi" w:cstheme="minorBidi"/>
          <w:sz w:val="22"/>
          <w:szCs w:val="22"/>
        </w:rPr>
      </w:pPr>
      <w:hyperlink w:anchor="_Toc504136154" w:history="1">
        <w:r w:rsidR="00205C7B" w:rsidRPr="00192F07">
          <w:rPr>
            <w:rStyle w:val="Hyperlink"/>
          </w:rPr>
          <w:t>5.2</w:t>
        </w:r>
        <w:r w:rsidR="00205C7B">
          <w:rPr>
            <w:rFonts w:asciiTheme="minorHAnsi" w:hAnsiTheme="minorHAnsi" w:cstheme="minorBidi"/>
            <w:sz w:val="22"/>
            <w:szCs w:val="22"/>
          </w:rPr>
          <w:tab/>
        </w:r>
        <w:r w:rsidR="00205C7B" w:rsidRPr="00192F07">
          <w:rPr>
            <w:rStyle w:val="Hyperlink"/>
          </w:rPr>
          <w:t>Отговор на оценителните въпроси</w:t>
        </w:r>
        <w:r w:rsidR="00205C7B">
          <w:rPr>
            <w:webHidden/>
          </w:rPr>
          <w:tab/>
        </w:r>
        <w:r w:rsidR="00205C7B">
          <w:rPr>
            <w:webHidden/>
          </w:rPr>
          <w:fldChar w:fldCharType="begin"/>
        </w:r>
        <w:r w:rsidR="00205C7B">
          <w:rPr>
            <w:webHidden/>
          </w:rPr>
          <w:instrText xml:space="preserve"> PAGEREF _Toc504136154 \h </w:instrText>
        </w:r>
        <w:r w:rsidR="00205C7B">
          <w:rPr>
            <w:webHidden/>
          </w:rPr>
        </w:r>
        <w:r w:rsidR="00205C7B">
          <w:rPr>
            <w:webHidden/>
          </w:rPr>
          <w:fldChar w:fldCharType="separate"/>
        </w:r>
        <w:r w:rsidR="0023010D">
          <w:rPr>
            <w:webHidden/>
          </w:rPr>
          <w:t>78</w:t>
        </w:r>
        <w:r w:rsidR="00205C7B">
          <w:rPr>
            <w:webHidden/>
          </w:rPr>
          <w:fldChar w:fldCharType="end"/>
        </w:r>
      </w:hyperlink>
    </w:p>
    <w:p w14:paraId="354A19D2" w14:textId="77777777" w:rsidR="00205C7B" w:rsidRDefault="000161DB">
      <w:pPr>
        <w:pStyle w:val="TOC3"/>
        <w:rPr>
          <w:rFonts w:eastAsiaTheme="minorEastAsia"/>
          <w:i w:val="0"/>
          <w:noProof/>
          <w:sz w:val="22"/>
          <w:lang w:eastAsia="bg-BG"/>
        </w:rPr>
      </w:pPr>
      <w:hyperlink w:anchor="_Toc504136155" w:history="1">
        <w:r w:rsidR="00205C7B" w:rsidRPr="00192F07">
          <w:rPr>
            <w:rStyle w:val="Hyperlink"/>
            <w:noProof/>
          </w:rPr>
          <w:t>Ос 1: Подобряване на конкурентоспособността на земеделския и горския сектор</w:t>
        </w:r>
        <w:r w:rsidR="00205C7B">
          <w:rPr>
            <w:noProof/>
            <w:webHidden/>
          </w:rPr>
          <w:tab/>
        </w:r>
        <w:r w:rsidR="00205C7B">
          <w:rPr>
            <w:noProof/>
            <w:webHidden/>
          </w:rPr>
          <w:fldChar w:fldCharType="begin"/>
        </w:r>
        <w:r w:rsidR="00205C7B">
          <w:rPr>
            <w:noProof/>
            <w:webHidden/>
          </w:rPr>
          <w:instrText xml:space="preserve"> PAGEREF _Toc504136155 \h </w:instrText>
        </w:r>
        <w:r w:rsidR="00205C7B">
          <w:rPr>
            <w:noProof/>
            <w:webHidden/>
          </w:rPr>
        </w:r>
        <w:r w:rsidR="00205C7B">
          <w:rPr>
            <w:noProof/>
            <w:webHidden/>
          </w:rPr>
          <w:fldChar w:fldCharType="separate"/>
        </w:r>
        <w:r w:rsidR="0023010D">
          <w:rPr>
            <w:noProof/>
            <w:webHidden/>
          </w:rPr>
          <w:t>78</w:t>
        </w:r>
        <w:r w:rsidR="00205C7B">
          <w:rPr>
            <w:noProof/>
            <w:webHidden/>
          </w:rPr>
          <w:fldChar w:fldCharType="end"/>
        </w:r>
      </w:hyperlink>
    </w:p>
    <w:p w14:paraId="76CD6AA6" w14:textId="06513D59" w:rsidR="00205C7B" w:rsidRDefault="000161DB">
      <w:pPr>
        <w:pStyle w:val="TOC3"/>
        <w:rPr>
          <w:rFonts w:eastAsiaTheme="minorEastAsia"/>
          <w:i w:val="0"/>
          <w:noProof/>
          <w:sz w:val="22"/>
          <w:lang w:eastAsia="bg-BG"/>
        </w:rPr>
      </w:pPr>
      <w:hyperlink w:anchor="_Toc504136156" w:history="1">
        <w:r w:rsidR="00205C7B" w:rsidRPr="00192F07">
          <w:rPr>
            <w:rStyle w:val="Hyperlink"/>
            <w:noProof/>
          </w:rPr>
          <w:t>ОС 2: Подобряване на околната среда и природата</w:t>
        </w:r>
        <w:r w:rsidR="00205C7B">
          <w:rPr>
            <w:noProof/>
            <w:webHidden/>
          </w:rPr>
          <w:tab/>
        </w:r>
        <w:r w:rsidR="00205C7B">
          <w:rPr>
            <w:noProof/>
            <w:webHidden/>
          </w:rPr>
          <w:fldChar w:fldCharType="begin"/>
        </w:r>
        <w:r w:rsidR="00205C7B">
          <w:rPr>
            <w:noProof/>
            <w:webHidden/>
          </w:rPr>
          <w:instrText xml:space="preserve"> PAGEREF _Toc504136156 \h </w:instrText>
        </w:r>
        <w:r w:rsidR="00205C7B">
          <w:rPr>
            <w:noProof/>
            <w:webHidden/>
          </w:rPr>
        </w:r>
        <w:r w:rsidR="00205C7B">
          <w:rPr>
            <w:noProof/>
            <w:webHidden/>
          </w:rPr>
          <w:fldChar w:fldCharType="separate"/>
        </w:r>
        <w:r w:rsidR="0023010D">
          <w:rPr>
            <w:noProof/>
            <w:webHidden/>
          </w:rPr>
          <w:t>116</w:t>
        </w:r>
        <w:r w:rsidR="00205C7B">
          <w:rPr>
            <w:noProof/>
            <w:webHidden/>
          </w:rPr>
          <w:fldChar w:fldCharType="end"/>
        </w:r>
      </w:hyperlink>
    </w:p>
    <w:p w14:paraId="41814895" w14:textId="1AC82E53" w:rsidR="00205C7B" w:rsidRDefault="000161DB">
      <w:pPr>
        <w:pStyle w:val="TOC3"/>
        <w:rPr>
          <w:rFonts w:eastAsiaTheme="minorEastAsia"/>
          <w:i w:val="0"/>
          <w:noProof/>
          <w:sz w:val="22"/>
          <w:lang w:eastAsia="bg-BG"/>
        </w:rPr>
      </w:pPr>
      <w:hyperlink w:anchor="_Toc504136157" w:history="1">
        <w:r w:rsidR="00205C7B" w:rsidRPr="00192F07">
          <w:rPr>
            <w:rStyle w:val="Hyperlink"/>
            <w:noProof/>
          </w:rPr>
          <w:t>ОС3: Качество на живот в селските райони и разнообразяване на селската икономика</w:t>
        </w:r>
        <w:r w:rsidR="00205C7B">
          <w:rPr>
            <w:noProof/>
            <w:webHidden/>
          </w:rPr>
          <w:tab/>
        </w:r>
        <w:r w:rsidR="00205C7B">
          <w:rPr>
            <w:noProof/>
            <w:webHidden/>
          </w:rPr>
          <w:fldChar w:fldCharType="begin"/>
        </w:r>
        <w:r w:rsidR="00205C7B">
          <w:rPr>
            <w:noProof/>
            <w:webHidden/>
          </w:rPr>
          <w:instrText xml:space="preserve"> PAGEREF _Toc504136157 \h </w:instrText>
        </w:r>
        <w:r w:rsidR="00205C7B">
          <w:rPr>
            <w:noProof/>
            <w:webHidden/>
          </w:rPr>
        </w:r>
        <w:r w:rsidR="00205C7B">
          <w:rPr>
            <w:noProof/>
            <w:webHidden/>
          </w:rPr>
          <w:fldChar w:fldCharType="separate"/>
        </w:r>
        <w:r w:rsidR="0023010D">
          <w:rPr>
            <w:noProof/>
            <w:webHidden/>
          </w:rPr>
          <w:t>136</w:t>
        </w:r>
        <w:r w:rsidR="00205C7B">
          <w:rPr>
            <w:noProof/>
            <w:webHidden/>
          </w:rPr>
          <w:fldChar w:fldCharType="end"/>
        </w:r>
      </w:hyperlink>
    </w:p>
    <w:p w14:paraId="17CA53B9" w14:textId="0CA5F235" w:rsidR="00205C7B" w:rsidRDefault="000161DB">
      <w:pPr>
        <w:pStyle w:val="TOC3"/>
        <w:rPr>
          <w:rFonts w:eastAsiaTheme="minorEastAsia"/>
          <w:i w:val="0"/>
          <w:noProof/>
          <w:sz w:val="22"/>
          <w:lang w:eastAsia="bg-BG"/>
        </w:rPr>
      </w:pPr>
      <w:hyperlink w:anchor="_Toc504136158" w:history="1">
        <w:r w:rsidR="00205C7B" w:rsidRPr="00192F07">
          <w:rPr>
            <w:rStyle w:val="Hyperlink"/>
            <w:noProof/>
          </w:rPr>
          <w:t>ОС 4: ЛИДЕР</w:t>
        </w:r>
        <w:r w:rsidR="00205C7B">
          <w:rPr>
            <w:noProof/>
            <w:webHidden/>
          </w:rPr>
          <w:tab/>
        </w:r>
        <w:r w:rsidR="00205C7B">
          <w:rPr>
            <w:noProof/>
            <w:webHidden/>
          </w:rPr>
          <w:fldChar w:fldCharType="begin"/>
        </w:r>
        <w:r w:rsidR="00205C7B">
          <w:rPr>
            <w:noProof/>
            <w:webHidden/>
          </w:rPr>
          <w:instrText xml:space="preserve"> PAGEREF _Toc504136158 \h </w:instrText>
        </w:r>
        <w:r w:rsidR="00205C7B">
          <w:rPr>
            <w:noProof/>
            <w:webHidden/>
          </w:rPr>
        </w:r>
        <w:r w:rsidR="00205C7B">
          <w:rPr>
            <w:noProof/>
            <w:webHidden/>
          </w:rPr>
          <w:fldChar w:fldCharType="separate"/>
        </w:r>
        <w:r w:rsidR="0023010D">
          <w:rPr>
            <w:noProof/>
            <w:webHidden/>
          </w:rPr>
          <w:t>163</w:t>
        </w:r>
        <w:r w:rsidR="00205C7B">
          <w:rPr>
            <w:noProof/>
            <w:webHidden/>
          </w:rPr>
          <w:fldChar w:fldCharType="end"/>
        </w:r>
      </w:hyperlink>
    </w:p>
    <w:p w14:paraId="47FAA0A5" w14:textId="55499CBE" w:rsidR="00205C7B" w:rsidRDefault="000161DB">
      <w:pPr>
        <w:pStyle w:val="TOC3"/>
        <w:rPr>
          <w:rFonts w:eastAsiaTheme="minorEastAsia"/>
          <w:i w:val="0"/>
          <w:noProof/>
          <w:sz w:val="22"/>
          <w:lang w:eastAsia="bg-BG"/>
        </w:rPr>
      </w:pPr>
      <w:hyperlink w:anchor="_Toc504136159" w:history="1">
        <w:r w:rsidR="00205C7B" w:rsidRPr="00192F07">
          <w:rPr>
            <w:rStyle w:val="Hyperlink"/>
            <w:noProof/>
          </w:rPr>
          <w:t>Техническа помощ</w:t>
        </w:r>
        <w:r w:rsidR="00205C7B">
          <w:rPr>
            <w:noProof/>
            <w:webHidden/>
          </w:rPr>
          <w:tab/>
        </w:r>
        <w:r w:rsidR="00205C7B">
          <w:rPr>
            <w:noProof/>
            <w:webHidden/>
          </w:rPr>
          <w:fldChar w:fldCharType="begin"/>
        </w:r>
        <w:r w:rsidR="00205C7B">
          <w:rPr>
            <w:noProof/>
            <w:webHidden/>
          </w:rPr>
          <w:instrText xml:space="preserve"> PAGEREF _Toc504136159 \h </w:instrText>
        </w:r>
        <w:r w:rsidR="00205C7B">
          <w:rPr>
            <w:noProof/>
            <w:webHidden/>
          </w:rPr>
        </w:r>
        <w:r w:rsidR="00205C7B">
          <w:rPr>
            <w:noProof/>
            <w:webHidden/>
          </w:rPr>
          <w:fldChar w:fldCharType="separate"/>
        </w:r>
        <w:r w:rsidR="0023010D">
          <w:rPr>
            <w:noProof/>
            <w:webHidden/>
          </w:rPr>
          <w:t>181</w:t>
        </w:r>
        <w:r w:rsidR="00205C7B">
          <w:rPr>
            <w:noProof/>
            <w:webHidden/>
          </w:rPr>
          <w:fldChar w:fldCharType="end"/>
        </w:r>
      </w:hyperlink>
    </w:p>
    <w:p w14:paraId="74F1BBDF" w14:textId="040EF56D" w:rsidR="00205C7B" w:rsidRDefault="000161DB">
      <w:pPr>
        <w:pStyle w:val="TOC3"/>
        <w:rPr>
          <w:rFonts w:eastAsiaTheme="minorEastAsia"/>
          <w:i w:val="0"/>
          <w:noProof/>
          <w:sz w:val="22"/>
          <w:lang w:eastAsia="bg-BG"/>
        </w:rPr>
      </w:pPr>
      <w:hyperlink w:anchor="_Toc504136160" w:history="1">
        <w:r w:rsidR="00205C7B" w:rsidRPr="00192F07">
          <w:rPr>
            <w:rStyle w:val="Hyperlink"/>
            <w:noProof/>
          </w:rPr>
          <w:t>Национална селска мрежа (НСМ)</w:t>
        </w:r>
        <w:r w:rsidR="00205C7B">
          <w:rPr>
            <w:noProof/>
            <w:webHidden/>
          </w:rPr>
          <w:tab/>
        </w:r>
        <w:r w:rsidR="00205C7B">
          <w:rPr>
            <w:noProof/>
            <w:webHidden/>
          </w:rPr>
          <w:fldChar w:fldCharType="begin"/>
        </w:r>
        <w:r w:rsidR="00205C7B">
          <w:rPr>
            <w:noProof/>
            <w:webHidden/>
          </w:rPr>
          <w:instrText xml:space="preserve"> PAGEREF _Toc504136160 \h </w:instrText>
        </w:r>
        <w:r w:rsidR="00205C7B">
          <w:rPr>
            <w:noProof/>
            <w:webHidden/>
          </w:rPr>
        </w:r>
        <w:r w:rsidR="00205C7B">
          <w:rPr>
            <w:noProof/>
            <w:webHidden/>
          </w:rPr>
          <w:fldChar w:fldCharType="separate"/>
        </w:r>
        <w:r w:rsidR="0023010D">
          <w:rPr>
            <w:noProof/>
            <w:webHidden/>
          </w:rPr>
          <w:t>187</w:t>
        </w:r>
        <w:r w:rsidR="00205C7B">
          <w:rPr>
            <w:noProof/>
            <w:webHidden/>
          </w:rPr>
          <w:fldChar w:fldCharType="end"/>
        </w:r>
      </w:hyperlink>
    </w:p>
    <w:p w14:paraId="78C1435C" w14:textId="4CEA0640" w:rsidR="00205C7B" w:rsidRDefault="000161DB">
      <w:pPr>
        <w:pStyle w:val="TOC3"/>
        <w:rPr>
          <w:rFonts w:eastAsiaTheme="minorEastAsia"/>
          <w:i w:val="0"/>
          <w:noProof/>
          <w:sz w:val="22"/>
          <w:lang w:eastAsia="bg-BG"/>
        </w:rPr>
      </w:pPr>
      <w:hyperlink w:anchor="_Toc504136161" w:history="1">
        <w:r w:rsidR="00205C7B" w:rsidRPr="00192F07">
          <w:rPr>
            <w:rStyle w:val="Hyperlink"/>
            <w:noProof/>
          </w:rPr>
          <w:t>Хоризонтални общи въпроси</w:t>
        </w:r>
        <w:r w:rsidR="00205C7B">
          <w:rPr>
            <w:noProof/>
            <w:webHidden/>
          </w:rPr>
          <w:tab/>
        </w:r>
        <w:r w:rsidR="00205C7B">
          <w:rPr>
            <w:noProof/>
            <w:webHidden/>
          </w:rPr>
          <w:fldChar w:fldCharType="begin"/>
        </w:r>
        <w:r w:rsidR="00205C7B">
          <w:rPr>
            <w:noProof/>
            <w:webHidden/>
          </w:rPr>
          <w:instrText xml:space="preserve"> PAGEREF _Toc504136161 \h </w:instrText>
        </w:r>
        <w:r w:rsidR="00205C7B">
          <w:rPr>
            <w:noProof/>
            <w:webHidden/>
          </w:rPr>
        </w:r>
        <w:r w:rsidR="00205C7B">
          <w:rPr>
            <w:noProof/>
            <w:webHidden/>
          </w:rPr>
          <w:fldChar w:fldCharType="separate"/>
        </w:r>
        <w:r w:rsidR="0023010D">
          <w:rPr>
            <w:noProof/>
            <w:webHidden/>
          </w:rPr>
          <w:t>190</w:t>
        </w:r>
        <w:r w:rsidR="00205C7B">
          <w:rPr>
            <w:noProof/>
            <w:webHidden/>
          </w:rPr>
          <w:fldChar w:fldCharType="end"/>
        </w:r>
      </w:hyperlink>
    </w:p>
    <w:p w14:paraId="29420940" w14:textId="48FEB32B" w:rsidR="00205C7B" w:rsidRDefault="000161DB">
      <w:pPr>
        <w:pStyle w:val="TOC1"/>
        <w:rPr>
          <w:b w:val="0"/>
          <w:color w:val="auto"/>
        </w:rPr>
      </w:pPr>
      <w:hyperlink w:anchor="_Toc504136162" w:history="1">
        <w:r w:rsidR="00205C7B" w:rsidRPr="00192F07">
          <w:rPr>
            <w:rStyle w:val="Hyperlink"/>
          </w:rPr>
          <w:t>Раздел VI.</w:t>
        </w:r>
        <w:r w:rsidR="00205C7B">
          <w:rPr>
            <w:b w:val="0"/>
            <w:color w:val="auto"/>
          </w:rPr>
          <w:tab/>
        </w:r>
        <w:r w:rsidR="00205C7B" w:rsidRPr="00192F07">
          <w:rPr>
            <w:rStyle w:val="Hyperlink"/>
          </w:rPr>
          <w:t>Заключения и препоръки</w:t>
        </w:r>
        <w:r w:rsidR="00205C7B">
          <w:rPr>
            <w:webHidden/>
          </w:rPr>
          <w:tab/>
        </w:r>
        <w:r w:rsidR="00205C7B">
          <w:rPr>
            <w:webHidden/>
          </w:rPr>
          <w:fldChar w:fldCharType="begin"/>
        </w:r>
        <w:r w:rsidR="00205C7B">
          <w:rPr>
            <w:webHidden/>
          </w:rPr>
          <w:instrText xml:space="preserve"> PAGEREF _Toc504136162 \h </w:instrText>
        </w:r>
        <w:r w:rsidR="00205C7B">
          <w:rPr>
            <w:webHidden/>
          </w:rPr>
        </w:r>
        <w:r w:rsidR="00205C7B">
          <w:rPr>
            <w:webHidden/>
          </w:rPr>
          <w:fldChar w:fldCharType="separate"/>
        </w:r>
        <w:r w:rsidR="0023010D">
          <w:rPr>
            <w:webHidden/>
          </w:rPr>
          <w:t>194</w:t>
        </w:r>
        <w:r w:rsidR="00205C7B">
          <w:rPr>
            <w:webHidden/>
          </w:rPr>
          <w:fldChar w:fldCharType="end"/>
        </w:r>
      </w:hyperlink>
    </w:p>
    <w:p w14:paraId="65699438" w14:textId="6E2C645E" w:rsidR="00205C7B" w:rsidRDefault="000161DB">
      <w:pPr>
        <w:pStyle w:val="TOC2"/>
        <w:rPr>
          <w:rFonts w:asciiTheme="minorHAnsi" w:hAnsiTheme="minorHAnsi" w:cstheme="minorBidi"/>
          <w:sz w:val="22"/>
          <w:szCs w:val="22"/>
        </w:rPr>
      </w:pPr>
      <w:hyperlink w:anchor="_Toc504136163" w:history="1">
        <w:r w:rsidR="00205C7B" w:rsidRPr="00192F07">
          <w:rPr>
            <w:rStyle w:val="Hyperlink"/>
          </w:rPr>
          <w:t>6.1</w:t>
        </w:r>
        <w:r w:rsidR="00205C7B">
          <w:rPr>
            <w:rFonts w:asciiTheme="minorHAnsi" w:hAnsiTheme="minorHAnsi" w:cstheme="minorBidi"/>
            <w:sz w:val="22"/>
            <w:szCs w:val="22"/>
          </w:rPr>
          <w:tab/>
        </w:r>
        <w:r w:rsidR="00205C7B" w:rsidRPr="00192F07">
          <w:rPr>
            <w:rStyle w:val="Hyperlink"/>
          </w:rPr>
          <w:t>Заключения</w:t>
        </w:r>
        <w:r w:rsidR="00205C7B">
          <w:rPr>
            <w:webHidden/>
          </w:rPr>
          <w:tab/>
        </w:r>
        <w:r w:rsidR="00205C7B">
          <w:rPr>
            <w:webHidden/>
          </w:rPr>
          <w:fldChar w:fldCharType="begin"/>
        </w:r>
        <w:r w:rsidR="00205C7B">
          <w:rPr>
            <w:webHidden/>
          </w:rPr>
          <w:instrText xml:space="preserve"> PAGEREF _Toc504136163 \h </w:instrText>
        </w:r>
        <w:r w:rsidR="00205C7B">
          <w:rPr>
            <w:webHidden/>
          </w:rPr>
        </w:r>
        <w:r w:rsidR="00205C7B">
          <w:rPr>
            <w:webHidden/>
          </w:rPr>
          <w:fldChar w:fldCharType="separate"/>
        </w:r>
        <w:r w:rsidR="0023010D">
          <w:rPr>
            <w:webHidden/>
          </w:rPr>
          <w:t>194</w:t>
        </w:r>
        <w:r w:rsidR="00205C7B">
          <w:rPr>
            <w:webHidden/>
          </w:rPr>
          <w:fldChar w:fldCharType="end"/>
        </w:r>
      </w:hyperlink>
    </w:p>
    <w:p w14:paraId="1E681C7C" w14:textId="38134BA2" w:rsidR="00205C7B" w:rsidRDefault="000161DB">
      <w:pPr>
        <w:pStyle w:val="TOC3"/>
        <w:rPr>
          <w:rFonts w:eastAsiaTheme="minorEastAsia"/>
          <w:i w:val="0"/>
          <w:noProof/>
          <w:sz w:val="22"/>
          <w:lang w:eastAsia="bg-BG"/>
        </w:rPr>
      </w:pPr>
      <w:hyperlink w:anchor="_Toc504136164" w:history="1">
        <w:r w:rsidR="00205C7B" w:rsidRPr="00192F07">
          <w:rPr>
            <w:rStyle w:val="Hyperlink"/>
            <w:noProof/>
          </w:rPr>
          <w:t>По отношение на свързаност между мерките и целите, баланс между различните мерки на програмата</w:t>
        </w:r>
        <w:r w:rsidR="00205C7B">
          <w:rPr>
            <w:noProof/>
            <w:webHidden/>
          </w:rPr>
          <w:tab/>
        </w:r>
        <w:r w:rsidR="00205C7B">
          <w:rPr>
            <w:noProof/>
            <w:webHidden/>
          </w:rPr>
          <w:fldChar w:fldCharType="begin"/>
        </w:r>
        <w:r w:rsidR="00205C7B">
          <w:rPr>
            <w:noProof/>
            <w:webHidden/>
          </w:rPr>
          <w:instrText xml:space="preserve"> PAGEREF _Toc504136164 \h </w:instrText>
        </w:r>
        <w:r w:rsidR="00205C7B">
          <w:rPr>
            <w:noProof/>
            <w:webHidden/>
          </w:rPr>
        </w:r>
        <w:r w:rsidR="00205C7B">
          <w:rPr>
            <w:noProof/>
            <w:webHidden/>
          </w:rPr>
          <w:fldChar w:fldCharType="separate"/>
        </w:r>
        <w:r w:rsidR="0023010D">
          <w:rPr>
            <w:noProof/>
            <w:webHidden/>
          </w:rPr>
          <w:t>194</w:t>
        </w:r>
        <w:r w:rsidR="00205C7B">
          <w:rPr>
            <w:noProof/>
            <w:webHidden/>
          </w:rPr>
          <w:fldChar w:fldCharType="end"/>
        </w:r>
      </w:hyperlink>
    </w:p>
    <w:p w14:paraId="1B19895B" w14:textId="57494577" w:rsidR="00205C7B" w:rsidRDefault="000161DB">
      <w:pPr>
        <w:pStyle w:val="TOC3"/>
        <w:rPr>
          <w:rFonts w:eastAsiaTheme="minorEastAsia"/>
          <w:i w:val="0"/>
          <w:noProof/>
          <w:sz w:val="22"/>
          <w:lang w:eastAsia="bg-BG"/>
        </w:rPr>
      </w:pPr>
      <w:hyperlink w:anchor="_Toc504136165" w:history="1">
        <w:r w:rsidR="00205C7B" w:rsidRPr="00192F07">
          <w:rPr>
            <w:rStyle w:val="Hyperlink"/>
            <w:noProof/>
          </w:rPr>
          <w:t>По отношение на степен на постигане на специфичните цели на програмата, националните цели и целите на Общността</w:t>
        </w:r>
        <w:r w:rsidR="00205C7B">
          <w:rPr>
            <w:noProof/>
            <w:webHidden/>
          </w:rPr>
          <w:tab/>
        </w:r>
        <w:r w:rsidR="00205C7B">
          <w:rPr>
            <w:noProof/>
            <w:webHidden/>
          </w:rPr>
          <w:fldChar w:fldCharType="begin"/>
        </w:r>
        <w:r w:rsidR="00205C7B">
          <w:rPr>
            <w:noProof/>
            <w:webHidden/>
          </w:rPr>
          <w:instrText xml:space="preserve"> PAGEREF _Toc504136165 \h </w:instrText>
        </w:r>
        <w:r w:rsidR="00205C7B">
          <w:rPr>
            <w:noProof/>
            <w:webHidden/>
          </w:rPr>
        </w:r>
        <w:r w:rsidR="00205C7B">
          <w:rPr>
            <w:noProof/>
            <w:webHidden/>
          </w:rPr>
          <w:fldChar w:fldCharType="separate"/>
        </w:r>
        <w:r w:rsidR="0023010D">
          <w:rPr>
            <w:noProof/>
            <w:webHidden/>
          </w:rPr>
          <w:t>195</w:t>
        </w:r>
        <w:r w:rsidR="00205C7B">
          <w:rPr>
            <w:noProof/>
            <w:webHidden/>
          </w:rPr>
          <w:fldChar w:fldCharType="end"/>
        </w:r>
      </w:hyperlink>
    </w:p>
    <w:p w14:paraId="3DB72666" w14:textId="30FAC83D" w:rsidR="00205C7B" w:rsidRDefault="000161DB">
      <w:pPr>
        <w:pStyle w:val="TOC2"/>
        <w:rPr>
          <w:rFonts w:asciiTheme="minorHAnsi" w:hAnsiTheme="minorHAnsi" w:cstheme="minorBidi"/>
          <w:sz w:val="22"/>
          <w:szCs w:val="22"/>
        </w:rPr>
      </w:pPr>
      <w:hyperlink w:anchor="_Toc504136166" w:history="1">
        <w:r w:rsidR="00205C7B" w:rsidRPr="00192F07">
          <w:rPr>
            <w:rStyle w:val="Hyperlink"/>
          </w:rPr>
          <w:t>6.2</w:t>
        </w:r>
        <w:r w:rsidR="00205C7B">
          <w:rPr>
            <w:rFonts w:asciiTheme="minorHAnsi" w:hAnsiTheme="minorHAnsi" w:cstheme="minorBidi"/>
            <w:sz w:val="22"/>
            <w:szCs w:val="22"/>
          </w:rPr>
          <w:tab/>
        </w:r>
        <w:r w:rsidR="00205C7B" w:rsidRPr="00192F07">
          <w:rPr>
            <w:rStyle w:val="Hyperlink"/>
          </w:rPr>
          <w:t>Препоръки</w:t>
        </w:r>
        <w:r w:rsidR="00205C7B">
          <w:rPr>
            <w:webHidden/>
          </w:rPr>
          <w:tab/>
        </w:r>
        <w:r w:rsidR="00205C7B">
          <w:rPr>
            <w:webHidden/>
          </w:rPr>
          <w:fldChar w:fldCharType="begin"/>
        </w:r>
        <w:r w:rsidR="00205C7B">
          <w:rPr>
            <w:webHidden/>
          </w:rPr>
          <w:instrText xml:space="preserve"> PAGEREF _Toc504136166 \h </w:instrText>
        </w:r>
        <w:r w:rsidR="00205C7B">
          <w:rPr>
            <w:webHidden/>
          </w:rPr>
        </w:r>
        <w:r w:rsidR="00205C7B">
          <w:rPr>
            <w:webHidden/>
          </w:rPr>
          <w:fldChar w:fldCharType="separate"/>
        </w:r>
        <w:r w:rsidR="0023010D">
          <w:rPr>
            <w:webHidden/>
          </w:rPr>
          <w:t>197</w:t>
        </w:r>
        <w:r w:rsidR="00205C7B">
          <w:rPr>
            <w:webHidden/>
          </w:rPr>
          <w:fldChar w:fldCharType="end"/>
        </w:r>
      </w:hyperlink>
    </w:p>
    <w:p w14:paraId="3648F5B1" w14:textId="1FE0961E" w:rsidR="00205C7B" w:rsidRDefault="000161DB">
      <w:pPr>
        <w:pStyle w:val="TOC1"/>
        <w:rPr>
          <w:b w:val="0"/>
          <w:color w:val="auto"/>
        </w:rPr>
      </w:pPr>
      <w:hyperlink w:anchor="_Toc504136167" w:history="1">
        <w:r w:rsidR="00205C7B" w:rsidRPr="00192F07">
          <w:rPr>
            <w:rStyle w:val="Hyperlink"/>
          </w:rPr>
          <w:t>Приложения</w:t>
        </w:r>
        <w:r w:rsidR="00205C7B">
          <w:rPr>
            <w:webHidden/>
          </w:rPr>
          <w:tab/>
        </w:r>
        <w:r w:rsidR="00205C7B">
          <w:rPr>
            <w:webHidden/>
          </w:rPr>
          <w:fldChar w:fldCharType="begin"/>
        </w:r>
        <w:r w:rsidR="00205C7B">
          <w:rPr>
            <w:webHidden/>
          </w:rPr>
          <w:instrText xml:space="preserve"> PAGEREF _Toc504136167 \h </w:instrText>
        </w:r>
        <w:r w:rsidR="00205C7B">
          <w:rPr>
            <w:webHidden/>
          </w:rPr>
        </w:r>
        <w:r w:rsidR="00205C7B">
          <w:rPr>
            <w:webHidden/>
          </w:rPr>
          <w:fldChar w:fldCharType="separate"/>
        </w:r>
        <w:r w:rsidR="0023010D">
          <w:rPr>
            <w:webHidden/>
          </w:rPr>
          <w:t>200</w:t>
        </w:r>
        <w:r w:rsidR="00205C7B">
          <w:rPr>
            <w:webHidden/>
          </w:rPr>
          <w:fldChar w:fldCharType="end"/>
        </w:r>
      </w:hyperlink>
    </w:p>
    <w:p w14:paraId="28064A97" w14:textId="05EBBB18" w:rsidR="00205C7B" w:rsidRDefault="000161DB">
      <w:pPr>
        <w:pStyle w:val="TOC2"/>
        <w:rPr>
          <w:rFonts w:asciiTheme="minorHAnsi" w:hAnsiTheme="minorHAnsi" w:cstheme="minorBidi"/>
          <w:sz w:val="22"/>
          <w:szCs w:val="22"/>
        </w:rPr>
      </w:pPr>
      <w:hyperlink w:anchor="_Toc504136168" w:history="1">
        <w:r w:rsidR="00205C7B" w:rsidRPr="00192F07">
          <w:rPr>
            <w:rStyle w:val="Hyperlink"/>
          </w:rPr>
          <w:t>Приложение 1 Използвани документи</w:t>
        </w:r>
        <w:r w:rsidR="00205C7B">
          <w:rPr>
            <w:webHidden/>
          </w:rPr>
          <w:tab/>
        </w:r>
        <w:r w:rsidR="00205C7B">
          <w:rPr>
            <w:webHidden/>
          </w:rPr>
          <w:fldChar w:fldCharType="begin"/>
        </w:r>
        <w:r w:rsidR="00205C7B">
          <w:rPr>
            <w:webHidden/>
          </w:rPr>
          <w:instrText xml:space="preserve"> PAGEREF _Toc504136168 \h </w:instrText>
        </w:r>
        <w:r w:rsidR="00205C7B">
          <w:rPr>
            <w:webHidden/>
          </w:rPr>
        </w:r>
        <w:r w:rsidR="00205C7B">
          <w:rPr>
            <w:webHidden/>
          </w:rPr>
          <w:fldChar w:fldCharType="separate"/>
        </w:r>
        <w:r w:rsidR="0023010D">
          <w:rPr>
            <w:webHidden/>
          </w:rPr>
          <w:t>200</w:t>
        </w:r>
        <w:r w:rsidR="00205C7B">
          <w:rPr>
            <w:webHidden/>
          </w:rPr>
          <w:fldChar w:fldCharType="end"/>
        </w:r>
      </w:hyperlink>
    </w:p>
    <w:p w14:paraId="14683AAE" w14:textId="3F75320E" w:rsidR="00205C7B" w:rsidRDefault="000161DB">
      <w:pPr>
        <w:pStyle w:val="TOC2"/>
        <w:rPr>
          <w:rFonts w:asciiTheme="minorHAnsi" w:hAnsiTheme="minorHAnsi" w:cstheme="minorBidi"/>
          <w:sz w:val="22"/>
          <w:szCs w:val="22"/>
        </w:rPr>
      </w:pPr>
      <w:hyperlink w:anchor="_Toc504136169" w:history="1">
        <w:r w:rsidR="00205C7B" w:rsidRPr="00192F07">
          <w:rPr>
            <w:rStyle w:val="Hyperlink"/>
          </w:rPr>
          <w:t>Приложение 2. Промени в ПРСР 2007-2013</w:t>
        </w:r>
        <w:r w:rsidR="00205C7B">
          <w:rPr>
            <w:webHidden/>
          </w:rPr>
          <w:tab/>
        </w:r>
        <w:r w:rsidR="00205C7B">
          <w:rPr>
            <w:webHidden/>
          </w:rPr>
          <w:fldChar w:fldCharType="begin"/>
        </w:r>
        <w:r w:rsidR="00205C7B">
          <w:rPr>
            <w:webHidden/>
          </w:rPr>
          <w:instrText xml:space="preserve"> PAGEREF _Toc504136169 \h </w:instrText>
        </w:r>
        <w:r w:rsidR="00205C7B">
          <w:rPr>
            <w:webHidden/>
          </w:rPr>
        </w:r>
        <w:r w:rsidR="00205C7B">
          <w:rPr>
            <w:webHidden/>
          </w:rPr>
          <w:fldChar w:fldCharType="separate"/>
        </w:r>
        <w:r w:rsidR="0023010D">
          <w:rPr>
            <w:webHidden/>
          </w:rPr>
          <w:t>202</w:t>
        </w:r>
        <w:r w:rsidR="00205C7B">
          <w:rPr>
            <w:webHidden/>
          </w:rPr>
          <w:fldChar w:fldCharType="end"/>
        </w:r>
      </w:hyperlink>
    </w:p>
    <w:p w14:paraId="7D9FE50C" w14:textId="0E0E0E9E" w:rsidR="00205C7B" w:rsidRDefault="000161DB">
      <w:pPr>
        <w:pStyle w:val="TOC2"/>
        <w:rPr>
          <w:rFonts w:asciiTheme="minorHAnsi" w:hAnsiTheme="minorHAnsi" w:cstheme="minorBidi"/>
          <w:sz w:val="22"/>
          <w:szCs w:val="22"/>
        </w:rPr>
      </w:pPr>
      <w:hyperlink w:anchor="_Toc504136170" w:history="1">
        <w:r w:rsidR="00205C7B" w:rsidRPr="00192F07">
          <w:rPr>
            <w:rStyle w:val="Hyperlink"/>
          </w:rPr>
          <w:t>Приложение 3. Данни за анализите по ос 4 ЛИДЕР</w:t>
        </w:r>
        <w:r w:rsidR="00205C7B">
          <w:rPr>
            <w:webHidden/>
          </w:rPr>
          <w:tab/>
        </w:r>
        <w:r w:rsidR="00205C7B">
          <w:rPr>
            <w:webHidden/>
          </w:rPr>
          <w:fldChar w:fldCharType="begin"/>
        </w:r>
        <w:r w:rsidR="00205C7B">
          <w:rPr>
            <w:webHidden/>
          </w:rPr>
          <w:instrText xml:space="preserve"> PAGEREF _Toc504136170 \h </w:instrText>
        </w:r>
        <w:r w:rsidR="00205C7B">
          <w:rPr>
            <w:webHidden/>
          </w:rPr>
        </w:r>
        <w:r w:rsidR="00205C7B">
          <w:rPr>
            <w:webHidden/>
          </w:rPr>
          <w:fldChar w:fldCharType="separate"/>
        </w:r>
        <w:r w:rsidR="0023010D">
          <w:rPr>
            <w:webHidden/>
          </w:rPr>
          <w:t>204</w:t>
        </w:r>
        <w:r w:rsidR="00205C7B">
          <w:rPr>
            <w:webHidden/>
          </w:rPr>
          <w:fldChar w:fldCharType="end"/>
        </w:r>
      </w:hyperlink>
    </w:p>
    <w:p w14:paraId="7A22F444" w14:textId="4C537A78" w:rsidR="00205C7B" w:rsidRDefault="000161DB">
      <w:pPr>
        <w:pStyle w:val="TOC2"/>
        <w:rPr>
          <w:rFonts w:asciiTheme="minorHAnsi" w:hAnsiTheme="minorHAnsi" w:cstheme="minorBidi"/>
          <w:sz w:val="22"/>
          <w:szCs w:val="22"/>
        </w:rPr>
      </w:pPr>
      <w:hyperlink w:anchor="_Toc504136171" w:history="1">
        <w:r w:rsidR="00205C7B" w:rsidRPr="00192F07">
          <w:rPr>
            <w:rStyle w:val="Hyperlink"/>
          </w:rPr>
          <w:t>Приложение 4. Карти във връзка с оценка на въздействието на мерките по ос 2</w:t>
        </w:r>
        <w:r w:rsidR="00205C7B">
          <w:rPr>
            <w:webHidden/>
          </w:rPr>
          <w:tab/>
        </w:r>
        <w:r w:rsidR="00205C7B">
          <w:rPr>
            <w:webHidden/>
          </w:rPr>
          <w:fldChar w:fldCharType="begin"/>
        </w:r>
        <w:r w:rsidR="00205C7B">
          <w:rPr>
            <w:webHidden/>
          </w:rPr>
          <w:instrText xml:space="preserve"> PAGEREF _Toc504136171 \h </w:instrText>
        </w:r>
        <w:r w:rsidR="00205C7B">
          <w:rPr>
            <w:webHidden/>
          </w:rPr>
        </w:r>
        <w:r w:rsidR="00205C7B">
          <w:rPr>
            <w:webHidden/>
          </w:rPr>
          <w:fldChar w:fldCharType="separate"/>
        </w:r>
        <w:r w:rsidR="0023010D">
          <w:rPr>
            <w:webHidden/>
          </w:rPr>
          <w:t>211</w:t>
        </w:r>
        <w:r w:rsidR="00205C7B">
          <w:rPr>
            <w:webHidden/>
          </w:rPr>
          <w:fldChar w:fldCharType="end"/>
        </w:r>
      </w:hyperlink>
    </w:p>
    <w:p w14:paraId="2A01DF19" w14:textId="398E3AD7" w:rsidR="00205C7B" w:rsidRDefault="000161DB">
      <w:pPr>
        <w:pStyle w:val="TOC2"/>
        <w:rPr>
          <w:rFonts w:asciiTheme="minorHAnsi" w:hAnsiTheme="minorHAnsi" w:cstheme="minorBidi"/>
          <w:sz w:val="22"/>
          <w:szCs w:val="22"/>
        </w:rPr>
      </w:pPr>
      <w:hyperlink w:anchor="_Toc504136172" w:history="1">
        <w:r w:rsidR="00205C7B" w:rsidRPr="00192F07">
          <w:rPr>
            <w:rStyle w:val="Hyperlink"/>
          </w:rPr>
          <w:t>Приложение 5. Онлайн проучване сред общини, бенефициенти по ПРСР 2007-2013</w:t>
        </w:r>
        <w:r w:rsidR="00205C7B">
          <w:rPr>
            <w:webHidden/>
          </w:rPr>
          <w:tab/>
        </w:r>
        <w:r w:rsidR="00205C7B">
          <w:rPr>
            <w:webHidden/>
          </w:rPr>
          <w:fldChar w:fldCharType="begin"/>
        </w:r>
        <w:r w:rsidR="00205C7B">
          <w:rPr>
            <w:webHidden/>
          </w:rPr>
          <w:instrText xml:space="preserve"> PAGEREF _Toc504136172 \h </w:instrText>
        </w:r>
        <w:r w:rsidR="00205C7B">
          <w:rPr>
            <w:webHidden/>
          </w:rPr>
        </w:r>
        <w:r w:rsidR="00205C7B">
          <w:rPr>
            <w:webHidden/>
          </w:rPr>
          <w:fldChar w:fldCharType="separate"/>
        </w:r>
        <w:r w:rsidR="0023010D">
          <w:rPr>
            <w:webHidden/>
          </w:rPr>
          <w:t>215</w:t>
        </w:r>
        <w:r w:rsidR="00205C7B">
          <w:rPr>
            <w:webHidden/>
          </w:rPr>
          <w:fldChar w:fldCharType="end"/>
        </w:r>
      </w:hyperlink>
    </w:p>
    <w:p w14:paraId="24D88871" w14:textId="77777777" w:rsidR="00E8617E" w:rsidRPr="00BC513A" w:rsidRDefault="00E8617E" w:rsidP="00E8617E">
      <w:pPr>
        <w:spacing w:after="0" w:line="280" w:lineRule="atLeast"/>
        <w:rPr>
          <w:rFonts w:ascii="Arial" w:hAnsi="Arial" w:cs="Arial"/>
          <w:color w:val="006DB6"/>
          <w:sz w:val="20"/>
          <w:szCs w:val="20"/>
        </w:rPr>
      </w:pPr>
      <w:r w:rsidRPr="00BC513A">
        <w:rPr>
          <w:rFonts w:ascii="Arial" w:eastAsiaTheme="minorEastAsia" w:hAnsi="Arial" w:cs="Arial"/>
          <w:b/>
          <w:color w:val="006DB6"/>
          <w:sz w:val="20"/>
          <w:szCs w:val="20"/>
          <w:lang w:eastAsia="bg-BG"/>
        </w:rPr>
        <w:fldChar w:fldCharType="end"/>
      </w:r>
    </w:p>
    <w:p w14:paraId="21F72008" w14:textId="77777777" w:rsidR="00E8617E" w:rsidRPr="00BC513A" w:rsidRDefault="00E8617E" w:rsidP="00E8617E">
      <w:pPr>
        <w:rPr>
          <w:rFonts w:ascii="Arial" w:hAnsi="Arial" w:cs="Arial"/>
          <w:color w:val="006DB6"/>
          <w:sz w:val="20"/>
          <w:szCs w:val="20"/>
        </w:rPr>
      </w:pPr>
      <w:r w:rsidRPr="00BC513A">
        <w:rPr>
          <w:rFonts w:ascii="Arial" w:hAnsi="Arial" w:cs="Arial"/>
          <w:color w:val="006DB6"/>
          <w:sz w:val="20"/>
          <w:szCs w:val="20"/>
        </w:rPr>
        <w:br w:type="page"/>
      </w:r>
    </w:p>
    <w:p w14:paraId="2094A99A" w14:textId="77777777" w:rsidR="00E8617E" w:rsidRPr="00BC513A" w:rsidRDefault="00E8617E" w:rsidP="00E8617E">
      <w:pPr>
        <w:pStyle w:val="Heading1"/>
        <w:numPr>
          <w:ilvl w:val="0"/>
          <w:numId w:val="0"/>
        </w:numPr>
        <w:ind w:left="567" w:hanging="567"/>
        <w:rPr>
          <w:lang w:val="bg-BG"/>
        </w:rPr>
      </w:pPr>
      <w:bookmarkStart w:id="9" w:name="_Toc504136119"/>
      <w:r w:rsidRPr="00BC513A">
        <w:rPr>
          <w:lang w:val="bg-BG"/>
        </w:rPr>
        <w:lastRenderedPageBreak/>
        <w:t>Списък на таблиците</w:t>
      </w:r>
      <w:bookmarkEnd w:id="9"/>
    </w:p>
    <w:p w14:paraId="023B327F" w14:textId="77777777" w:rsidR="00205C7B" w:rsidRPr="00205C7B" w:rsidRDefault="00E8617E" w:rsidP="00205C7B">
      <w:pPr>
        <w:pStyle w:val="TableofFigures"/>
        <w:tabs>
          <w:tab w:val="right" w:leader="dot" w:pos="9060"/>
        </w:tabs>
        <w:spacing w:before="120" w:after="120" w:line="240" w:lineRule="auto"/>
        <w:rPr>
          <w:rFonts w:ascii="Arial" w:hAnsi="Arial" w:cs="Arial"/>
          <w:noProof/>
        </w:rPr>
      </w:pPr>
      <w:r w:rsidRPr="00205C7B">
        <w:rPr>
          <w:rStyle w:val="Hyperlink"/>
          <w:rFonts w:ascii="Arial" w:hAnsi="Arial" w:cs="Arial"/>
          <w:noProof/>
        </w:rPr>
        <w:fldChar w:fldCharType="begin"/>
      </w:r>
      <w:r w:rsidRPr="00205C7B">
        <w:rPr>
          <w:rStyle w:val="Hyperlink"/>
          <w:rFonts w:ascii="Arial" w:hAnsi="Arial" w:cs="Arial"/>
          <w:noProof/>
        </w:rPr>
        <w:instrText xml:space="preserve"> TOC \h \z \c "Таблица" </w:instrText>
      </w:r>
      <w:r w:rsidRPr="00205C7B">
        <w:rPr>
          <w:rStyle w:val="Hyperlink"/>
          <w:rFonts w:ascii="Arial" w:hAnsi="Arial" w:cs="Arial"/>
          <w:noProof/>
        </w:rPr>
        <w:fldChar w:fldCharType="separate"/>
      </w:r>
      <w:hyperlink w:anchor="_Toc504136173" w:history="1">
        <w:r w:rsidR="00205C7B" w:rsidRPr="00205C7B">
          <w:rPr>
            <w:rStyle w:val="Hyperlink"/>
            <w:rFonts w:ascii="Arial" w:hAnsi="Arial" w:cs="Arial"/>
            <w:noProof/>
          </w:rPr>
          <w:t>Таблица 1. Мерки в обхвата на ос 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_Toc504136173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34</w:t>
        </w:r>
        <w:r w:rsidR="00205C7B" w:rsidRPr="00205C7B">
          <w:rPr>
            <w:rFonts w:ascii="Arial" w:hAnsi="Arial" w:cs="Arial"/>
            <w:noProof/>
            <w:webHidden/>
          </w:rPr>
          <w:fldChar w:fldCharType="end"/>
        </w:r>
      </w:hyperlink>
    </w:p>
    <w:p w14:paraId="340CD26F"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74" w:history="1">
        <w:r w:rsidR="00205C7B" w:rsidRPr="00205C7B">
          <w:rPr>
            <w:rStyle w:val="Hyperlink"/>
            <w:rFonts w:ascii="Arial" w:hAnsi="Arial" w:cs="Arial"/>
            <w:noProof/>
          </w:rPr>
          <w:t>Таблица 2. Мерки в обхвата на ос 2</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_Toc504136174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35</w:t>
        </w:r>
        <w:r w:rsidR="00205C7B" w:rsidRPr="00205C7B">
          <w:rPr>
            <w:rFonts w:ascii="Arial" w:hAnsi="Arial" w:cs="Arial"/>
            <w:noProof/>
            <w:webHidden/>
          </w:rPr>
          <w:fldChar w:fldCharType="end"/>
        </w:r>
      </w:hyperlink>
    </w:p>
    <w:p w14:paraId="6AF1AAD1"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75" w:history="1">
        <w:r w:rsidR="00205C7B" w:rsidRPr="00205C7B">
          <w:rPr>
            <w:rStyle w:val="Hyperlink"/>
            <w:rFonts w:ascii="Arial" w:hAnsi="Arial" w:cs="Arial"/>
            <w:noProof/>
          </w:rPr>
          <w:t>Таблица 3. Мерки в обхвата на ос 3</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_Toc504136175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36</w:t>
        </w:r>
        <w:r w:rsidR="00205C7B" w:rsidRPr="00205C7B">
          <w:rPr>
            <w:rFonts w:ascii="Arial" w:hAnsi="Arial" w:cs="Arial"/>
            <w:noProof/>
            <w:webHidden/>
          </w:rPr>
          <w:fldChar w:fldCharType="end"/>
        </w:r>
      </w:hyperlink>
    </w:p>
    <w:p w14:paraId="5432F123"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76" w:history="1">
        <w:r w:rsidR="00205C7B" w:rsidRPr="00205C7B">
          <w:rPr>
            <w:rStyle w:val="Hyperlink"/>
            <w:rFonts w:ascii="Arial" w:hAnsi="Arial" w:cs="Arial"/>
            <w:noProof/>
          </w:rPr>
          <w:t>Таблица 4. Мерки в обхвата на ос 4</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_Toc504136176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36</w:t>
        </w:r>
        <w:r w:rsidR="00205C7B" w:rsidRPr="00205C7B">
          <w:rPr>
            <w:rFonts w:ascii="Arial" w:hAnsi="Arial" w:cs="Arial"/>
            <w:noProof/>
            <w:webHidden/>
          </w:rPr>
          <w:fldChar w:fldCharType="end"/>
        </w:r>
      </w:hyperlink>
    </w:p>
    <w:p w14:paraId="4159A40E"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77" w:history="1">
        <w:r w:rsidR="00205C7B" w:rsidRPr="00205C7B">
          <w:rPr>
            <w:rStyle w:val="Hyperlink"/>
            <w:rFonts w:ascii="Arial" w:hAnsi="Arial" w:cs="Arial"/>
            <w:noProof/>
          </w:rPr>
          <w:t>Таблица 5. Връзка между мерките в програмата по отношение на въздействие</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_Toc504136177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39</w:t>
        </w:r>
        <w:r w:rsidR="00205C7B" w:rsidRPr="00205C7B">
          <w:rPr>
            <w:rFonts w:ascii="Arial" w:hAnsi="Arial" w:cs="Arial"/>
            <w:noProof/>
            <w:webHidden/>
          </w:rPr>
          <w:fldChar w:fldCharType="end"/>
        </w:r>
      </w:hyperlink>
    </w:p>
    <w:p w14:paraId="26F78CD9"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78" w:history="1">
        <w:r w:rsidR="00205C7B" w:rsidRPr="00205C7B">
          <w:rPr>
            <w:rStyle w:val="Hyperlink"/>
            <w:rFonts w:ascii="Arial" w:hAnsi="Arial" w:cs="Arial"/>
            <w:noProof/>
          </w:rPr>
          <w:t>Таблица 6. Връзка между мерките по ос 1 и индикаторите за резултат</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_Toc504136178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45</w:t>
        </w:r>
        <w:r w:rsidR="00205C7B" w:rsidRPr="00205C7B">
          <w:rPr>
            <w:rFonts w:ascii="Arial" w:hAnsi="Arial" w:cs="Arial"/>
            <w:noProof/>
            <w:webHidden/>
          </w:rPr>
          <w:fldChar w:fldCharType="end"/>
        </w:r>
      </w:hyperlink>
    </w:p>
    <w:p w14:paraId="01E3198F"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79" w:history="1">
        <w:r w:rsidR="00205C7B" w:rsidRPr="00205C7B">
          <w:rPr>
            <w:rStyle w:val="Hyperlink"/>
            <w:rFonts w:ascii="Arial" w:hAnsi="Arial" w:cs="Arial"/>
            <w:noProof/>
          </w:rPr>
          <w:t>Таблица 7. Връзка между мерките по ос 2 и индикаторите за резултат</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_Toc504136179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48</w:t>
        </w:r>
        <w:r w:rsidR="00205C7B" w:rsidRPr="00205C7B">
          <w:rPr>
            <w:rFonts w:ascii="Arial" w:hAnsi="Arial" w:cs="Arial"/>
            <w:noProof/>
            <w:webHidden/>
          </w:rPr>
          <w:fldChar w:fldCharType="end"/>
        </w:r>
      </w:hyperlink>
    </w:p>
    <w:p w14:paraId="00582353"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80" w:history="1">
        <w:r w:rsidR="00205C7B" w:rsidRPr="00205C7B">
          <w:rPr>
            <w:rStyle w:val="Hyperlink"/>
            <w:rFonts w:ascii="Arial" w:hAnsi="Arial" w:cs="Arial"/>
            <w:noProof/>
          </w:rPr>
          <w:t>Таблица 8. Връзка между мерките по ос 3 и индикаторите за резултат</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_Toc504136180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50</w:t>
        </w:r>
        <w:r w:rsidR="00205C7B" w:rsidRPr="00205C7B">
          <w:rPr>
            <w:rFonts w:ascii="Arial" w:hAnsi="Arial" w:cs="Arial"/>
            <w:noProof/>
            <w:webHidden/>
          </w:rPr>
          <w:fldChar w:fldCharType="end"/>
        </w:r>
      </w:hyperlink>
    </w:p>
    <w:p w14:paraId="504FC640"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81" w:history="1">
        <w:r w:rsidR="00205C7B" w:rsidRPr="00205C7B">
          <w:rPr>
            <w:rStyle w:val="Hyperlink"/>
            <w:rFonts w:ascii="Arial" w:hAnsi="Arial" w:cs="Arial"/>
            <w:noProof/>
          </w:rPr>
          <w:t>Таблица 9. Връзка между мерките по ос 4 и индикаторите за резултат</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_Toc504136181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52</w:t>
        </w:r>
        <w:r w:rsidR="00205C7B" w:rsidRPr="00205C7B">
          <w:rPr>
            <w:rFonts w:ascii="Arial" w:hAnsi="Arial" w:cs="Arial"/>
            <w:noProof/>
            <w:webHidden/>
          </w:rPr>
          <w:fldChar w:fldCharType="end"/>
        </w:r>
      </w:hyperlink>
    </w:p>
    <w:p w14:paraId="1F755E56" w14:textId="46D3AB89"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82" w:history="1">
        <w:r w:rsidR="00205C7B" w:rsidRPr="00205C7B">
          <w:rPr>
            <w:rStyle w:val="Hyperlink"/>
            <w:rFonts w:ascii="Arial" w:hAnsi="Arial" w:cs="Arial"/>
            <w:noProof/>
          </w:rPr>
          <w:t>Таблица 10. Окончателен одобрен бюджет (в евро)*</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_Toc504136182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53</w:t>
        </w:r>
        <w:r w:rsidR="00205C7B" w:rsidRPr="00205C7B">
          <w:rPr>
            <w:rFonts w:ascii="Arial" w:hAnsi="Arial" w:cs="Arial"/>
            <w:noProof/>
            <w:webHidden/>
          </w:rPr>
          <w:fldChar w:fldCharType="end"/>
        </w:r>
      </w:hyperlink>
    </w:p>
    <w:p w14:paraId="74B0D1B2" w14:textId="533AE0F4"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83" w:history="1">
        <w:r w:rsidR="00205C7B" w:rsidRPr="00205C7B">
          <w:rPr>
            <w:rStyle w:val="Hyperlink"/>
            <w:rFonts w:ascii="Arial" w:hAnsi="Arial" w:cs="Arial"/>
            <w:noProof/>
          </w:rPr>
          <w:t>Таблица 11.  Общо публични разходи на равнището оси (в евро)</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_Toc504136183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54</w:t>
        </w:r>
        <w:r w:rsidR="00205C7B" w:rsidRPr="00205C7B">
          <w:rPr>
            <w:rFonts w:ascii="Arial" w:hAnsi="Arial" w:cs="Arial"/>
            <w:noProof/>
            <w:webHidden/>
          </w:rPr>
          <w:fldChar w:fldCharType="end"/>
        </w:r>
      </w:hyperlink>
    </w:p>
    <w:p w14:paraId="3E698C4E"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84" w:history="1">
        <w:r w:rsidR="00205C7B" w:rsidRPr="00205C7B">
          <w:rPr>
            <w:rStyle w:val="Hyperlink"/>
            <w:rFonts w:ascii="Arial" w:hAnsi="Arial" w:cs="Arial"/>
            <w:noProof/>
          </w:rPr>
          <w:t>Таблица 12. Разпределение на средствата от ЕЗФРСР по оси (в евро)</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_Toc504136184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54</w:t>
        </w:r>
        <w:r w:rsidR="00205C7B" w:rsidRPr="00205C7B">
          <w:rPr>
            <w:rFonts w:ascii="Arial" w:hAnsi="Arial" w:cs="Arial"/>
            <w:noProof/>
            <w:webHidden/>
          </w:rPr>
          <w:fldChar w:fldCharType="end"/>
        </w:r>
      </w:hyperlink>
    </w:p>
    <w:p w14:paraId="723862E0"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85" w:history="1">
        <w:r w:rsidR="00205C7B" w:rsidRPr="00205C7B">
          <w:rPr>
            <w:rStyle w:val="Hyperlink"/>
            <w:rFonts w:ascii="Arial" w:hAnsi="Arial" w:cs="Arial"/>
            <w:noProof/>
          </w:rPr>
          <w:t>Таблица 13. Разпределение на националните средства по оси (в евро)</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_Toc504136185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55</w:t>
        </w:r>
        <w:r w:rsidR="00205C7B" w:rsidRPr="00205C7B">
          <w:rPr>
            <w:rFonts w:ascii="Arial" w:hAnsi="Arial" w:cs="Arial"/>
            <w:noProof/>
            <w:webHidden/>
          </w:rPr>
          <w:fldChar w:fldCharType="end"/>
        </w:r>
      </w:hyperlink>
    </w:p>
    <w:p w14:paraId="783623B5"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86" w:history="1">
        <w:r w:rsidR="00205C7B" w:rsidRPr="00205C7B">
          <w:rPr>
            <w:rStyle w:val="Hyperlink"/>
            <w:rFonts w:ascii="Arial" w:hAnsi="Arial" w:cs="Arial"/>
            <w:noProof/>
          </w:rPr>
          <w:t>Таблица 14. Разпределение на общите публични разходи между осите (%)</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_Toc504136186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56</w:t>
        </w:r>
        <w:r w:rsidR="00205C7B" w:rsidRPr="00205C7B">
          <w:rPr>
            <w:rFonts w:ascii="Arial" w:hAnsi="Arial" w:cs="Arial"/>
            <w:noProof/>
            <w:webHidden/>
          </w:rPr>
          <w:fldChar w:fldCharType="end"/>
        </w:r>
      </w:hyperlink>
    </w:p>
    <w:p w14:paraId="5004CC2A"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87" w:history="1">
        <w:r w:rsidR="00205C7B" w:rsidRPr="00205C7B">
          <w:rPr>
            <w:rStyle w:val="Hyperlink"/>
            <w:rFonts w:ascii="Arial" w:hAnsi="Arial" w:cs="Arial"/>
            <w:noProof/>
          </w:rPr>
          <w:t>Таблица 15.  Разпределение на  ЕЗФРСР между осите (%)</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_Toc504136187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57</w:t>
        </w:r>
        <w:r w:rsidR="00205C7B" w:rsidRPr="00205C7B">
          <w:rPr>
            <w:rFonts w:ascii="Arial" w:hAnsi="Arial" w:cs="Arial"/>
            <w:noProof/>
            <w:webHidden/>
          </w:rPr>
          <w:fldChar w:fldCharType="end"/>
        </w:r>
      </w:hyperlink>
    </w:p>
    <w:p w14:paraId="6319595F"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88" w:history="1">
        <w:r w:rsidR="00205C7B" w:rsidRPr="00205C7B">
          <w:rPr>
            <w:rStyle w:val="Hyperlink"/>
            <w:rFonts w:ascii="Arial" w:hAnsi="Arial" w:cs="Arial"/>
            <w:noProof/>
          </w:rPr>
          <w:t>Таблица 16. Разпределение на националните средства между осите (%)</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_Toc504136188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57</w:t>
        </w:r>
        <w:r w:rsidR="00205C7B" w:rsidRPr="00205C7B">
          <w:rPr>
            <w:rFonts w:ascii="Arial" w:hAnsi="Arial" w:cs="Arial"/>
            <w:noProof/>
            <w:webHidden/>
          </w:rPr>
          <w:fldChar w:fldCharType="end"/>
        </w:r>
      </w:hyperlink>
    </w:p>
    <w:p w14:paraId="5E8683DA"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89" w:history="1">
        <w:r w:rsidR="00205C7B" w:rsidRPr="00205C7B">
          <w:rPr>
            <w:rStyle w:val="Hyperlink"/>
            <w:rFonts w:ascii="Arial" w:hAnsi="Arial" w:cs="Arial"/>
            <w:noProof/>
          </w:rPr>
          <w:t>Таблица 17. Съфинансиране от ЕЗФРСР за общите публични разходи по оси (%)</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_Toc504136189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58</w:t>
        </w:r>
        <w:r w:rsidR="00205C7B" w:rsidRPr="00205C7B">
          <w:rPr>
            <w:rFonts w:ascii="Arial" w:hAnsi="Arial" w:cs="Arial"/>
            <w:noProof/>
            <w:webHidden/>
          </w:rPr>
          <w:fldChar w:fldCharType="end"/>
        </w:r>
      </w:hyperlink>
    </w:p>
    <w:p w14:paraId="697D2313"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90" w:history="1">
        <w:r w:rsidR="00205C7B" w:rsidRPr="00205C7B">
          <w:rPr>
            <w:rStyle w:val="Hyperlink"/>
            <w:rFonts w:ascii="Arial" w:hAnsi="Arial" w:cs="Arial"/>
            <w:noProof/>
          </w:rPr>
          <w:t>Таблица 18 Финансово разпределение и разходи по мярка (в евро и %)</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_Toc504136190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61</w:t>
        </w:r>
        <w:r w:rsidR="00205C7B" w:rsidRPr="00205C7B">
          <w:rPr>
            <w:rFonts w:ascii="Arial" w:hAnsi="Arial" w:cs="Arial"/>
            <w:noProof/>
            <w:webHidden/>
          </w:rPr>
          <w:fldChar w:fldCharType="end"/>
        </w:r>
      </w:hyperlink>
    </w:p>
    <w:p w14:paraId="00B78ACA"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91" w:history="1">
        <w:r w:rsidR="00205C7B" w:rsidRPr="00205C7B">
          <w:rPr>
            <w:rStyle w:val="Hyperlink"/>
            <w:rFonts w:ascii="Arial" w:hAnsi="Arial" w:cs="Arial"/>
            <w:noProof/>
          </w:rPr>
          <w:t>Таблица 19. Индикатори за резултат ос 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_Toc504136191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68</w:t>
        </w:r>
        <w:r w:rsidR="00205C7B" w:rsidRPr="00205C7B">
          <w:rPr>
            <w:rFonts w:ascii="Arial" w:hAnsi="Arial" w:cs="Arial"/>
            <w:noProof/>
            <w:webHidden/>
          </w:rPr>
          <w:fldChar w:fldCharType="end"/>
        </w:r>
      </w:hyperlink>
    </w:p>
    <w:p w14:paraId="1C5416AA"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92" w:history="1">
        <w:r w:rsidR="00205C7B" w:rsidRPr="00205C7B">
          <w:rPr>
            <w:rStyle w:val="Hyperlink"/>
            <w:rFonts w:ascii="Arial" w:hAnsi="Arial" w:cs="Arial"/>
            <w:noProof/>
          </w:rPr>
          <w:t>Таблица 20. Индикатори за резултат ос 2</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_Toc504136192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69</w:t>
        </w:r>
        <w:r w:rsidR="00205C7B" w:rsidRPr="00205C7B">
          <w:rPr>
            <w:rFonts w:ascii="Arial" w:hAnsi="Arial" w:cs="Arial"/>
            <w:noProof/>
            <w:webHidden/>
          </w:rPr>
          <w:fldChar w:fldCharType="end"/>
        </w:r>
      </w:hyperlink>
    </w:p>
    <w:p w14:paraId="60F642D6"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93" w:history="1">
        <w:r w:rsidR="00205C7B" w:rsidRPr="00205C7B">
          <w:rPr>
            <w:rStyle w:val="Hyperlink"/>
            <w:rFonts w:ascii="Arial" w:hAnsi="Arial" w:cs="Arial"/>
            <w:noProof/>
          </w:rPr>
          <w:t>Таблица 21. Индикатори за резултат ос 3</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_Toc504136193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71</w:t>
        </w:r>
        <w:r w:rsidR="00205C7B" w:rsidRPr="00205C7B">
          <w:rPr>
            <w:rFonts w:ascii="Arial" w:hAnsi="Arial" w:cs="Arial"/>
            <w:noProof/>
            <w:webHidden/>
          </w:rPr>
          <w:fldChar w:fldCharType="end"/>
        </w:r>
      </w:hyperlink>
    </w:p>
    <w:p w14:paraId="626EF13B"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94" w:history="1">
        <w:r w:rsidR="00205C7B" w:rsidRPr="00205C7B">
          <w:rPr>
            <w:rStyle w:val="Hyperlink"/>
            <w:rFonts w:ascii="Arial" w:hAnsi="Arial" w:cs="Arial"/>
            <w:noProof/>
          </w:rPr>
          <w:t>Таблица 22. Общи индикатори за въздействие</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_Toc504136194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72</w:t>
        </w:r>
        <w:r w:rsidR="00205C7B" w:rsidRPr="00205C7B">
          <w:rPr>
            <w:rFonts w:ascii="Arial" w:hAnsi="Arial" w:cs="Arial"/>
            <w:noProof/>
            <w:webHidden/>
          </w:rPr>
          <w:fldChar w:fldCharType="end"/>
        </w:r>
      </w:hyperlink>
    </w:p>
    <w:p w14:paraId="552952BA"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95" w:history="1">
        <w:r w:rsidR="00205C7B" w:rsidRPr="00205C7B">
          <w:rPr>
            <w:rStyle w:val="Hyperlink"/>
            <w:rFonts w:ascii="Arial" w:hAnsi="Arial" w:cs="Arial"/>
            <w:noProof/>
          </w:rPr>
          <w:t>Таблица 23.</w:t>
        </w:r>
        <w:r w:rsidR="00205C7B" w:rsidRPr="00205C7B">
          <w:rPr>
            <w:rStyle w:val="Hyperlink"/>
            <w:rFonts w:ascii="Arial" w:hAnsi="Arial" w:cs="Arial"/>
            <w:i/>
            <w:noProof/>
          </w:rPr>
          <w:t xml:space="preserve"> </w:t>
        </w:r>
        <w:r w:rsidR="00205C7B" w:rsidRPr="00205C7B">
          <w:rPr>
            <w:rStyle w:val="Hyperlink"/>
            <w:rFonts w:ascii="Arial" w:hAnsi="Arial" w:cs="Arial"/>
            <w:noProof/>
          </w:rPr>
          <w:t>Подадени, одобрени, изпълнени и изплатени публични средства по мярка 111 към 31.12.2015 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_Toc504136195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82</w:t>
        </w:r>
        <w:r w:rsidR="00205C7B" w:rsidRPr="00205C7B">
          <w:rPr>
            <w:rFonts w:ascii="Arial" w:hAnsi="Arial" w:cs="Arial"/>
            <w:noProof/>
            <w:webHidden/>
          </w:rPr>
          <w:fldChar w:fldCharType="end"/>
        </w:r>
      </w:hyperlink>
    </w:p>
    <w:p w14:paraId="2D5791CC"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96" w:history="1">
        <w:r w:rsidR="00205C7B" w:rsidRPr="00205C7B">
          <w:rPr>
            <w:rStyle w:val="Hyperlink"/>
            <w:rFonts w:ascii="Arial" w:hAnsi="Arial" w:cs="Arial"/>
            <w:noProof/>
          </w:rPr>
          <w:t>Таблица 24.  Количествени цели относно общите индикатори на ЕС по мярка 111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_Toc504136196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83</w:t>
        </w:r>
        <w:r w:rsidR="00205C7B" w:rsidRPr="00205C7B">
          <w:rPr>
            <w:rFonts w:ascii="Arial" w:hAnsi="Arial" w:cs="Arial"/>
            <w:noProof/>
            <w:webHidden/>
          </w:rPr>
          <w:fldChar w:fldCharType="end"/>
        </w:r>
      </w:hyperlink>
    </w:p>
    <w:p w14:paraId="13810BFD"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97" w:history="1">
        <w:r w:rsidR="00205C7B" w:rsidRPr="00205C7B">
          <w:rPr>
            <w:rStyle w:val="Hyperlink"/>
            <w:rFonts w:ascii="Arial" w:hAnsi="Arial" w:cs="Arial"/>
            <w:noProof/>
          </w:rPr>
          <w:t>Таблица 25.</w:t>
        </w:r>
        <w:r w:rsidR="00205C7B" w:rsidRPr="00205C7B">
          <w:rPr>
            <w:rStyle w:val="Hyperlink"/>
            <w:rFonts w:ascii="Arial" w:hAnsi="Arial" w:cs="Arial"/>
            <w:i/>
            <w:noProof/>
          </w:rPr>
          <w:t xml:space="preserve"> </w:t>
        </w:r>
        <w:r w:rsidR="00205C7B" w:rsidRPr="00205C7B">
          <w:rPr>
            <w:rStyle w:val="Hyperlink"/>
            <w:rFonts w:ascii="Arial" w:hAnsi="Arial" w:cs="Arial"/>
            <w:noProof/>
          </w:rPr>
          <w:t xml:space="preserve"> Брой обучени по обхванати направления по мярка 111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_Toc504136197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83</w:t>
        </w:r>
        <w:r w:rsidR="00205C7B" w:rsidRPr="00205C7B">
          <w:rPr>
            <w:rFonts w:ascii="Arial" w:hAnsi="Arial" w:cs="Arial"/>
            <w:noProof/>
            <w:webHidden/>
          </w:rPr>
          <w:fldChar w:fldCharType="end"/>
        </w:r>
      </w:hyperlink>
    </w:p>
    <w:p w14:paraId="58B5AA52"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98" w:history="1">
        <w:r w:rsidR="00205C7B" w:rsidRPr="00205C7B">
          <w:rPr>
            <w:rStyle w:val="Hyperlink"/>
            <w:rFonts w:ascii="Arial" w:hAnsi="Arial" w:cs="Arial"/>
            <w:noProof/>
          </w:rPr>
          <w:t>Таблица 26. Подадени, отхвърлени, сключени и платени заявки по мярка 112</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_Toc504136198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86</w:t>
        </w:r>
        <w:r w:rsidR="00205C7B" w:rsidRPr="00205C7B">
          <w:rPr>
            <w:rFonts w:ascii="Arial" w:hAnsi="Arial" w:cs="Arial"/>
            <w:noProof/>
            <w:webHidden/>
          </w:rPr>
          <w:fldChar w:fldCharType="end"/>
        </w:r>
      </w:hyperlink>
    </w:p>
    <w:p w14:paraId="4C53FB95"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199" w:history="1">
        <w:r w:rsidR="00205C7B" w:rsidRPr="00205C7B">
          <w:rPr>
            <w:rStyle w:val="Hyperlink"/>
            <w:rFonts w:ascii="Arial" w:hAnsi="Arial" w:cs="Arial"/>
            <w:noProof/>
          </w:rPr>
          <w:t>Таблица 27 Количествени цели и изпълнение на индикаторите по мярка 112</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_Toc504136199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87</w:t>
        </w:r>
        <w:r w:rsidR="00205C7B" w:rsidRPr="00205C7B">
          <w:rPr>
            <w:rFonts w:ascii="Arial" w:hAnsi="Arial" w:cs="Arial"/>
            <w:noProof/>
            <w:webHidden/>
          </w:rPr>
          <w:fldChar w:fldCharType="end"/>
        </w:r>
      </w:hyperlink>
    </w:p>
    <w:p w14:paraId="4CE75D44" w14:textId="14D4D892"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00" w:history="1">
        <w:r w:rsidR="00205C7B" w:rsidRPr="00205C7B">
          <w:rPr>
            <w:rStyle w:val="Hyperlink"/>
            <w:rFonts w:ascii="Arial" w:hAnsi="Arial" w:cs="Arial"/>
            <w:noProof/>
          </w:rPr>
          <w:t>Таблица 28. Проекти с плащане по мярка 112 по вид селскостопанска дейност</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_Toc504136200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87</w:t>
        </w:r>
        <w:r w:rsidR="00205C7B" w:rsidRPr="00205C7B">
          <w:rPr>
            <w:rFonts w:ascii="Arial" w:hAnsi="Arial" w:cs="Arial"/>
            <w:noProof/>
            <w:webHidden/>
          </w:rPr>
          <w:fldChar w:fldCharType="end"/>
        </w:r>
      </w:hyperlink>
    </w:p>
    <w:p w14:paraId="62F1E73F" w14:textId="70C0DF49"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01" w:history="1">
        <w:r w:rsidR="00205C7B" w:rsidRPr="00205C7B">
          <w:rPr>
            <w:rStyle w:val="Hyperlink"/>
            <w:rFonts w:ascii="Arial" w:hAnsi="Arial" w:cs="Arial"/>
            <w:noProof/>
          </w:rPr>
          <w:t>Таблица 29 Изпълнение на индикаторите за въздействие по мярка 112</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_Toc504136201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89</w:t>
        </w:r>
        <w:r w:rsidR="00205C7B" w:rsidRPr="00205C7B">
          <w:rPr>
            <w:rFonts w:ascii="Arial" w:hAnsi="Arial" w:cs="Arial"/>
            <w:noProof/>
            <w:webHidden/>
          </w:rPr>
          <w:fldChar w:fldCharType="end"/>
        </w:r>
      </w:hyperlink>
    </w:p>
    <w:p w14:paraId="75414B27"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02" w:history="1">
        <w:r w:rsidR="00205C7B" w:rsidRPr="00205C7B">
          <w:rPr>
            <w:rStyle w:val="Hyperlink"/>
            <w:rFonts w:ascii="Arial" w:hAnsi="Arial" w:cs="Arial"/>
            <w:noProof/>
          </w:rPr>
          <w:t>Таблица 30.  Постигане целите на мярка 114 на база одобрени заявления</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_Toc504136202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91</w:t>
        </w:r>
        <w:r w:rsidR="00205C7B" w:rsidRPr="00205C7B">
          <w:rPr>
            <w:rFonts w:ascii="Arial" w:hAnsi="Arial" w:cs="Arial"/>
            <w:noProof/>
            <w:webHidden/>
          </w:rPr>
          <w:fldChar w:fldCharType="end"/>
        </w:r>
      </w:hyperlink>
    </w:p>
    <w:p w14:paraId="64ED0D41"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03" w:history="1">
        <w:r w:rsidR="00205C7B" w:rsidRPr="00205C7B">
          <w:rPr>
            <w:rStyle w:val="Hyperlink"/>
            <w:rFonts w:ascii="Arial" w:hAnsi="Arial" w:cs="Arial"/>
            <w:noProof/>
          </w:rPr>
          <w:t>Таблица 31.  Постигане целите на мярка 121 на база одобрени заявления</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_Toc504136203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93</w:t>
        </w:r>
        <w:r w:rsidR="00205C7B" w:rsidRPr="00205C7B">
          <w:rPr>
            <w:rFonts w:ascii="Arial" w:hAnsi="Arial" w:cs="Arial"/>
            <w:noProof/>
            <w:webHidden/>
          </w:rPr>
          <w:fldChar w:fldCharType="end"/>
        </w:r>
      </w:hyperlink>
    </w:p>
    <w:p w14:paraId="75225AA4" w14:textId="3242DB4C"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04" w:history="1">
        <w:r w:rsidR="00205C7B" w:rsidRPr="00205C7B">
          <w:rPr>
            <w:rStyle w:val="Hyperlink"/>
            <w:rFonts w:ascii="Arial" w:hAnsi="Arial" w:cs="Arial"/>
            <w:noProof/>
          </w:rPr>
          <w:t>Таблица 32. Разпределение на публичната помощ и на инвестициите по сектори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_Toc504136204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94</w:t>
        </w:r>
        <w:r w:rsidR="00205C7B" w:rsidRPr="00205C7B">
          <w:rPr>
            <w:rFonts w:ascii="Arial" w:hAnsi="Arial" w:cs="Arial"/>
            <w:noProof/>
            <w:webHidden/>
          </w:rPr>
          <w:fldChar w:fldCharType="end"/>
        </w:r>
      </w:hyperlink>
    </w:p>
    <w:p w14:paraId="41FC3239" w14:textId="49E3BC1D"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05" w:history="1">
        <w:r w:rsidR="00205C7B" w:rsidRPr="00205C7B">
          <w:rPr>
            <w:rStyle w:val="Hyperlink"/>
            <w:rFonts w:ascii="Arial" w:hAnsi="Arial" w:cs="Arial"/>
            <w:noProof/>
          </w:rPr>
          <w:t>Таблица 33 Изпълнение на индикаторите за въздействие по мярка 121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_Toc504136205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95</w:t>
        </w:r>
        <w:r w:rsidR="00205C7B" w:rsidRPr="00205C7B">
          <w:rPr>
            <w:rFonts w:ascii="Arial" w:hAnsi="Arial" w:cs="Arial"/>
            <w:noProof/>
            <w:webHidden/>
          </w:rPr>
          <w:fldChar w:fldCharType="end"/>
        </w:r>
      </w:hyperlink>
    </w:p>
    <w:p w14:paraId="031F9D3C" w14:textId="40B485A4"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06" w:history="1">
        <w:r w:rsidR="00205C7B" w:rsidRPr="00205C7B">
          <w:rPr>
            <w:rStyle w:val="Hyperlink"/>
            <w:rFonts w:ascii="Arial" w:hAnsi="Arial" w:cs="Arial"/>
            <w:noProof/>
          </w:rPr>
          <w:t>Таблица 34. Постигане на индикаторните цели по мярка 122</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_Toc504136206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96</w:t>
        </w:r>
        <w:r w:rsidR="00205C7B" w:rsidRPr="00205C7B">
          <w:rPr>
            <w:rFonts w:ascii="Arial" w:hAnsi="Arial" w:cs="Arial"/>
            <w:noProof/>
            <w:webHidden/>
          </w:rPr>
          <w:fldChar w:fldCharType="end"/>
        </w:r>
      </w:hyperlink>
    </w:p>
    <w:p w14:paraId="6EDFC92E" w14:textId="6877CE00"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07" w:history="1">
        <w:r w:rsidR="00205C7B" w:rsidRPr="00205C7B">
          <w:rPr>
            <w:rStyle w:val="Hyperlink"/>
            <w:rFonts w:ascii="Arial" w:hAnsi="Arial" w:cs="Arial"/>
            <w:noProof/>
          </w:rPr>
          <w:t>Таблица 35 Постигане на индикаторните цели по мярка 123</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_Toc504136207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98</w:t>
        </w:r>
        <w:r w:rsidR="00205C7B" w:rsidRPr="00205C7B">
          <w:rPr>
            <w:rFonts w:ascii="Arial" w:hAnsi="Arial" w:cs="Arial"/>
            <w:noProof/>
            <w:webHidden/>
          </w:rPr>
          <w:fldChar w:fldCharType="end"/>
        </w:r>
      </w:hyperlink>
    </w:p>
    <w:p w14:paraId="1A35E75F"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08" w:history="1">
        <w:r w:rsidR="00205C7B" w:rsidRPr="00205C7B">
          <w:rPr>
            <w:rStyle w:val="Hyperlink"/>
            <w:rFonts w:ascii="Arial" w:hAnsi="Arial" w:cs="Arial"/>
            <w:noProof/>
          </w:rPr>
          <w:t>Таблица 36 Изпълнение на индикаторите за въздействие по мярка 123</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_Toc504136208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101</w:t>
        </w:r>
        <w:r w:rsidR="00205C7B" w:rsidRPr="00205C7B">
          <w:rPr>
            <w:rFonts w:ascii="Arial" w:hAnsi="Arial" w:cs="Arial"/>
            <w:noProof/>
            <w:webHidden/>
          </w:rPr>
          <w:fldChar w:fldCharType="end"/>
        </w:r>
      </w:hyperlink>
    </w:p>
    <w:p w14:paraId="20F9E315"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09" w:history="1">
        <w:r w:rsidR="00205C7B" w:rsidRPr="00205C7B">
          <w:rPr>
            <w:rStyle w:val="Hyperlink"/>
            <w:rFonts w:ascii="Arial" w:hAnsi="Arial" w:cs="Arial"/>
            <w:noProof/>
          </w:rPr>
          <w:t>Таблица 37 Постигане на индикаторните цели по мярка 141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_Toc504136209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103</w:t>
        </w:r>
        <w:r w:rsidR="00205C7B" w:rsidRPr="00205C7B">
          <w:rPr>
            <w:rFonts w:ascii="Arial" w:hAnsi="Arial" w:cs="Arial"/>
            <w:noProof/>
            <w:webHidden/>
          </w:rPr>
          <w:fldChar w:fldCharType="end"/>
        </w:r>
      </w:hyperlink>
    </w:p>
    <w:p w14:paraId="2D895F9E" w14:textId="5726C5A4"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10" w:history="1">
        <w:r w:rsidR="00205C7B" w:rsidRPr="00205C7B">
          <w:rPr>
            <w:rStyle w:val="Hyperlink"/>
            <w:rFonts w:ascii="Arial" w:hAnsi="Arial" w:cs="Arial"/>
            <w:noProof/>
          </w:rPr>
          <w:t>Таблица 38 Одобрени и платени проекти според размера на използваната площ</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_Toc504136210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103</w:t>
        </w:r>
        <w:r w:rsidR="00205C7B" w:rsidRPr="00205C7B">
          <w:rPr>
            <w:rFonts w:ascii="Arial" w:hAnsi="Arial" w:cs="Arial"/>
            <w:noProof/>
            <w:webHidden/>
          </w:rPr>
          <w:fldChar w:fldCharType="end"/>
        </w:r>
      </w:hyperlink>
    </w:p>
    <w:p w14:paraId="0A25F2B7" w14:textId="05791726"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11" w:history="1">
        <w:r w:rsidR="00205C7B" w:rsidRPr="00205C7B">
          <w:rPr>
            <w:rStyle w:val="Hyperlink"/>
            <w:rFonts w:ascii="Arial" w:hAnsi="Arial" w:cs="Arial"/>
            <w:noProof/>
          </w:rPr>
          <w:t>Таблица 39 Изпълнение на индикаторите за въздействие по мярка 141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_Toc504136211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104</w:t>
        </w:r>
        <w:r w:rsidR="00205C7B" w:rsidRPr="00205C7B">
          <w:rPr>
            <w:rFonts w:ascii="Arial" w:hAnsi="Arial" w:cs="Arial"/>
            <w:noProof/>
            <w:webHidden/>
          </w:rPr>
          <w:fldChar w:fldCharType="end"/>
        </w:r>
      </w:hyperlink>
    </w:p>
    <w:p w14:paraId="6CDD0070" w14:textId="1179B5DE"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12" w:history="1">
        <w:r w:rsidR="00205C7B" w:rsidRPr="00205C7B">
          <w:rPr>
            <w:rStyle w:val="Hyperlink"/>
            <w:rFonts w:ascii="Arial" w:hAnsi="Arial" w:cs="Arial"/>
            <w:noProof/>
          </w:rPr>
          <w:t>Таблица 40 Изпълнение на измерителните индикатори по мярка 142</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_Toc504136212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106</w:t>
        </w:r>
        <w:r w:rsidR="00205C7B" w:rsidRPr="00205C7B">
          <w:rPr>
            <w:rFonts w:ascii="Arial" w:hAnsi="Arial" w:cs="Arial"/>
            <w:noProof/>
            <w:webHidden/>
          </w:rPr>
          <w:fldChar w:fldCharType="end"/>
        </w:r>
      </w:hyperlink>
    </w:p>
    <w:p w14:paraId="7566BE19"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13" w:history="1">
        <w:r w:rsidR="00205C7B" w:rsidRPr="00205C7B">
          <w:rPr>
            <w:rStyle w:val="Hyperlink"/>
            <w:rFonts w:ascii="Arial" w:hAnsi="Arial" w:cs="Arial"/>
            <w:noProof/>
          </w:rPr>
          <w:t>Таблица 41 Разпределение на проектите и разплатените средства по сектори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_Toc504136213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107</w:t>
        </w:r>
        <w:r w:rsidR="00205C7B" w:rsidRPr="00205C7B">
          <w:rPr>
            <w:rFonts w:ascii="Arial" w:hAnsi="Arial" w:cs="Arial"/>
            <w:noProof/>
            <w:webHidden/>
          </w:rPr>
          <w:fldChar w:fldCharType="end"/>
        </w:r>
      </w:hyperlink>
    </w:p>
    <w:p w14:paraId="0197B734"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14" w:history="1">
        <w:r w:rsidR="00205C7B" w:rsidRPr="00205C7B">
          <w:rPr>
            <w:rStyle w:val="Hyperlink"/>
            <w:rFonts w:ascii="Arial" w:hAnsi="Arial" w:cs="Arial"/>
            <w:noProof/>
          </w:rPr>
          <w:t>Таблица 42 Изпълнение на индикаторите за въздействие по мярка 142</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_Toc504136214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108</w:t>
        </w:r>
        <w:r w:rsidR="00205C7B" w:rsidRPr="00205C7B">
          <w:rPr>
            <w:rFonts w:ascii="Arial" w:hAnsi="Arial" w:cs="Arial"/>
            <w:noProof/>
            <w:webHidden/>
          </w:rPr>
          <w:fldChar w:fldCharType="end"/>
        </w:r>
      </w:hyperlink>
    </w:p>
    <w:p w14:paraId="345BEB95" w14:textId="0542CDCF"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15" w:history="1">
        <w:r w:rsidR="00205C7B" w:rsidRPr="00205C7B">
          <w:rPr>
            <w:rStyle w:val="Hyperlink"/>
            <w:rFonts w:ascii="Arial" w:hAnsi="Arial" w:cs="Arial"/>
            <w:noProof/>
          </w:rPr>
          <w:t>Таблица 43  Изпълнение на индикаторните цели по мярка 143</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_Toc504136215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109</w:t>
        </w:r>
        <w:r w:rsidR="00205C7B" w:rsidRPr="00205C7B">
          <w:rPr>
            <w:rFonts w:ascii="Arial" w:hAnsi="Arial" w:cs="Arial"/>
            <w:noProof/>
            <w:webHidden/>
          </w:rPr>
          <w:fldChar w:fldCharType="end"/>
        </w:r>
      </w:hyperlink>
    </w:p>
    <w:p w14:paraId="4569749E" w14:textId="7777777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16" w:history="1">
        <w:r w:rsidR="00205C7B" w:rsidRPr="00205C7B">
          <w:rPr>
            <w:rStyle w:val="Hyperlink"/>
            <w:rFonts w:ascii="Arial" w:hAnsi="Arial" w:cs="Arial"/>
            <w:noProof/>
          </w:rPr>
          <w:t>Таблица 44  Предоставени допълнителни консултации на фермери по Мярка 141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_Toc504136216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110</w:t>
        </w:r>
        <w:r w:rsidR="00205C7B" w:rsidRPr="00205C7B">
          <w:rPr>
            <w:rFonts w:ascii="Arial" w:hAnsi="Arial" w:cs="Arial"/>
            <w:noProof/>
            <w:webHidden/>
          </w:rPr>
          <w:fldChar w:fldCharType="end"/>
        </w:r>
      </w:hyperlink>
    </w:p>
    <w:p w14:paraId="79ABAD4B" w14:textId="6EDE2E9A"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17" w:history="1">
        <w:r w:rsidR="00205C7B" w:rsidRPr="00205C7B">
          <w:rPr>
            <w:rStyle w:val="Hyperlink"/>
            <w:rFonts w:ascii="Arial" w:hAnsi="Arial" w:cs="Arial"/>
            <w:noProof/>
          </w:rPr>
          <w:t>Таблица 45. Постигане на целите по специфични за мярката индикатори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_Toc504136217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113</w:t>
        </w:r>
        <w:r w:rsidR="00205C7B" w:rsidRPr="00205C7B">
          <w:rPr>
            <w:rFonts w:ascii="Arial" w:hAnsi="Arial" w:cs="Arial"/>
            <w:noProof/>
            <w:webHidden/>
          </w:rPr>
          <w:fldChar w:fldCharType="end"/>
        </w:r>
      </w:hyperlink>
    </w:p>
    <w:p w14:paraId="4A242150" w14:textId="5CAEB0D2"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18" w:history="1">
        <w:r w:rsidR="00205C7B" w:rsidRPr="00205C7B">
          <w:rPr>
            <w:rStyle w:val="Hyperlink"/>
            <w:rFonts w:ascii="Arial" w:hAnsi="Arial" w:cs="Arial"/>
            <w:noProof/>
          </w:rPr>
          <w:t>Таблица 46 Изпълнение на специфичните индикаторни цели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_Toc504136218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114</w:t>
        </w:r>
        <w:r w:rsidR="00205C7B" w:rsidRPr="00205C7B">
          <w:rPr>
            <w:rFonts w:ascii="Arial" w:hAnsi="Arial" w:cs="Arial"/>
            <w:noProof/>
            <w:webHidden/>
          </w:rPr>
          <w:fldChar w:fldCharType="end"/>
        </w:r>
      </w:hyperlink>
    </w:p>
    <w:p w14:paraId="671ED8B2" w14:textId="34C25144"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19" w:history="1">
        <w:r w:rsidR="00205C7B" w:rsidRPr="00205C7B">
          <w:rPr>
            <w:rStyle w:val="Hyperlink"/>
            <w:rFonts w:ascii="Arial" w:hAnsi="Arial" w:cs="Arial"/>
            <w:noProof/>
          </w:rPr>
          <w:t>Таблица 47 Изпълнение на специфичните индикаторни цели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_Toc504136219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115</w:t>
        </w:r>
        <w:r w:rsidR="00205C7B" w:rsidRPr="00205C7B">
          <w:rPr>
            <w:rFonts w:ascii="Arial" w:hAnsi="Arial" w:cs="Arial"/>
            <w:noProof/>
            <w:webHidden/>
          </w:rPr>
          <w:fldChar w:fldCharType="end"/>
        </w:r>
      </w:hyperlink>
    </w:p>
    <w:p w14:paraId="256C0E51" w14:textId="1DB4638A"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20" w:history="1">
        <w:r w:rsidR="00205C7B" w:rsidRPr="00205C7B">
          <w:rPr>
            <w:rStyle w:val="Hyperlink"/>
            <w:rFonts w:ascii="Arial" w:hAnsi="Arial" w:cs="Arial"/>
            <w:noProof/>
          </w:rPr>
          <w:t>Таблица 48 Изпълнение на индикаторите за въздействие по мярка 143</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_Toc504136220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116</w:t>
        </w:r>
        <w:r w:rsidR="00205C7B" w:rsidRPr="00205C7B">
          <w:rPr>
            <w:rFonts w:ascii="Arial" w:hAnsi="Arial" w:cs="Arial"/>
            <w:noProof/>
            <w:webHidden/>
          </w:rPr>
          <w:fldChar w:fldCharType="end"/>
        </w:r>
      </w:hyperlink>
    </w:p>
    <w:p w14:paraId="3D6DF13F" w14:textId="2C5B63B3"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21" w:history="1">
        <w:r w:rsidR="00205C7B" w:rsidRPr="00205C7B">
          <w:rPr>
            <w:rStyle w:val="Hyperlink"/>
            <w:rFonts w:ascii="Arial" w:hAnsi="Arial" w:cs="Arial"/>
            <w:noProof/>
          </w:rPr>
          <w:t xml:space="preserve">Таблица 49 </w:t>
        </w:r>
        <w:r w:rsidR="00205C7B" w:rsidRPr="00205C7B">
          <w:rPr>
            <w:rStyle w:val="Hyperlink"/>
            <w:rFonts w:ascii="Arial" w:hAnsi="Arial" w:cs="Arial"/>
            <w:iCs/>
            <w:noProof/>
          </w:rPr>
          <w:t>Постигане на целите по мярка 211 въз основа на платените заявления към 31.12.2015 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_Toc504136221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120</w:t>
        </w:r>
        <w:r w:rsidR="00205C7B" w:rsidRPr="00205C7B">
          <w:rPr>
            <w:rFonts w:ascii="Arial" w:hAnsi="Arial" w:cs="Arial"/>
            <w:noProof/>
            <w:webHidden/>
          </w:rPr>
          <w:fldChar w:fldCharType="end"/>
        </w:r>
      </w:hyperlink>
    </w:p>
    <w:p w14:paraId="3DCCE417" w14:textId="490C9734"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22" w:history="1">
        <w:r w:rsidR="00205C7B" w:rsidRPr="00205C7B">
          <w:rPr>
            <w:rStyle w:val="Hyperlink"/>
            <w:rFonts w:ascii="Arial" w:hAnsi="Arial" w:cs="Arial"/>
            <w:noProof/>
          </w:rPr>
          <w:t xml:space="preserve">Таблица 50 </w:t>
        </w:r>
        <w:r w:rsidR="00205C7B" w:rsidRPr="00205C7B">
          <w:rPr>
            <w:rStyle w:val="Hyperlink"/>
            <w:rFonts w:ascii="Arial" w:hAnsi="Arial" w:cs="Arial"/>
            <w:iCs/>
            <w:noProof/>
          </w:rPr>
          <w:t>Виждания на бенефициентите по мярка 211 за принос на мярката към нейните цели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_Toc504136222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120</w:t>
        </w:r>
        <w:r w:rsidR="00205C7B" w:rsidRPr="00205C7B">
          <w:rPr>
            <w:rFonts w:ascii="Arial" w:hAnsi="Arial" w:cs="Arial"/>
            <w:noProof/>
            <w:webHidden/>
          </w:rPr>
          <w:fldChar w:fldCharType="end"/>
        </w:r>
      </w:hyperlink>
    </w:p>
    <w:p w14:paraId="785716E6" w14:textId="0311832E"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23" w:history="1">
        <w:r w:rsidR="00205C7B" w:rsidRPr="00205C7B">
          <w:rPr>
            <w:rStyle w:val="Hyperlink"/>
            <w:rFonts w:ascii="Arial" w:hAnsi="Arial" w:cs="Arial"/>
            <w:noProof/>
          </w:rPr>
          <w:t>Таблица 51. Постигане на целите по мярка 212 въз основа на платените заявления към 31.12.2015г.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_Toc504136223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122</w:t>
        </w:r>
        <w:r w:rsidR="00205C7B" w:rsidRPr="00205C7B">
          <w:rPr>
            <w:rFonts w:ascii="Arial" w:hAnsi="Arial" w:cs="Arial"/>
            <w:noProof/>
            <w:webHidden/>
          </w:rPr>
          <w:fldChar w:fldCharType="end"/>
        </w:r>
      </w:hyperlink>
    </w:p>
    <w:p w14:paraId="40167FDF" w14:textId="51E234A8"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24" w:history="1">
        <w:r w:rsidR="00205C7B" w:rsidRPr="00205C7B">
          <w:rPr>
            <w:rStyle w:val="Hyperlink"/>
            <w:rFonts w:ascii="Arial" w:hAnsi="Arial" w:cs="Arial"/>
            <w:noProof/>
          </w:rPr>
          <w:t xml:space="preserve">Таблица 52 </w:t>
        </w:r>
        <w:r w:rsidR="00205C7B" w:rsidRPr="00205C7B">
          <w:rPr>
            <w:rStyle w:val="Hyperlink"/>
            <w:rFonts w:ascii="Arial" w:hAnsi="Arial" w:cs="Arial"/>
            <w:iCs/>
            <w:noProof/>
          </w:rPr>
          <w:t>Виждания на бенефициентите по мярка 212 за принос на мярката към нейните цели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_Toc504136224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123</w:t>
        </w:r>
        <w:r w:rsidR="00205C7B" w:rsidRPr="00205C7B">
          <w:rPr>
            <w:rFonts w:ascii="Arial" w:hAnsi="Arial" w:cs="Arial"/>
            <w:noProof/>
            <w:webHidden/>
          </w:rPr>
          <w:fldChar w:fldCharType="end"/>
        </w:r>
      </w:hyperlink>
    </w:p>
    <w:p w14:paraId="3A3473D7" w14:textId="6E0AECAB"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25" w:history="1">
        <w:r w:rsidR="00205C7B" w:rsidRPr="00205C7B">
          <w:rPr>
            <w:rStyle w:val="Hyperlink"/>
            <w:rFonts w:ascii="Arial" w:hAnsi="Arial" w:cs="Arial"/>
            <w:noProof/>
          </w:rPr>
          <w:t>Таблица 53. Постигане на целите по мярка 213 въз основа на оторизирани заявления до 31.12.2015 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_Toc504136225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123</w:t>
        </w:r>
        <w:r w:rsidR="00205C7B" w:rsidRPr="00205C7B">
          <w:rPr>
            <w:rFonts w:ascii="Arial" w:hAnsi="Arial" w:cs="Arial"/>
            <w:noProof/>
            <w:webHidden/>
          </w:rPr>
          <w:fldChar w:fldCharType="end"/>
        </w:r>
      </w:hyperlink>
    </w:p>
    <w:p w14:paraId="094CD32E" w14:textId="34265295"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26" w:history="1">
        <w:r w:rsidR="00205C7B" w:rsidRPr="00205C7B">
          <w:rPr>
            <w:rStyle w:val="Hyperlink"/>
            <w:rFonts w:ascii="Arial" w:hAnsi="Arial" w:cs="Arial"/>
            <w:noProof/>
          </w:rPr>
          <w:t xml:space="preserve">Таблица 54 </w:t>
        </w:r>
        <w:r w:rsidR="00205C7B" w:rsidRPr="00205C7B">
          <w:rPr>
            <w:rStyle w:val="Hyperlink"/>
            <w:rFonts w:ascii="Arial" w:hAnsi="Arial" w:cs="Arial"/>
            <w:iCs/>
            <w:noProof/>
          </w:rPr>
          <w:t>Виждания на бенефициентите по мярка 213 за принос на мярката към нейните цели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_Toc504136226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124</w:t>
        </w:r>
        <w:r w:rsidR="00205C7B" w:rsidRPr="00205C7B">
          <w:rPr>
            <w:rFonts w:ascii="Arial" w:hAnsi="Arial" w:cs="Arial"/>
            <w:noProof/>
            <w:webHidden/>
          </w:rPr>
          <w:fldChar w:fldCharType="end"/>
        </w:r>
      </w:hyperlink>
    </w:p>
    <w:p w14:paraId="634E378B" w14:textId="3D3AFEB6"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27" w:history="1">
        <w:r w:rsidR="00205C7B" w:rsidRPr="00205C7B">
          <w:rPr>
            <w:rStyle w:val="Hyperlink"/>
            <w:rFonts w:ascii="Arial" w:hAnsi="Arial" w:cs="Arial"/>
            <w:noProof/>
          </w:rPr>
          <w:t>Таблица 55. Постигане на целите по мярка 214 въз основа на одобрени заявления (без повторение) до 31.12.2015г.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_Toc504136227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126</w:t>
        </w:r>
        <w:r w:rsidR="00205C7B" w:rsidRPr="00205C7B">
          <w:rPr>
            <w:rFonts w:ascii="Arial" w:hAnsi="Arial" w:cs="Arial"/>
            <w:noProof/>
            <w:webHidden/>
          </w:rPr>
          <w:fldChar w:fldCharType="end"/>
        </w:r>
      </w:hyperlink>
    </w:p>
    <w:p w14:paraId="4AB5B34D" w14:textId="1B4A6B21"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28" w:history="1">
        <w:r w:rsidR="00205C7B" w:rsidRPr="00205C7B">
          <w:rPr>
            <w:rStyle w:val="Hyperlink"/>
            <w:rFonts w:ascii="Arial" w:hAnsi="Arial" w:cs="Arial"/>
            <w:noProof/>
          </w:rPr>
          <w:t xml:space="preserve">Таблица 56 </w:t>
        </w:r>
        <w:r w:rsidR="00205C7B" w:rsidRPr="00205C7B">
          <w:rPr>
            <w:rStyle w:val="Hyperlink"/>
            <w:rFonts w:ascii="Arial" w:hAnsi="Arial" w:cs="Arial"/>
            <w:iCs/>
            <w:noProof/>
          </w:rPr>
          <w:t>Виждания на бенефициентите по мярка 214 за принос на мярката към нейните цели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_Toc504136228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128</w:t>
        </w:r>
        <w:r w:rsidR="00205C7B" w:rsidRPr="00205C7B">
          <w:rPr>
            <w:rFonts w:ascii="Arial" w:hAnsi="Arial" w:cs="Arial"/>
            <w:noProof/>
            <w:webHidden/>
          </w:rPr>
          <w:fldChar w:fldCharType="end"/>
        </w:r>
      </w:hyperlink>
    </w:p>
    <w:p w14:paraId="37AC68B7" w14:textId="10FC90C1"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29" w:history="1">
        <w:r w:rsidR="00205C7B" w:rsidRPr="00205C7B">
          <w:rPr>
            <w:rStyle w:val="Hyperlink"/>
            <w:rFonts w:ascii="Arial" w:hAnsi="Arial" w:cs="Arial"/>
            <w:noProof/>
          </w:rPr>
          <w:t>Таблица 57. Постигане целите на мярка 223 за изходни индикатори на база одобрени заявления и платени заявки към 31.12.2015г.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_Toc504136229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130</w:t>
        </w:r>
        <w:r w:rsidR="00205C7B" w:rsidRPr="00205C7B">
          <w:rPr>
            <w:rFonts w:ascii="Arial" w:hAnsi="Arial" w:cs="Arial"/>
            <w:noProof/>
            <w:webHidden/>
          </w:rPr>
          <w:fldChar w:fldCharType="end"/>
        </w:r>
      </w:hyperlink>
    </w:p>
    <w:p w14:paraId="6C3A02DA" w14:textId="444A05B1"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30" w:history="1">
        <w:r w:rsidR="00205C7B" w:rsidRPr="00205C7B">
          <w:rPr>
            <w:rStyle w:val="Hyperlink"/>
            <w:rFonts w:ascii="Arial" w:hAnsi="Arial" w:cs="Arial"/>
            <w:noProof/>
          </w:rPr>
          <w:t>Таблица 58. Показатели за резултат на мярка 223 и изпълнението им</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_Toc504136230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130</w:t>
        </w:r>
        <w:r w:rsidR="00205C7B" w:rsidRPr="00205C7B">
          <w:rPr>
            <w:rFonts w:ascii="Arial" w:hAnsi="Arial" w:cs="Arial"/>
            <w:noProof/>
            <w:webHidden/>
          </w:rPr>
          <w:fldChar w:fldCharType="end"/>
        </w:r>
      </w:hyperlink>
    </w:p>
    <w:p w14:paraId="088C6540" w14:textId="66C93F60"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31" w:history="1">
        <w:r w:rsidR="00205C7B" w:rsidRPr="00205C7B">
          <w:rPr>
            <w:rStyle w:val="Hyperlink"/>
            <w:rFonts w:ascii="Arial" w:hAnsi="Arial" w:cs="Arial"/>
            <w:noProof/>
          </w:rPr>
          <w:t xml:space="preserve">Таблица 59 </w:t>
        </w:r>
        <w:r w:rsidR="00205C7B" w:rsidRPr="00205C7B">
          <w:rPr>
            <w:rStyle w:val="Hyperlink"/>
            <w:rFonts w:ascii="Arial" w:hAnsi="Arial" w:cs="Arial"/>
            <w:iCs/>
            <w:noProof/>
          </w:rPr>
          <w:t>Виждания на бенефициентите по мярка 223 за принос на мярката към нейните цели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_Toc504136231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131</w:t>
        </w:r>
        <w:r w:rsidR="00205C7B" w:rsidRPr="00205C7B">
          <w:rPr>
            <w:rFonts w:ascii="Arial" w:hAnsi="Arial" w:cs="Arial"/>
            <w:noProof/>
            <w:webHidden/>
          </w:rPr>
          <w:fldChar w:fldCharType="end"/>
        </w:r>
      </w:hyperlink>
    </w:p>
    <w:p w14:paraId="0D150C10" w14:textId="51912B2D"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32" w:history="1">
        <w:r w:rsidR="00205C7B" w:rsidRPr="00205C7B">
          <w:rPr>
            <w:rStyle w:val="Hyperlink"/>
            <w:rFonts w:ascii="Arial" w:hAnsi="Arial" w:cs="Arial"/>
            <w:noProof/>
          </w:rPr>
          <w:t>Таблица 60. Постигане целите за възстановителни дейности по мярка 226 на база одобрени заявления и проекти с плащане към 31.12. 2015 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_Toc504136232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132</w:t>
        </w:r>
        <w:r w:rsidR="00205C7B" w:rsidRPr="00205C7B">
          <w:rPr>
            <w:rFonts w:ascii="Arial" w:hAnsi="Arial" w:cs="Arial"/>
            <w:noProof/>
            <w:webHidden/>
          </w:rPr>
          <w:fldChar w:fldCharType="end"/>
        </w:r>
      </w:hyperlink>
    </w:p>
    <w:p w14:paraId="7B7C840C" w14:textId="49324D5D"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33" w:history="1">
        <w:r w:rsidR="00205C7B" w:rsidRPr="00205C7B">
          <w:rPr>
            <w:rStyle w:val="Hyperlink"/>
            <w:rFonts w:ascii="Arial" w:hAnsi="Arial" w:cs="Arial"/>
            <w:noProof/>
          </w:rPr>
          <w:t>Таблица 61. Постигане на индикаторите за резултат по мярка 226</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_Toc504136233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132</w:t>
        </w:r>
        <w:r w:rsidR="00205C7B" w:rsidRPr="00205C7B">
          <w:rPr>
            <w:rFonts w:ascii="Arial" w:hAnsi="Arial" w:cs="Arial"/>
            <w:noProof/>
            <w:webHidden/>
          </w:rPr>
          <w:fldChar w:fldCharType="end"/>
        </w:r>
      </w:hyperlink>
    </w:p>
    <w:p w14:paraId="72E2B013" w14:textId="29CED7D5"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34" w:history="1">
        <w:r w:rsidR="00205C7B" w:rsidRPr="00205C7B">
          <w:rPr>
            <w:rStyle w:val="Hyperlink"/>
            <w:rFonts w:ascii="Arial" w:hAnsi="Arial" w:cs="Arial"/>
            <w:noProof/>
          </w:rPr>
          <w:t xml:space="preserve">Таблица 62 </w:t>
        </w:r>
        <w:r w:rsidR="00205C7B" w:rsidRPr="00205C7B">
          <w:rPr>
            <w:rStyle w:val="Hyperlink"/>
            <w:rFonts w:ascii="Arial" w:hAnsi="Arial" w:cs="Arial"/>
            <w:iCs/>
            <w:noProof/>
          </w:rPr>
          <w:t>Виждания на бенефициентите по мярка 226 за принос на мярката към нейните цели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_Toc504136234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132</w:t>
        </w:r>
        <w:r w:rsidR="00205C7B" w:rsidRPr="00205C7B">
          <w:rPr>
            <w:rFonts w:ascii="Arial" w:hAnsi="Arial" w:cs="Arial"/>
            <w:noProof/>
            <w:webHidden/>
          </w:rPr>
          <w:fldChar w:fldCharType="end"/>
        </w:r>
      </w:hyperlink>
    </w:p>
    <w:p w14:paraId="7D89C282" w14:textId="7F3AC132"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35" w:history="1">
        <w:r w:rsidR="00205C7B" w:rsidRPr="00205C7B">
          <w:rPr>
            <w:rStyle w:val="Hyperlink"/>
            <w:rFonts w:ascii="Arial" w:hAnsi="Arial" w:cs="Arial"/>
            <w:noProof/>
          </w:rPr>
          <w:t>Таблица 63. Изпълнение на целите на мярка 311 база платени проекти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_Toc504136235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137</w:t>
        </w:r>
        <w:r w:rsidR="00205C7B" w:rsidRPr="00205C7B">
          <w:rPr>
            <w:rFonts w:ascii="Arial" w:hAnsi="Arial" w:cs="Arial"/>
            <w:noProof/>
            <w:webHidden/>
          </w:rPr>
          <w:fldChar w:fldCharType="end"/>
        </w:r>
      </w:hyperlink>
    </w:p>
    <w:p w14:paraId="28F7EDF0" w14:textId="0C128B8F"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36" w:history="1">
        <w:r w:rsidR="00205C7B" w:rsidRPr="00205C7B">
          <w:rPr>
            <w:rStyle w:val="Hyperlink"/>
            <w:rFonts w:ascii="Arial" w:hAnsi="Arial" w:cs="Arial"/>
            <w:noProof/>
          </w:rPr>
          <w:t>Таблица 64.</w:t>
        </w:r>
        <w:r w:rsidR="00205C7B" w:rsidRPr="00205C7B">
          <w:rPr>
            <w:rStyle w:val="Hyperlink"/>
            <w:rFonts w:ascii="Arial" w:hAnsi="Arial" w:cs="Arial"/>
            <w:i/>
            <w:noProof/>
          </w:rPr>
          <w:t xml:space="preserve"> </w:t>
        </w:r>
        <w:r w:rsidR="00205C7B" w:rsidRPr="00205C7B">
          <w:rPr>
            <w:rStyle w:val="Hyperlink"/>
            <w:rFonts w:ascii="Arial" w:hAnsi="Arial" w:cs="Arial"/>
            <w:noProof/>
          </w:rPr>
          <w:t>Насоченост на проектите с плащане по мярка 311 към 31.12.2015 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_Toc504136236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138</w:t>
        </w:r>
        <w:r w:rsidR="00205C7B" w:rsidRPr="00205C7B">
          <w:rPr>
            <w:rFonts w:ascii="Arial" w:hAnsi="Arial" w:cs="Arial"/>
            <w:noProof/>
            <w:webHidden/>
          </w:rPr>
          <w:fldChar w:fldCharType="end"/>
        </w:r>
      </w:hyperlink>
    </w:p>
    <w:p w14:paraId="4A6FDBA4" w14:textId="3E80B21C"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37" w:history="1">
        <w:r w:rsidR="00205C7B" w:rsidRPr="00205C7B">
          <w:rPr>
            <w:rStyle w:val="Hyperlink"/>
            <w:rFonts w:ascii="Arial" w:hAnsi="Arial" w:cs="Arial"/>
            <w:noProof/>
          </w:rPr>
          <w:t>Таблица 65. Изпълнение на допълнителни специфични индикатори и цели на база проекти с плащане по мярка 311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_Toc504136237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138</w:t>
        </w:r>
        <w:r w:rsidR="00205C7B" w:rsidRPr="00205C7B">
          <w:rPr>
            <w:rFonts w:ascii="Arial" w:hAnsi="Arial" w:cs="Arial"/>
            <w:noProof/>
            <w:webHidden/>
          </w:rPr>
          <w:fldChar w:fldCharType="end"/>
        </w:r>
      </w:hyperlink>
    </w:p>
    <w:p w14:paraId="4049F90C" w14:textId="6A3DA8BF"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38" w:history="1">
        <w:r w:rsidR="00205C7B" w:rsidRPr="00205C7B">
          <w:rPr>
            <w:rStyle w:val="Hyperlink"/>
            <w:rFonts w:ascii="Arial" w:hAnsi="Arial" w:cs="Arial"/>
            <w:noProof/>
          </w:rPr>
          <w:t>Таблица 66. Изпълнение на индикатори за резултат по мярка 311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_Toc504136238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141</w:t>
        </w:r>
        <w:r w:rsidR="00205C7B" w:rsidRPr="00205C7B">
          <w:rPr>
            <w:rFonts w:ascii="Arial" w:hAnsi="Arial" w:cs="Arial"/>
            <w:noProof/>
            <w:webHidden/>
          </w:rPr>
          <w:fldChar w:fldCharType="end"/>
        </w:r>
      </w:hyperlink>
    </w:p>
    <w:p w14:paraId="70E40C5C" w14:textId="5A7F99A7"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39" w:history="1">
        <w:r w:rsidR="00205C7B" w:rsidRPr="00205C7B">
          <w:rPr>
            <w:rStyle w:val="Hyperlink"/>
            <w:rFonts w:ascii="Arial" w:eastAsia="Calibri" w:hAnsi="Arial" w:cs="Arial"/>
            <w:iCs/>
            <w:noProof/>
          </w:rPr>
          <w:t>Таблица 67. Изпълнение на целите на мярка 312 база платени проекти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_Toc504136239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142</w:t>
        </w:r>
        <w:r w:rsidR="00205C7B" w:rsidRPr="00205C7B">
          <w:rPr>
            <w:rFonts w:ascii="Arial" w:hAnsi="Arial" w:cs="Arial"/>
            <w:noProof/>
            <w:webHidden/>
          </w:rPr>
          <w:fldChar w:fldCharType="end"/>
        </w:r>
      </w:hyperlink>
    </w:p>
    <w:p w14:paraId="77BB1ECD" w14:textId="6C367594"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40" w:history="1">
        <w:r w:rsidR="00205C7B" w:rsidRPr="00205C7B">
          <w:rPr>
            <w:rStyle w:val="Hyperlink"/>
            <w:rFonts w:ascii="Arial" w:eastAsia="Calibri" w:hAnsi="Arial" w:cs="Arial"/>
            <w:iCs/>
            <w:noProof/>
          </w:rPr>
          <w:t>Таблица 68. Насоченост на проектите с окончателно плащане по мярка 312</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_Toc504136240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143</w:t>
        </w:r>
        <w:r w:rsidR="00205C7B" w:rsidRPr="00205C7B">
          <w:rPr>
            <w:rFonts w:ascii="Arial" w:hAnsi="Arial" w:cs="Arial"/>
            <w:noProof/>
            <w:webHidden/>
          </w:rPr>
          <w:fldChar w:fldCharType="end"/>
        </w:r>
      </w:hyperlink>
    </w:p>
    <w:p w14:paraId="6099A890" w14:textId="0049ADC6"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41" w:history="1">
        <w:r w:rsidR="00205C7B" w:rsidRPr="00205C7B">
          <w:rPr>
            <w:rStyle w:val="Hyperlink"/>
            <w:rFonts w:ascii="Arial" w:eastAsia="Calibri" w:hAnsi="Arial" w:cs="Arial"/>
            <w:noProof/>
          </w:rPr>
          <w:t>Таблица 69. Изпълнение на допълнителни специфични индикатори на база проекти с окончателно плащане  на към  31.12.2015 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_Toc504136241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144</w:t>
        </w:r>
        <w:r w:rsidR="00205C7B" w:rsidRPr="00205C7B">
          <w:rPr>
            <w:rFonts w:ascii="Arial" w:hAnsi="Arial" w:cs="Arial"/>
            <w:noProof/>
            <w:webHidden/>
          </w:rPr>
          <w:fldChar w:fldCharType="end"/>
        </w:r>
      </w:hyperlink>
    </w:p>
    <w:p w14:paraId="01E49387" w14:textId="259C33E9"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42" w:history="1">
        <w:r w:rsidR="00205C7B" w:rsidRPr="00205C7B">
          <w:rPr>
            <w:rStyle w:val="Hyperlink"/>
            <w:rFonts w:ascii="Arial" w:eastAsia="Calibri" w:hAnsi="Arial" w:cs="Arial"/>
            <w:iCs/>
            <w:noProof/>
          </w:rPr>
          <w:t>Таблица 70. Изпълнение на целите на мярка 313 база платени проекти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_Toc504136242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147</w:t>
        </w:r>
        <w:r w:rsidR="00205C7B" w:rsidRPr="00205C7B">
          <w:rPr>
            <w:rFonts w:ascii="Arial" w:hAnsi="Arial" w:cs="Arial"/>
            <w:noProof/>
            <w:webHidden/>
          </w:rPr>
          <w:fldChar w:fldCharType="end"/>
        </w:r>
      </w:hyperlink>
    </w:p>
    <w:p w14:paraId="38FC5525" w14:textId="74804736"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43" w:history="1">
        <w:r w:rsidR="00205C7B" w:rsidRPr="00205C7B">
          <w:rPr>
            <w:rStyle w:val="Hyperlink"/>
            <w:rFonts w:ascii="Arial" w:eastAsia="Calibri" w:hAnsi="Arial" w:cs="Arial"/>
            <w:iCs/>
            <w:noProof/>
          </w:rPr>
          <w:t>Таблица 71. Разпределение на туристическите дейности по вид</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_Toc504136243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147</w:t>
        </w:r>
        <w:r w:rsidR="00205C7B" w:rsidRPr="00205C7B">
          <w:rPr>
            <w:rFonts w:ascii="Arial" w:hAnsi="Arial" w:cs="Arial"/>
            <w:noProof/>
            <w:webHidden/>
          </w:rPr>
          <w:fldChar w:fldCharType="end"/>
        </w:r>
      </w:hyperlink>
    </w:p>
    <w:p w14:paraId="435B41A3" w14:textId="7838DB79"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44" w:history="1">
        <w:r w:rsidR="00205C7B" w:rsidRPr="00205C7B">
          <w:rPr>
            <w:rStyle w:val="Hyperlink"/>
            <w:rFonts w:ascii="Arial" w:hAnsi="Arial" w:cs="Arial"/>
            <w:noProof/>
          </w:rPr>
          <w:t>Таблица 72 Взаимодействия между отделните мерки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_Toc504136244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150</w:t>
        </w:r>
        <w:r w:rsidR="00205C7B" w:rsidRPr="00205C7B">
          <w:rPr>
            <w:rFonts w:ascii="Arial" w:hAnsi="Arial" w:cs="Arial"/>
            <w:noProof/>
            <w:webHidden/>
          </w:rPr>
          <w:fldChar w:fldCharType="end"/>
        </w:r>
      </w:hyperlink>
    </w:p>
    <w:p w14:paraId="1EF1E8DA" w14:textId="3848B0B6"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45" w:history="1">
        <w:r w:rsidR="00205C7B" w:rsidRPr="00205C7B">
          <w:rPr>
            <w:rStyle w:val="Hyperlink"/>
            <w:rFonts w:ascii="Arial" w:eastAsia="Calibri" w:hAnsi="Arial" w:cs="Arial"/>
            <w:iCs/>
            <w:noProof/>
          </w:rPr>
          <w:t>Таблица 73. Изпълнение на целите на мярка 321 база платени проекти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_Toc504136245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152</w:t>
        </w:r>
        <w:r w:rsidR="00205C7B" w:rsidRPr="00205C7B">
          <w:rPr>
            <w:rFonts w:ascii="Arial" w:hAnsi="Arial" w:cs="Arial"/>
            <w:noProof/>
            <w:webHidden/>
          </w:rPr>
          <w:fldChar w:fldCharType="end"/>
        </w:r>
      </w:hyperlink>
    </w:p>
    <w:p w14:paraId="417EB67B" w14:textId="57B0046B"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46" w:history="1">
        <w:r w:rsidR="00205C7B" w:rsidRPr="00205C7B">
          <w:rPr>
            <w:rStyle w:val="Hyperlink"/>
            <w:rFonts w:ascii="Arial" w:eastAsia="Calibri" w:hAnsi="Arial" w:cs="Arial"/>
            <w:iCs/>
            <w:noProof/>
          </w:rPr>
          <w:t xml:space="preserve">Таблица 74. </w:t>
        </w:r>
        <w:r w:rsidR="00205C7B" w:rsidRPr="00205C7B">
          <w:rPr>
            <w:rStyle w:val="Hyperlink"/>
            <w:rFonts w:ascii="Arial" w:eastAsia="Calibri" w:hAnsi="Arial" w:cs="Arial"/>
            <w:noProof/>
          </w:rPr>
          <w:t>Изпълнение на допълнителни специфични индикатори и цели на база проекти с плащане по мярка 321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_Toc504136246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153</w:t>
        </w:r>
        <w:r w:rsidR="00205C7B" w:rsidRPr="00205C7B">
          <w:rPr>
            <w:rFonts w:ascii="Arial" w:hAnsi="Arial" w:cs="Arial"/>
            <w:noProof/>
            <w:webHidden/>
          </w:rPr>
          <w:fldChar w:fldCharType="end"/>
        </w:r>
      </w:hyperlink>
    </w:p>
    <w:p w14:paraId="352B6ADF" w14:textId="16A64F98"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47" w:history="1">
        <w:r w:rsidR="00205C7B" w:rsidRPr="00205C7B">
          <w:rPr>
            <w:rStyle w:val="Hyperlink"/>
            <w:rFonts w:ascii="Arial" w:eastAsia="Calibri" w:hAnsi="Arial" w:cs="Arial"/>
            <w:iCs/>
            <w:noProof/>
          </w:rPr>
          <w:t>Таблица 75. Разпределение на подкрепените дейности по вид</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_Toc504136247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154</w:t>
        </w:r>
        <w:r w:rsidR="00205C7B" w:rsidRPr="00205C7B">
          <w:rPr>
            <w:rFonts w:ascii="Arial" w:hAnsi="Arial" w:cs="Arial"/>
            <w:noProof/>
            <w:webHidden/>
          </w:rPr>
          <w:fldChar w:fldCharType="end"/>
        </w:r>
      </w:hyperlink>
    </w:p>
    <w:p w14:paraId="5DAFACD9" w14:textId="05484214"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48" w:history="1">
        <w:r w:rsidR="00205C7B" w:rsidRPr="00205C7B">
          <w:rPr>
            <w:rStyle w:val="Hyperlink"/>
            <w:rFonts w:ascii="Arial" w:eastAsia="Calibri" w:hAnsi="Arial" w:cs="Arial"/>
            <w:iCs/>
            <w:noProof/>
          </w:rPr>
          <w:t>Таблица 76. Изпълнение на целите на мярка 322 база платени проекти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_Toc504136248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158</w:t>
        </w:r>
        <w:r w:rsidR="00205C7B" w:rsidRPr="00205C7B">
          <w:rPr>
            <w:rFonts w:ascii="Arial" w:hAnsi="Arial" w:cs="Arial"/>
            <w:noProof/>
            <w:webHidden/>
          </w:rPr>
          <w:fldChar w:fldCharType="end"/>
        </w:r>
      </w:hyperlink>
    </w:p>
    <w:p w14:paraId="3786F7BE" w14:textId="401BB429"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49" w:history="1">
        <w:r w:rsidR="00205C7B" w:rsidRPr="00205C7B">
          <w:rPr>
            <w:rStyle w:val="Hyperlink"/>
            <w:rFonts w:ascii="Arial" w:eastAsia="Calibri" w:hAnsi="Arial" w:cs="Arial"/>
            <w:noProof/>
          </w:rPr>
          <w:t>Таблица 77. Изпълнение на допълнителни специфични индикатори и цели на база проекти с плащане по мярка 322</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_Toc504136249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158</w:t>
        </w:r>
        <w:r w:rsidR="00205C7B" w:rsidRPr="00205C7B">
          <w:rPr>
            <w:rFonts w:ascii="Arial" w:hAnsi="Arial" w:cs="Arial"/>
            <w:noProof/>
            <w:webHidden/>
          </w:rPr>
          <w:fldChar w:fldCharType="end"/>
        </w:r>
      </w:hyperlink>
    </w:p>
    <w:p w14:paraId="4FDB17FA" w14:textId="01DB59E5"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50" w:history="1">
        <w:r w:rsidR="00205C7B" w:rsidRPr="00205C7B">
          <w:rPr>
            <w:rStyle w:val="Hyperlink"/>
            <w:rFonts w:ascii="Arial" w:eastAsia="Calibri" w:hAnsi="Arial" w:cs="Arial"/>
            <w:noProof/>
          </w:rPr>
          <w:t xml:space="preserve">Таблица 78. </w:t>
        </w:r>
        <w:r w:rsidR="00205C7B" w:rsidRPr="00205C7B">
          <w:rPr>
            <w:rStyle w:val="Hyperlink"/>
            <w:rFonts w:ascii="Arial" w:eastAsia="Calibri" w:hAnsi="Arial" w:cs="Arial"/>
            <w:iCs/>
            <w:noProof/>
          </w:rPr>
          <w:t>Разпределение на вида обновление</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_Toc504136250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159</w:t>
        </w:r>
        <w:r w:rsidR="00205C7B" w:rsidRPr="00205C7B">
          <w:rPr>
            <w:rFonts w:ascii="Arial" w:hAnsi="Arial" w:cs="Arial"/>
            <w:noProof/>
            <w:webHidden/>
          </w:rPr>
          <w:fldChar w:fldCharType="end"/>
        </w:r>
      </w:hyperlink>
    </w:p>
    <w:p w14:paraId="2333B780" w14:textId="5714673A"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51" w:history="1">
        <w:r w:rsidR="00205C7B" w:rsidRPr="00205C7B">
          <w:rPr>
            <w:rStyle w:val="Hyperlink"/>
            <w:rFonts w:ascii="Arial" w:hAnsi="Arial" w:cs="Arial"/>
            <w:noProof/>
          </w:rPr>
          <w:t>Таблица 79 Взаимодействия между отделните мерки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_Toc504136251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162</w:t>
        </w:r>
        <w:r w:rsidR="00205C7B" w:rsidRPr="00205C7B">
          <w:rPr>
            <w:rFonts w:ascii="Arial" w:hAnsi="Arial" w:cs="Arial"/>
            <w:noProof/>
            <w:webHidden/>
          </w:rPr>
          <w:fldChar w:fldCharType="end"/>
        </w:r>
      </w:hyperlink>
    </w:p>
    <w:p w14:paraId="12136FA3" w14:textId="44C90F63"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52" w:history="1">
        <w:r w:rsidR="00205C7B" w:rsidRPr="00205C7B">
          <w:rPr>
            <w:rStyle w:val="Hyperlink"/>
            <w:rFonts w:ascii="Arial" w:hAnsi="Arial" w:cs="Arial"/>
            <w:noProof/>
          </w:rPr>
          <w:t>Таблица 80. Текучество в служителите на МИГ 2012, 2013 и 2104 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_Toc504136252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166</w:t>
        </w:r>
        <w:r w:rsidR="00205C7B" w:rsidRPr="00205C7B">
          <w:rPr>
            <w:rFonts w:ascii="Arial" w:hAnsi="Arial" w:cs="Arial"/>
            <w:noProof/>
            <w:webHidden/>
          </w:rPr>
          <w:fldChar w:fldCharType="end"/>
        </w:r>
      </w:hyperlink>
    </w:p>
    <w:p w14:paraId="0EAE744B" w14:textId="70602859"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53" w:history="1">
        <w:r w:rsidR="00205C7B" w:rsidRPr="00205C7B">
          <w:rPr>
            <w:rStyle w:val="Hyperlink"/>
            <w:rFonts w:ascii="Arial" w:hAnsi="Arial" w:cs="Arial"/>
            <w:iCs/>
            <w:noProof/>
          </w:rPr>
          <w:t>Таблица 81. Изпълнение на целите на мярка 431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_Toc504136253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167</w:t>
        </w:r>
        <w:r w:rsidR="00205C7B" w:rsidRPr="00205C7B">
          <w:rPr>
            <w:rFonts w:ascii="Arial" w:hAnsi="Arial" w:cs="Arial"/>
            <w:noProof/>
            <w:webHidden/>
          </w:rPr>
          <w:fldChar w:fldCharType="end"/>
        </w:r>
      </w:hyperlink>
    </w:p>
    <w:p w14:paraId="55B01DF0" w14:textId="33F8C0F0"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54" w:history="1">
        <w:r w:rsidR="00205C7B" w:rsidRPr="00205C7B">
          <w:rPr>
            <w:rStyle w:val="Hyperlink"/>
            <w:rFonts w:ascii="Arial" w:hAnsi="Arial" w:cs="Arial"/>
            <w:iCs/>
            <w:noProof/>
          </w:rPr>
          <w:t>Таблица 82. Създадени работни места по проекти на МИГ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_Toc504136254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173</w:t>
        </w:r>
        <w:r w:rsidR="00205C7B" w:rsidRPr="00205C7B">
          <w:rPr>
            <w:rFonts w:ascii="Arial" w:hAnsi="Arial" w:cs="Arial"/>
            <w:noProof/>
            <w:webHidden/>
          </w:rPr>
          <w:fldChar w:fldCharType="end"/>
        </w:r>
      </w:hyperlink>
    </w:p>
    <w:p w14:paraId="60795EF8" w14:textId="690E9286"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55" w:history="1">
        <w:r w:rsidR="00205C7B" w:rsidRPr="00205C7B">
          <w:rPr>
            <w:rStyle w:val="Hyperlink"/>
            <w:rFonts w:ascii="Arial" w:hAnsi="Arial" w:cs="Arial"/>
            <w:iCs/>
            <w:noProof/>
          </w:rPr>
          <w:t>Таблица 83. Разпределение на бенефициентите по мерки</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_Toc504136255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176</w:t>
        </w:r>
        <w:r w:rsidR="00205C7B" w:rsidRPr="00205C7B">
          <w:rPr>
            <w:rFonts w:ascii="Arial" w:hAnsi="Arial" w:cs="Arial"/>
            <w:noProof/>
            <w:webHidden/>
          </w:rPr>
          <w:fldChar w:fldCharType="end"/>
        </w:r>
      </w:hyperlink>
    </w:p>
    <w:p w14:paraId="2B3D47AE" w14:textId="6F1808A0"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56" w:history="1">
        <w:r w:rsidR="00205C7B" w:rsidRPr="00205C7B">
          <w:rPr>
            <w:rStyle w:val="Hyperlink"/>
            <w:rFonts w:ascii="Arial" w:hAnsi="Arial" w:cs="Arial"/>
            <w:iCs/>
            <w:noProof/>
          </w:rPr>
          <w:t>Таблица 84. Индикатори за изпълнение на мярка 421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_Toc504136256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177</w:t>
        </w:r>
        <w:r w:rsidR="00205C7B" w:rsidRPr="00205C7B">
          <w:rPr>
            <w:rFonts w:ascii="Arial" w:hAnsi="Arial" w:cs="Arial"/>
            <w:noProof/>
            <w:webHidden/>
          </w:rPr>
          <w:fldChar w:fldCharType="end"/>
        </w:r>
      </w:hyperlink>
    </w:p>
    <w:p w14:paraId="68F3B427" w14:textId="080FDC30"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57" w:history="1">
        <w:r w:rsidR="00205C7B" w:rsidRPr="00205C7B">
          <w:rPr>
            <w:rStyle w:val="Hyperlink"/>
            <w:rFonts w:ascii="Arial" w:hAnsi="Arial" w:cs="Arial"/>
            <w:iCs/>
            <w:noProof/>
          </w:rPr>
          <w:t>Таблица 85. Цели, планирани дейности и разходвани средства по мярка 511</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_Toc504136257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182</w:t>
        </w:r>
        <w:r w:rsidR="00205C7B" w:rsidRPr="00205C7B">
          <w:rPr>
            <w:rFonts w:ascii="Arial" w:hAnsi="Arial" w:cs="Arial"/>
            <w:noProof/>
            <w:webHidden/>
          </w:rPr>
          <w:fldChar w:fldCharType="end"/>
        </w:r>
      </w:hyperlink>
    </w:p>
    <w:p w14:paraId="6853231E" w14:textId="637ECCDE"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58" w:history="1">
        <w:r w:rsidR="00205C7B" w:rsidRPr="00205C7B">
          <w:rPr>
            <w:rStyle w:val="Hyperlink"/>
            <w:rFonts w:ascii="Arial" w:hAnsi="Arial" w:cs="Arial"/>
            <w:iCs/>
            <w:noProof/>
          </w:rPr>
          <w:t>Таблица 86. Организация и институционализиране на НСМ в страните- членки на ЕС</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_Toc504136258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188</w:t>
        </w:r>
        <w:r w:rsidR="00205C7B" w:rsidRPr="00205C7B">
          <w:rPr>
            <w:rFonts w:ascii="Arial" w:hAnsi="Arial" w:cs="Arial"/>
            <w:noProof/>
            <w:webHidden/>
          </w:rPr>
          <w:fldChar w:fldCharType="end"/>
        </w:r>
      </w:hyperlink>
    </w:p>
    <w:p w14:paraId="587725C4" w14:textId="128639AB"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59" w:history="1">
        <w:r w:rsidR="00205C7B" w:rsidRPr="00205C7B">
          <w:rPr>
            <w:rStyle w:val="Hyperlink"/>
            <w:rFonts w:ascii="Arial" w:hAnsi="Arial" w:cs="Arial"/>
            <w:iCs/>
            <w:noProof/>
          </w:rPr>
          <w:t>Таблица 87. Постигнати резултати от работата на НСМ в периода 2013-2015 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_Toc504136259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189</w:t>
        </w:r>
        <w:r w:rsidR="00205C7B" w:rsidRPr="00205C7B">
          <w:rPr>
            <w:rFonts w:ascii="Arial" w:hAnsi="Arial" w:cs="Arial"/>
            <w:noProof/>
            <w:webHidden/>
          </w:rPr>
          <w:fldChar w:fldCharType="end"/>
        </w:r>
      </w:hyperlink>
    </w:p>
    <w:p w14:paraId="6DF0B14F" w14:textId="425F0081"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60" w:history="1">
        <w:r w:rsidR="00205C7B" w:rsidRPr="00205C7B">
          <w:rPr>
            <w:rStyle w:val="Hyperlink"/>
            <w:rFonts w:ascii="Arial" w:hAnsi="Arial" w:cs="Arial"/>
            <w:iCs/>
            <w:noProof/>
          </w:rPr>
          <w:t>Таблица 88. Проекти към Стратегиите за местно развитие на МИГ</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_Toc504136260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204</w:t>
        </w:r>
        <w:r w:rsidR="00205C7B" w:rsidRPr="00205C7B">
          <w:rPr>
            <w:rFonts w:ascii="Arial" w:hAnsi="Arial" w:cs="Arial"/>
            <w:noProof/>
            <w:webHidden/>
          </w:rPr>
          <w:fldChar w:fldCharType="end"/>
        </w:r>
      </w:hyperlink>
    </w:p>
    <w:p w14:paraId="45CF0D20" w14:textId="51A33538" w:rsidR="00205C7B" w:rsidRPr="00205C7B" w:rsidRDefault="000161DB" w:rsidP="00205C7B">
      <w:pPr>
        <w:pStyle w:val="TableofFigures"/>
        <w:tabs>
          <w:tab w:val="right" w:leader="dot" w:pos="9060"/>
        </w:tabs>
        <w:spacing w:before="120" w:after="120" w:line="240" w:lineRule="auto"/>
        <w:rPr>
          <w:rFonts w:ascii="Arial" w:hAnsi="Arial" w:cs="Arial"/>
          <w:noProof/>
        </w:rPr>
      </w:pPr>
      <w:hyperlink w:anchor="_Toc504136261" w:history="1">
        <w:r w:rsidR="00205C7B" w:rsidRPr="00205C7B">
          <w:rPr>
            <w:rStyle w:val="Hyperlink"/>
            <w:rFonts w:ascii="Arial" w:hAnsi="Arial" w:cs="Arial"/>
            <w:iCs/>
            <w:noProof/>
          </w:rPr>
          <w:t>Таблица 89. Заинтересовани страни по мерки от ос 4</w:t>
        </w:r>
        <w:r w:rsidR="00205C7B" w:rsidRPr="00205C7B">
          <w:rPr>
            <w:rFonts w:ascii="Arial" w:hAnsi="Arial" w:cs="Arial"/>
            <w:noProof/>
            <w:webHidden/>
          </w:rPr>
          <w:tab/>
        </w:r>
        <w:r w:rsidR="00205C7B" w:rsidRPr="00205C7B">
          <w:rPr>
            <w:rFonts w:ascii="Arial" w:hAnsi="Arial" w:cs="Arial"/>
            <w:noProof/>
            <w:webHidden/>
          </w:rPr>
          <w:fldChar w:fldCharType="begin"/>
        </w:r>
        <w:r w:rsidR="00205C7B" w:rsidRPr="00205C7B">
          <w:rPr>
            <w:rFonts w:ascii="Arial" w:hAnsi="Arial" w:cs="Arial"/>
            <w:noProof/>
            <w:webHidden/>
          </w:rPr>
          <w:instrText xml:space="preserve"> PAGEREF _Toc504136261 \h </w:instrText>
        </w:r>
        <w:r w:rsidR="00205C7B" w:rsidRPr="00205C7B">
          <w:rPr>
            <w:rFonts w:ascii="Arial" w:hAnsi="Arial" w:cs="Arial"/>
            <w:noProof/>
            <w:webHidden/>
          </w:rPr>
        </w:r>
        <w:r w:rsidR="00205C7B" w:rsidRPr="00205C7B">
          <w:rPr>
            <w:rFonts w:ascii="Arial" w:hAnsi="Arial" w:cs="Arial"/>
            <w:noProof/>
            <w:webHidden/>
          </w:rPr>
          <w:fldChar w:fldCharType="separate"/>
        </w:r>
        <w:r w:rsidR="0023010D">
          <w:rPr>
            <w:rFonts w:ascii="Arial" w:hAnsi="Arial" w:cs="Arial"/>
            <w:noProof/>
            <w:webHidden/>
          </w:rPr>
          <w:t>206</w:t>
        </w:r>
        <w:r w:rsidR="00205C7B" w:rsidRPr="00205C7B">
          <w:rPr>
            <w:rFonts w:ascii="Arial" w:hAnsi="Arial" w:cs="Arial"/>
            <w:noProof/>
            <w:webHidden/>
          </w:rPr>
          <w:fldChar w:fldCharType="end"/>
        </w:r>
      </w:hyperlink>
    </w:p>
    <w:p w14:paraId="33374DFB" w14:textId="77777777" w:rsidR="00E8617E" w:rsidRPr="00BC513A" w:rsidRDefault="00E8617E" w:rsidP="00205C7B">
      <w:pPr>
        <w:pStyle w:val="TableofFigures"/>
        <w:tabs>
          <w:tab w:val="right" w:leader="dot" w:pos="9060"/>
        </w:tabs>
        <w:spacing w:before="120" w:after="120" w:line="240" w:lineRule="auto"/>
        <w:rPr>
          <w:rFonts w:ascii="Arial" w:hAnsi="Arial" w:cs="Arial"/>
        </w:rPr>
      </w:pPr>
      <w:r w:rsidRPr="00205C7B">
        <w:rPr>
          <w:rStyle w:val="Hyperlink"/>
          <w:rFonts w:ascii="Arial" w:hAnsi="Arial" w:cs="Arial"/>
          <w:noProof/>
        </w:rPr>
        <w:fldChar w:fldCharType="end"/>
      </w:r>
    </w:p>
    <w:p w14:paraId="6BB7695A" w14:textId="77777777" w:rsidR="00E8617E" w:rsidRPr="00BC513A" w:rsidRDefault="00E8617E" w:rsidP="00E8617E">
      <w:pPr>
        <w:pStyle w:val="Heading1"/>
        <w:numPr>
          <w:ilvl w:val="0"/>
          <w:numId w:val="0"/>
        </w:numPr>
        <w:ind w:left="567" w:hanging="567"/>
        <w:rPr>
          <w:lang w:val="bg-BG"/>
        </w:rPr>
      </w:pPr>
      <w:bookmarkStart w:id="10" w:name="_Toc504136120"/>
      <w:r w:rsidRPr="00BC513A">
        <w:rPr>
          <w:lang w:val="bg-BG"/>
        </w:rPr>
        <w:lastRenderedPageBreak/>
        <w:t>Списък на фигурите</w:t>
      </w:r>
      <w:bookmarkEnd w:id="10"/>
    </w:p>
    <w:p w14:paraId="35659C44" w14:textId="77777777" w:rsidR="00AB2B2B" w:rsidRPr="00AB2B2B" w:rsidRDefault="00E8617E" w:rsidP="00AB2B2B">
      <w:pPr>
        <w:pStyle w:val="TableofFigures"/>
        <w:tabs>
          <w:tab w:val="right" w:leader="dot" w:pos="9060"/>
        </w:tabs>
        <w:spacing w:before="120" w:after="120" w:line="240" w:lineRule="auto"/>
        <w:rPr>
          <w:rStyle w:val="Hyperlink"/>
          <w:rFonts w:ascii="Arial" w:hAnsi="Arial" w:cs="Arial"/>
        </w:rPr>
      </w:pPr>
      <w:r w:rsidRPr="00BC513A">
        <w:rPr>
          <w:rStyle w:val="Hyperlink"/>
          <w:rFonts w:ascii="Arial" w:hAnsi="Arial" w:cs="Arial"/>
          <w:noProof/>
        </w:rPr>
        <w:fldChar w:fldCharType="begin"/>
      </w:r>
      <w:r w:rsidRPr="00BC513A">
        <w:rPr>
          <w:rStyle w:val="Hyperlink"/>
          <w:rFonts w:ascii="Arial" w:hAnsi="Arial" w:cs="Arial"/>
          <w:noProof/>
        </w:rPr>
        <w:instrText xml:space="preserve"> TOC \h \z \c "Фигура" </w:instrText>
      </w:r>
      <w:r w:rsidRPr="00BC513A">
        <w:rPr>
          <w:rStyle w:val="Hyperlink"/>
          <w:rFonts w:ascii="Arial" w:hAnsi="Arial" w:cs="Arial"/>
          <w:noProof/>
        </w:rPr>
        <w:fldChar w:fldCharType="separate"/>
      </w:r>
      <w:hyperlink w:anchor="_Toc506984707" w:history="1">
        <w:r w:rsidR="00AB2B2B" w:rsidRPr="00AB2B2B">
          <w:rPr>
            <w:rStyle w:val="Hyperlink"/>
            <w:rFonts w:ascii="Arial" w:hAnsi="Arial" w:cs="Arial"/>
            <w:noProof/>
          </w:rPr>
          <w:t>Фигура 1. Логика на интервенция на ос 1</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_Toc506984707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43</w:t>
        </w:r>
        <w:r w:rsidR="00AB2B2B" w:rsidRPr="00AB2B2B">
          <w:rPr>
            <w:rStyle w:val="Hyperlink"/>
            <w:rFonts w:ascii="Arial" w:hAnsi="Arial" w:cs="Arial"/>
            <w:webHidden/>
          </w:rPr>
          <w:fldChar w:fldCharType="end"/>
        </w:r>
      </w:hyperlink>
    </w:p>
    <w:p w14:paraId="1628B725"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08" w:history="1">
        <w:r w:rsidR="00AB2B2B" w:rsidRPr="00AB2B2B">
          <w:rPr>
            <w:rStyle w:val="Hyperlink"/>
            <w:rFonts w:ascii="Arial" w:hAnsi="Arial" w:cs="Arial"/>
            <w:noProof/>
          </w:rPr>
          <w:t>Фигура 2. Логика на интервенция на ос 2</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_Toc506984708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47</w:t>
        </w:r>
        <w:r w:rsidR="00AB2B2B" w:rsidRPr="00AB2B2B">
          <w:rPr>
            <w:rStyle w:val="Hyperlink"/>
            <w:rFonts w:ascii="Arial" w:hAnsi="Arial" w:cs="Arial"/>
            <w:webHidden/>
          </w:rPr>
          <w:fldChar w:fldCharType="end"/>
        </w:r>
      </w:hyperlink>
    </w:p>
    <w:p w14:paraId="3306C322"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09" w:history="1">
        <w:r w:rsidR="00AB2B2B" w:rsidRPr="00AB2B2B">
          <w:rPr>
            <w:rStyle w:val="Hyperlink"/>
            <w:rFonts w:ascii="Arial" w:hAnsi="Arial" w:cs="Arial"/>
            <w:noProof/>
          </w:rPr>
          <w:t>Фигура 3. Логика на интервенция на ос 3</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_Toc506984709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49</w:t>
        </w:r>
        <w:r w:rsidR="00AB2B2B" w:rsidRPr="00AB2B2B">
          <w:rPr>
            <w:rStyle w:val="Hyperlink"/>
            <w:rFonts w:ascii="Arial" w:hAnsi="Arial" w:cs="Arial"/>
            <w:webHidden/>
          </w:rPr>
          <w:fldChar w:fldCharType="end"/>
        </w:r>
      </w:hyperlink>
    </w:p>
    <w:p w14:paraId="2578CE23"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10" w:history="1">
        <w:r w:rsidR="00AB2B2B" w:rsidRPr="00AB2B2B">
          <w:rPr>
            <w:rStyle w:val="Hyperlink"/>
            <w:rFonts w:ascii="Arial" w:hAnsi="Arial" w:cs="Arial"/>
            <w:noProof/>
          </w:rPr>
          <w:t>Фигура 4. Логика на интервенция на ос 4</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_Toc506984710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51</w:t>
        </w:r>
        <w:r w:rsidR="00AB2B2B" w:rsidRPr="00AB2B2B">
          <w:rPr>
            <w:rStyle w:val="Hyperlink"/>
            <w:rFonts w:ascii="Arial" w:hAnsi="Arial" w:cs="Arial"/>
            <w:webHidden/>
          </w:rPr>
          <w:fldChar w:fldCharType="end"/>
        </w:r>
      </w:hyperlink>
    </w:p>
    <w:p w14:paraId="2688E5F0"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11" w:history="1">
        <w:r w:rsidR="00AB2B2B" w:rsidRPr="00AB2B2B">
          <w:rPr>
            <w:rStyle w:val="Hyperlink"/>
            <w:rFonts w:ascii="Arial" w:hAnsi="Arial" w:cs="Arial"/>
            <w:noProof/>
          </w:rPr>
          <w:t>Фигура 5. Публични плащания по ПРСР по приоритетни оси към 31.12.2015 г., млн. евро</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_Toc506984711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59</w:t>
        </w:r>
        <w:r w:rsidR="00AB2B2B" w:rsidRPr="00AB2B2B">
          <w:rPr>
            <w:rStyle w:val="Hyperlink"/>
            <w:rFonts w:ascii="Arial" w:hAnsi="Arial" w:cs="Arial"/>
            <w:webHidden/>
          </w:rPr>
          <w:fldChar w:fldCharType="end"/>
        </w:r>
      </w:hyperlink>
    </w:p>
    <w:p w14:paraId="6CE9FE21"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12" w:history="1">
        <w:r w:rsidR="00AB2B2B" w:rsidRPr="00AB2B2B">
          <w:rPr>
            <w:rStyle w:val="Hyperlink"/>
            <w:rFonts w:ascii="Arial" w:hAnsi="Arial" w:cs="Arial"/>
            <w:noProof/>
          </w:rPr>
          <w:t>Фигура 6. БДС и факторен доход на годишна работна единица, лв./ГРЕ</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_Toc506984712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84</w:t>
        </w:r>
        <w:r w:rsidR="00AB2B2B" w:rsidRPr="00AB2B2B">
          <w:rPr>
            <w:rStyle w:val="Hyperlink"/>
            <w:rFonts w:ascii="Arial" w:hAnsi="Arial" w:cs="Arial"/>
            <w:webHidden/>
          </w:rPr>
          <w:fldChar w:fldCharType="end"/>
        </w:r>
      </w:hyperlink>
    </w:p>
    <w:p w14:paraId="67C71EF0"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13" w:history="1">
        <w:r w:rsidR="00AB2B2B" w:rsidRPr="00AB2B2B">
          <w:rPr>
            <w:rStyle w:val="Hyperlink"/>
            <w:rFonts w:ascii="Arial" w:hAnsi="Arial" w:cs="Arial"/>
            <w:noProof/>
          </w:rPr>
          <w:t>Фигура 7. Брутна добавена стойност по мярка 112</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_Toc506984713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89</w:t>
        </w:r>
        <w:r w:rsidR="00AB2B2B" w:rsidRPr="00AB2B2B">
          <w:rPr>
            <w:rStyle w:val="Hyperlink"/>
            <w:rFonts w:ascii="Arial" w:hAnsi="Arial" w:cs="Arial"/>
            <w:webHidden/>
          </w:rPr>
          <w:fldChar w:fldCharType="end"/>
        </w:r>
      </w:hyperlink>
    </w:p>
    <w:p w14:paraId="5CFACD34"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14" w:history="1">
        <w:r w:rsidR="00AB2B2B" w:rsidRPr="00AB2B2B">
          <w:rPr>
            <w:rStyle w:val="Hyperlink"/>
            <w:rFonts w:ascii="Arial" w:hAnsi="Arial" w:cs="Arial"/>
            <w:noProof/>
          </w:rPr>
          <w:t>Фигура 8. Принос на инвестициите по М121 в брутообразуването на основен капитал в българското земеделие, млн. лв.</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_Toc506984714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93</w:t>
        </w:r>
        <w:r w:rsidR="00AB2B2B" w:rsidRPr="00AB2B2B">
          <w:rPr>
            <w:rStyle w:val="Hyperlink"/>
            <w:rFonts w:ascii="Arial" w:hAnsi="Arial" w:cs="Arial"/>
            <w:webHidden/>
          </w:rPr>
          <w:fldChar w:fldCharType="end"/>
        </w:r>
      </w:hyperlink>
    </w:p>
    <w:p w14:paraId="1C9F32F0"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15" w:history="1">
        <w:r w:rsidR="00AB2B2B" w:rsidRPr="00AB2B2B">
          <w:rPr>
            <w:rStyle w:val="Hyperlink"/>
            <w:rFonts w:ascii="Arial" w:hAnsi="Arial" w:cs="Arial"/>
            <w:noProof/>
          </w:rPr>
          <w:t>Фигура 9. Нетна добавена стойност и възвращаемост на труда в горския отрасъл</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_Toc506984715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97</w:t>
        </w:r>
        <w:r w:rsidR="00AB2B2B" w:rsidRPr="00AB2B2B">
          <w:rPr>
            <w:rStyle w:val="Hyperlink"/>
            <w:rFonts w:ascii="Arial" w:hAnsi="Arial" w:cs="Arial"/>
            <w:webHidden/>
          </w:rPr>
          <w:fldChar w:fldCharType="end"/>
        </w:r>
      </w:hyperlink>
    </w:p>
    <w:p w14:paraId="2271DC02"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16" w:history="1">
        <w:r w:rsidR="00AB2B2B" w:rsidRPr="00AB2B2B">
          <w:rPr>
            <w:rStyle w:val="Hyperlink"/>
            <w:rFonts w:ascii="Arial" w:hAnsi="Arial" w:cs="Arial"/>
            <w:noProof/>
          </w:rPr>
          <w:t>Фигура 10. Брой на подпомогнатите предприятия по сектори по мярка 123</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_Toc506984716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99</w:t>
        </w:r>
        <w:r w:rsidR="00AB2B2B" w:rsidRPr="00AB2B2B">
          <w:rPr>
            <w:rStyle w:val="Hyperlink"/>
            <w:rFonts w:ascii="Arial" w:hAnsi="Arial" w:cs="Arial"/>
            <w:webHidden/>
          </w:rPr>
          <w:fldChar w:fldCharType="end"/>
        </w:r>
      </w:hyperlink>
    </w:p>
    <w:p w14:paraId="051202C2"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17" w:history="1">
        <w:r w:rsidR="00AB2B2B" w:rsidRPr="00AB2B2B">
          <w:rPr>
            <w:rStyle w:val="Hyperlink"/>
            <w:rFonts w:ascii="Arial" w:hAnsi="Arial" w:cs="Arial"/>
            <w:noProof/>
          </w:rPr>
          <w:t>Фигура 11. Дял на инвестициите по подпомогнати сектори по мярка 123</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_Toc506984717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100</w:t>
        </w:r>
        <w:r w:rsidR="00AB2B2B" w:rsidRPr="00AB2B2B">
          <w:rPr>
            <w:rStyle w:val="Hyperlink"/>
            <w:rFonts w:ascii="Arial" w:hAnsi="Arial" w:cs="Arial"/>
            <w:webHidden/>
          </w:rPr>
          <w:fldChar w:fldCharType="end"/>
        </w:r>
      </w:hyperlink>
    </w:p>
    <w:p w14:paraId="1F0091A3"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18" w:history="1">
        <w:r w:rsidR="00AB2B2B" w:rsidRPr="00AB2B2B">
          <w:rPr>
            <w:rStyle w:val="Hyperlink"/>
            <w:rFonts w:ascii="Arial" w:hAnsi="Arial" w:cs="Arial"/>
            <w:noProof/>
          </w:rPr>
          <w:t>Фигура 12. Брутна добавена стойност общо в хранителната индустрия и в секторите подпомогнати по мярка 123, млн. евро</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_Toc506984718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101</w:t>
        </w:r>
        <w:r w:rsidR="00AB2B2B" w:rsidRPr="00AB2B2B">
          <w:rPr>
            <w:rStyle w:val="Hyperlink"/>
            <w:rFonts w:ascii="Arial" w:hAnsi="Arial" w:cs="Arial"/>
            <w:webHidden/>
          </w:rPr>
          <w:fldChar w:fldCharType="end"/>
        </w:r>
      </w:hyperlink>
    </w:p>
    <w:p w14:paraId="73DFE6CA"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19" w:history="1">
        <w:r w:rsidR="00AB2B2B" w:rsidRPr="00AB2B2B">
          <w:rPr>
            <w:rStyle w:val="Hyperlink"/>
            <w:rFonts w:ascii="Arial" w:hAnsi="Arial" w:cs="Arial"/>
            <w:noProof/>
          </w:rPr>
          <w:t>Фигура 13. БДС на ГРЕ в икономиката и селското стопанство, лв.</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_Toc506984719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105</w:t>
        </w:r>
        <w:r w:rsidR="00AB2B2B" w:rsidRPr="00AB2B2B">
          <w:rPr>
            <w:rStyle w:val="Hyperlink"/>
            <w:rFonts w:ascii="Arial" w:hAnsi="Arial" w:cs="Arial"/>
            <w:webHidden/>
          </w:rPr>
          <w:fldChar w:fldCharType="end"/>
        </w:r>
      </w:hyperlink>
    </w:p>
    <w:p w14:paraId="6FA5C5A5"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20" w:history="1">
        <w:r w:rsidR="00AB2B2B" w:rsidRPr="00AB2B2B">
          <w:rPr>
            <w:rStyle w:val="Hyperlink"/>
            <w:rFonts w:ascii="Arial" w:hAnsi="Arial" w:cs="Arial"/>
            <w:noProof/>
          </w:rPr>
          <w:t>Фигура 14. Брутна добавена стойност общо в отрасъла и по мярка 121</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_Toc506984720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112</w:t>
        </w:r>
        <w:r w:rsidR="00AB2B2B" w:rsidRPr="00AB2B2B">
          <w:rPr>
            <w:rStyle w:val="Hyperlink"/>
            <w:rFonts w:ascii="Arial" w:hAnsi="Arial" w:cs="Arial"/>
            <w:webHidden/>
          </w:rPr>
          <w:fldChar w:fldCharType="end"/>
        </w:r>
      </w:hyperlink>
    </w:p>
    <w:p w14:paraId="459C4B4B"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21" w:history="1">
        <w:r w:rsidR="00AB2B2B" w:rsidRPr="00AB2B2B">
          <w:rPr>
            <w:rStyle w:val="Hyperlink"/>
            <w:rFonts w:ascii="Arial" w:hAnsi="Arial" w:cs="Arial"/>
            <w:noProof/>
          </w:rPr>
          <w:t>Фигура 15. Териториално изпълнение на мярка 311 – брой проекти по области</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_Toc506984721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140</w:t>
        </w:r>
        <w:r w:rsidR="00AB2B2B" w:rsidRPr="00AB2B2B">
          <w:rPr>
            <w:rStyle w:val="Hyperlink"/>
            <w:rFonts w:ascii="Arial" w:hAnsi="Arial" w:cs="Arial"/>
            <w:webHidden/>
          </w:rPr>
          <w:fldChar w:fldCharType="end"/>
        </w:r>
      </w:hyperlink>
    </w:p>
    <w:p w14:paraId="18015BEF"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22" w:history="1">
        <w:r w:rsidR="00AB2B2B" w:rsidRPr="00AB2B2B">
          <w:rPr>
            <w:rStyle w:val="Hyperlink"/>
            <w:rFonts w:ascii="Arial" w:hAnsi="Arial" w:cs="Arial"/>
            <w:noProof/>
          </w:rPr>
          <w:t>Фигура 16. Брой проекти по области подкрепени по мярка 312</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_Toc506984722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145</w:t>
        </w:r>
        <w:r w:rsidR="00AB2B2B" w:rsidRPr="00AB2B2B">
          <w:rPr>
            <w:rStyle w:val="Hyperlink"/>
            <w:rFonts w:ascii="Arial" w:hAnsi="Arial" w:cs="Arial"/>
            <w:webHidden/>
          </w:rPr>
          <w:fldChar w:fldCharType="end"/>
        </w:r>
      </w:hyperlink>
    </w:p>
    <w:p w14:paraId="07309195"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23" w:history="1">
        <w:r w:rsidR="00AB2B2B" w:rsidRPr="00AB2B2B">
          <w:rPr>
            <w:rStyle w:val="Hyperlink"/>
            <w:rFonts w:ascii="Arial" w:hAnsi="Arial" w:cs="Arial"/>
            <w:noProof/>
          </w:rPr>
          <w:t>Фигура 17. Брой проекти по области подкрепени по мярка 313</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_Toc506984723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148</w:t>
        </w:r>
        <w:r w:rsidR="00AB2B2B" w:rsidRPr="00AB2B2B">
          <w:rPr>
            <w:rStyle w:val="Hyperlink"/>
            <w:rFonts w:ascii="Arial" w:hAnsi="Arial" w:cs="Arial"/>
            <w:webHidden/>
          </w:rPr>
          <w:fldChar w:fldCharType="end"/>
        </w:r>
      </w:hyperlink>
    </w:p>
    <w:p w14:paraId="6D4DA59E"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24" w:history="1">
        <w:r w:rsidR="00AB2B2B" w:rsidRPr="00AB2B2B">
          <w:rPr>
            <w:rStyle w:val="Hyperlink"/>
            <w:rFonts w:ascii="Arial" w:hAnsi="Arial" w:cs="Arial"/>
            <w:noProof/>
          </w:rPr>
          <w:t>Фигура 18. Брой проекти по области, подкрепени по мярка 321</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_Toc506984724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155</w:t>
        </w:r>
        <w:r w:rsidR="00AB2B2B" w:rsidRPr="00AB2B2B">
          <w:rPr>
            <w:rStyle w:val="Hyperlink"/>
            <w:rFonts w:ascii="Arial" w:hAnsi="Arial" w:cs="Arial"/>
            <w:webHidden/>
          </w:rPr>
          <w:fldChar w:fldCharType="end"/>
        </w:r>
      </w:hyperlink>
    </w:p>
    <w:p w14:paraId="56D789D8"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25" w:history="1">
        <w:r w:rsidR="00AB2B2B" w:rsidRPr="00AB2B2B">
          <w:rPr>
            <w:rStyle w:val="Hyperlink"/>
            <w:rFonts w:ascii="Arial" w:hAnsi="Arial" w:cs="Arial"/>
            <w:noProof/>
          </w:rPr>
          <w:t>Фигура 19. До каква степен ПРСР е допринесла за подобряване на качеството на живот във Вашата община</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_Toc506984725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156</w:t>
        </w:r>
        <w:r w:rsidR="00AB2B2B" w:rsidRPr="00AB2B2B">
          <w:rPr>
            <w:rStyle w:val="Hyperlink"/>
            <w:rFonts w:ascii="Arial" w:hAnsi="Arial" w:cs="Arial"/>
            <w:webHidden/>
          </w:rPr>
          <w:fldChar w:fldCharType="end"/>
        </w:r>
      </w:hyperlink>
    </w:p>
    <w:p w14:paraId="25D00F98"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26" w:history="1">
        <w:r w:rsidR="00AB2B2B" w:rsidRPr="00AB2B2B">
          <w:rPr>
            <w:rStyle w:val="Hyperlink"/>
            <w:rFonts w:ascii="Arial" w:hAnsi="Arial" w:cs="Arial"/>
            <w:noProof/>
          </w:rPr>
          <w:t>Фигура 20. Брой проекти по области, подкрепени по мярка 322</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_Toc506984726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160</w:t>
        </w:r>
        <w:r w:rsidR="00AB2B2B" w:rsidRPr="00AB2B2B">
          <w:rPr>
            <w:rStyle w:val="Hyperlink"/>
            <w:rFonts w:ascii="Arial" w:hAnsi="Arial" w:cs="Arial"/>
            <w:webHidden/>
          </w:rPr>
          <w:fldChar w:fldCharType="end"/>
        </w:r>
      </w:hyperlink>
    </w:p>
    <w:p w14:paraId="39F2F1D1"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27" w:history="1">
        <w:r w:rsidR="00AB2B2B" w:rsidRPr="00AB2B2B">
          <w:rPr>
            <w:rStyle w:val="Hyperlink"/>
            <w:rFonts w:ascii="Arial" w:hAnsi="Arial" w:cs="Arial"/>
            <w:noProof/>
          </w:rPr>
          <w:t>Фигура 21. До каква степен ПРСР е допринесла за подобряване на привлекателността на Вашата община като място за живеене</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_Toc506984727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161</w:t>
        </w:r>
        <w:r w:rsidR="00AB2B2B" w:rsidRPr="00AB2B2B">
          <w:rPr>
            <w:rStyle w:val="Hyperlink"/>
            <w:rFonts w:ascii="Arial" w:hAnsi="Arial" w:cs="Arial"/>
            <w:webHidden/>
          </w:rPr>
          <w:fldChar w:fldCharType="end"/>
        </w:r>
      </w:hyperlink>
    </w:p>
    <w:p w14:paraId="3833B039"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28" w:history="1">
        <w:r w:rsidR="00AB2B2B" w:rsidRPr="00AB2B2B">
          <w:rPr>
            <w:rStyle w:val="Hyperlink"/>
            <w:rFonts w:ascii="Arial" w:hAnsi="Arial" w:cs="Arial"/>
            <w:noProof/>
          </w:rPr>
          <w:t>Фигура 22. Подадени заявления, сключени договори, изпълнени договори по подмярка 431-2 и подкрепени МИГ по мярка 41 за изпълнение на стратегии за местно развитие</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_Toc506984728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164</w:t>
        </w:r>
        <w:r w:rsidR="00AB2B2B" w:rsidRPr="00AB2B2B">
          <w:rPr>
            <w:rStyle w:val="Hyperlink"/>
            <w:rFonts w:ascii="Arial" w:hAnsi="Arial" w:cs="Arial"/>
            <w:webHidden/>
          </w:rPr>
          <w:fldChar w:fldCharType="end"/>
        </w:r>
      </w:hyperlink>
    </w:p>
    <w:p w14:paraId="31FC579F"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29" w:history="1">
        <w:r w:rsidR="00AB2B2B" w:rsidRPr="00AB2B2B">
          <w:rPr>
            <w:rStyle w:val="Hyperlink"/>
            <w:rFonts w:ascii="Arial" w:hAnsi="Arial" w:cs="Arial"/>
            <w:noProof/>
          </w:rPr>
          <w:t>Фигура 23. Разположение на МИГ на територията на страната</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_Toc506984729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165</w:t>
        </w:r>
        <w:r w:rsidR="00AB2B2B" w:rsidRPr="00AB2B2B">
          <w:rPr>
            <w:rStyle w:val="Hyperlink"/>
            <w:rFonts w:ascii="Arial" w:hAnsi="Arial" w:cs="Arial"/>
            <w:webHidden/>
          </w:rPr>
          <w:fldChar w:fldCharType="end"/>
        </w:r>
      </w:hyperlink>
    </w:p>
    <w:p w14:paraId="38BA2B3B"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30" w:history="1">
        <w:r w:rsidR="00AB2B2B" w:rsidRPr="00AB2B2B">
          <w:rPr>
            <w:rStyle w:val="Hyperlink"/>
            <w:rFonts w:ascii="Arial" w:hAnsi="Arial" w:cs="Arial"/>
            <w:noProof/>
          </w:rPr>
          <w:t>Фигура 24. Бенефициенти по проекти на МИГ по сектори в периода 2007-2013 г.</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_Toc506984730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179</w:t>
        </w:r>
        <w:r w:rsidR="00AB2B2B" w:rsidRPr="00AB2B2B">
          <w:rPr>
            <w:rStyle w:val="Hyperlink"/>
            <w:rFonts w:ascii="Arial" w:hAnsi="Arial" w:cs="Arial"/>
            <w:webHidden/>
          </w:rPr>
          <w:fldChar w:fldCharType="end"/>
        </w:r>
      </w:hyperlink>
    </w:p>
    <w:p w14:paraId="59194050"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31" w:history="1">
        <w:r w:rsidR="00AB2B2B" w:rsidRPr="00AB2B2B">
          <w:rPr>
            <w:rStyle w:val="Hyperlink"/>
            <w:rFonts w:ascii="Arial" w:hAnsi="Arial" w:cs="Arial"/>
            <w:noProof/>
          </w:rPr>
          <w:t>Фигура 25. Принос на МИГ, оценен от общините партньори</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_Toc506984731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180</w:t>
        </w:r>
        <w:r w:rsidR="00AB2B2B" w:rsidRPr="00AB2B2B">
          <w:rPr>
            <w:rStyle w:val="Hyperlink"/>
            <w:rFonts w:ascii="Arial" w:hAnsi="Arial" w:cs="Arial"/>
            <w:webHidden/>
          </w:rPr>
          <w:fldChar w:fldCharType="end"/>
        </w:r>
      </w:hyperlink>
    </w:p>
    <w:p w14:paraId="38C51AA6" w14:textId="77777777" w:rsidR="00AB2B2B" w:rsidRPr="00AB2B2B" w:rsidRDefault="000161DB" w:rsidP="00AB2B2B">
      <w:pPr>
        <w:pStyle w:val="TableofFigures"/>
        <w:tabs>
          <w:tab w:val="right" w:leader="dot" w:pos="9060"/>
        </w:tabs>
        <w:spacing w:before="120" w:after="120" w:line="240" w:lineRule="auto"/>
        <w:rPr>
          <w:rStyle w:val="Hyperlink"/>
          <w:rFonts w:ascii="Arial" w:hAnsi="Arial" w:cs="Arial"/>
        </w:rPr>
      </w:pPr>
      <w:hyperlink w:anchor="_Toc506984732" w:history="1">
        <w:r w:rsidR="00AB2B2B" w:rsidRPr="00AB2B2B">
          <w:rPr>
            <w:rStyle w:val="Hyperlink"/>
            <w:rFonts w:ascii="Arial" w:hAnsi="Arial" w:cs="Arial"/>
            <w:noProof/>
          </w:rPr>
          <w:t>Фигура 26. Членство в НСМ по групи заинтересовани страни</w:t>
        </w:r>
        <w:r w:rsidR="00AB2B2B" w:rsidRPr="00AB2B2B">
          <w:rPr>
            <w:rStyle w:val="Hyperlink"/>
            <w:rFonts w:ascii="Arial" w:hAnsi="Arial" w:cs="Arial"/>
            <w:webHidden/>
          </w:rPr>
          <w:tab/>
        </w:r>
        <w:r w:rsidR="00AB2B2B" w:rsidRPr="00AB2B2B">
          <w:rPr>
            <w:rStyle w:val="Hyperlink"/>
            <w:rFonts w:ascii="Arial" w:hAnsi="Arial" w:cs="Arial"/>
            <w:webHidden/>
          </w:rPr>
          <w:fldChar w:fldCharType="begin"/>
        </w:r>
        <w:r w:rsidR="00AB2B2B" w:rsidRPr="00AB2B2B">
          <w:rPr>
            <w:rStyle w:val="Hyperlink"/>
            <w:rFonts w:ascii="Arial" w:hAnsi="Arial" w:cs="Arial"/>
            <w:webHidden/>
          </w:rPr>
          <w:instrText xml:space="preserve"> PAGEREF _Toc506984732 \h </w:instrText>
        </w:r>
        <w:r w:rsidR="00AB2B2B" w:rsidRPr="00AB2B2B">
          <w:rPr>
            <w:rStyle w:val="Hyperlink"/>
            <w:rFonts w:ascii="Arial" w:hAnsi="Arial" w:cs="Arial"/>
            <w:webHidden/>
          </w:rPr>
        </w:r>
        <w:r w:rsidR="00AB2B2B" w:rsidRPr="00AB2B2B">
          <w:rPr>
            <w:rStyle w:val="Hyperlink"/>
            <w:rFonts w:ascii="Arial" w:hAnsi="Arial" w:cs="Arial"/>
            <w:webHidden/>
          </w:rPr>
          <w:fldChar w:fldCharType="separate"/>
        </w:r>
        <w:r w:rsidR="0023010D">
          <w:rPr>
            <w:rStyle w:val="Hyperlink"/>
            <w:rFonts w:ascii="Arial" w:hAnsi="Arial" w:cs="Arial"/>
            <w:noProof/>
            <w:webHidden/>
          </w:rPr>
          <w:t>189</w:t>
        </w:r>
        <w:r w:rsidR="00AB2B2B" w:rsidRPr="00AB2B2B">
          <w:rPr>
            <w:rStyle w:val="Hyperlink"/>
            <w:rFonts w:ascii="Arial" w:hAnsi="Arial" w:cs="Arial"/>
            <w:webHidden/>
          </w:rPr>
          <w:fldChar w:fldCharType="end"/>
        </w:r>
      </w:hyperlink>
    </w:p>
    <w:p w14:paraId="7F2D6409" w14:textId="77777777" w:rsidR="00E8617E" w:rsidRPr="00205C7B" w:rsidRDefault="00E8617E" w:rsidP="00205C7B">
      <w:pPr>
        <w:pStyle w:val="TableofFigures"/>
        <w:tabs>
          <w:tab w:val="right" w:leader="dot" w:pos="9060"/>
        </w:tabs>
        <w:spacing w:before="120" w:after="120" w:line="240" w:lineRule="auto"/>
        <w:rPr>
          <w:rStyle w:val="Hyperlink"/>
          <w:rFonts w:ascii="Arial" w:hAnsi="Arial" w:cs="Arial"/>
          <w:noProof/>
        </w:rPr>
      </w:pPr>
      <w:r w:rsidRPr="00BC513A">
        <w:rPr>
          <w:rStyle w:val="Hyperlink"/>
          <w:rFonts w:ascii="Arial" w:hAnsi="Arial" w:cs="Arial"/>
          <w:noProof/>
        </w:rPr>
        <w:fldChar w:fldCharType="end"/>
      </w:r>
    </w:p>
    <w:p w14:paraId="0B63A10A" w14:textId="77777777" w:rsidR="00E8617E" w:rsidRPr="00BC513A" w:rsidRDefault="00E8617E" w:rsidP="00E8617E">
      <w:pPr>
        <w:pStyle w:val="Heading1"/>
        <w:numPr>
          <w:ilvl w:val="0"/>
          <w:numId w:val="0"/>
        </w:numPr>
        <w:spacing w:after="480"/>
        <w:rPr>
          <w:lang w:val="bg-BG"/>
        </w:rPr>
      </w:pPr>
      <w:bookmarkStart w:id="11" w:name="_Toc442276755"/>
      <w:bookmarkStart w:id="12" w:name="_Toc442344493"/>
      <w:bookmarkStart w:id="13" w:name="_Toc446335686"/>
      <w:bookmarkStart w:id="14" w:name="_Toc504136121"/>
      <w:r w:rsidRPr="00BC513A">
        <w:rPr>
          <w:lang w:val="bg-BG"/>
        </w:rPr>
        <w:lastRenderedPageBreak/>
        <w:t>Списък на използваните съкращения</w:t>
      </w:r>
      <w:bookmarkEnd w:id="11"/>
      <w:bookmarkEnd w:id="12"/>
      <w:bookmarkEnd w:id="13"/>
      <w:bookmarkEnd w:id="14"/>
    </w:p>
    <w:tbl>
      <w:tblPr>
        <w:tblW w:w="0" w:type="auto"/>
        <w:tblLook w:val="04A0" w:firstRow="1" w:lastRow="0" w:firstColumn="1" w:lastColumn="0" w:noHBand="0" w:noVBand="1"/>
      </w:tblPr>
      <w:tblGrid>
        <w:gridCol w:w="1642"/>
        <w:gridCol w:w="7428"/>
      </w:tblGrid>
      <w:tr w:rsidR="00E8617E" w:rsidRPr="00BC513A" w14:paraId="602B8F31" w14:textId="77777777" w:rsidTr="00922731">
        <w:tc>
          <w:tcPr>
            <w:tcW w:w="1642" w:type="dxa"/>
          </w:tcPr>
          <w:p w14:paraId="0825A22D" w14:textId="77777777" w:rsidR="00E8617E" w:rsidRPr="00BC513A" w:rsidRDefault="00E8617E" w:rsidP="00922731">
            <w:pPr>
              <w:pStyle w:val="Header"/>
              <w:tabs>
                <w:tab w:val="clear" w:pos="4536"/>
                <w:tab w:val="clear" w:pos="9072"/>
              </w:tabs>
              <w:spacing w:before="60" w:after="60" w:line="276" w:lineRule="auto"/>
              <w:rPr>
                <w:rFonts w:cs="Arial"/>
                <w:color w:val="0070C0"/>
                <w:sz w:val="22"/>
                <w:lang w:val="bg-BG"/>
              </w:rPr>
            </w:pPr>
            <w:r w:rsidRPr="00BC513A">
              <w:rPr>
                <w:rFonts w:cs="Arial"/>
                <w:color w:val="0070C0"/>
                <w:sz w:val="22"/>
                <w:lang w:val="bg-BG"/>
              </w:rPr>
              <w:t>БВП</w:t>
            </w:r>
          </w:p>
        </w:tc>
        <w:tc>
          <w:tcPr>
            <w:tcW w:w="7428" w:type="dxa"/>
          </w:tcPr>
          <w:p w14:paraId="26CB4BE6" w14:textId="77777777" w:rsidR="00E8617E" w:rsidRPr="00BC513A" w:rsidRDefault="00E8617E" w:rsidP="00922731">
            <w:pPr>
              <w:spacing w:before="60" w:after="60"/>
              <w:rPr>
                <w:rFonts w:ascii="Arial" w:hAnsi="Arial" w:cs="Arial"/>
              </w:rPr>
            </w:pPr>
            <w:r w:rsidRPr="00BC513A">
              <w:rPr>
                <w:rFonts w:ascii="Arial" w:hAnsi="Arial" w:cs="Arial"/>
              </w:rPr>
              <w:t>Брутен вътрешен продукт</w:t>
            </w:r>
          </w:p>
        </w:tc>
      </w:tr>
      <w:tr w:rsidR="00E8617E" w:rsidRPr="00BC513A" w14:paraId="4A4FF255" w14:textId="77777777" w:rsidTr="00922731">
        <w:tc>
          <w:tcPr>
            <w:tcW w:w="1642" w:type="dxa"/>
          </w:tcPr>
          <w:p w14:paraId="02214670" w14:textId="77777777" w:rsidR="00E8617E" w:rsidRPr="00BC513A" w:rsidRDefault="00E8617E" w:rsidP="00922731">
            <w:pPr>
              <w:pStyle w:val="Header"/>
              <w:tabs>
                <w:tab w:val="clear" w:pos="4536"/>
                <w:tab w:val="clear" w:pos="9072"/>
              </w:tabs>
              <w:spacing w:before="60" w:after="60" w:line="276" w:lineRule="auto"/>
              <w:rPr>
                <w:rFonts w:cs="Arial"/>
                <w:color w:val="0070C0"/>
                <w:sz w:val="22"/>
                <w:lang w:val="bg-BG"/>
              </w:rPr>
            </w:pPr>
            <w:r w:rsidRPr="00BC513A">
              <w:rPr>
                <w:rFonts w:cs="Arial"/>
                <w:color w:val="0070C0"/>
                <w:sz w:val="22"/>
                <w:lang w:val="bg-BG"/>
              </w:rPr>
              <w:t>БДС</w:t>
            </w:r>
          </w:p>
        </w:tc>
        <w:tc>
          <w:tcPr>
            <w:tcW w:w="7428" w:type="dxa"/>
          </w:tcPr>
          <w:p w14:paraId="5197DEEC" w14:textId="77777777" w:rsidR="00E8617E" w:rsidRPr="00BC513A" w:rsidRDefault="00E8617E" w:rsidP="00922731">
            <w:pPr>
              <w:spacing w:before="60" w:after="60"/>
              <w:rPr>
                <w:rFonts w:ascii="Arial" w:hAnsi="Arial" w:cs="Arial"/>
              </w:rPr>
            </w:pPr>
            <w:r w:rsidRPr="00BC513A">
              <w:rPr>
                <w:rFonts w:ascii="Arial" w:hAnsi="Arial" w:cs="Arial"/>
              </w:rPr>
              <w:t>Брутна добавена стойност</w:t>
            </w:r>
          </w:p>
        </w:tc>
      </w:tr>
      <w:tr w:rsidR="00E8617E" w:rsidRPr="00BC513A" w14:paraId="03042C26" w14:textId="77777777" w:rsidTr="00922731">
        <w:tc>
          <w:tcPr>
            <w:tcW w:w="1642" w:type="dxa"/>
            <w:vAlign w:val="center"/>
          </w:tcPr>
          <w:p w14:paraId="78107540" w14:textId="77777777" w:rsidR="00E8617E" w:rsidRPr="00BC513A" w:rsidRDefault="00E8617E" w:rsidP="00922731">
            <w:pPr>
              <w:pStyle w:val="Header"/>
              <w:tabs>
                <w:tab w:val="clear" w:pos="4536"/>
                <w:tab w:val="clear" w:pos="9072"/>
              </w:tabs>
              <w:spacing w:before="60" w:after="60" w:line="276" w:lineRule="auto"/>
              <w:rPr>
                <w:rFonts w:cs="Arial"/>
                <w:color w:val="0070C0"/>
                <w:sz w:val="22"/>
                <w:lang w:val="bg-BG"/>
              </w:rPr>
            </w:pPr>
            <w:r w:rsidRPr="00BC513A">
              <w:rPr>
                <w:rFonts w:cs="Arial"/>
                <w:color w:val="0070C0"/>
                <w:sz w:val="22"/>
                <w:lang w:val="bg-BG"/>
              </w:rPr>
              <w:t>ВЕИ</w:t>
            </w:r>
          </w:p>
        </w:tc>
        <w:tc>
          <w:tcPr>
            <w:tcW w:w="7428" w:type="dxa"/>
          </w:tcPr>
          <w:p w14:paraId="2A6F184E" w14:textId="77777777" w:rsidR="00E8617E" w:rsidRPr="00BC513A" w:rsidRDefault="00E8617E" w:rsidP="00922731">
            <w:pPr>
              <w:spacing w:before="60" w:after="60"/>
              <w:rPr>
                <w:rFonts w:ascii="Arial" w:hAnsi="Arial" w:cs="Arial"/>
              </w:rPr>
            </w:pPr>
            <w:r w:rsidRPr="00BC513A">
              <w:rPr>
                <w:rFonts w:ascii="Arial" w:hAnsi="Arial" w:cs="Arial"/>
              </w:rPr>
              <w:t>Възобновяеми енергийни източници</w:t>
            </w:r>
          </w:p>
        </w:tc>
      </w:tr>
      <w:tr w:rsidR="00E8617E" w:rsidRPr="00BC513A" w14:paraId="1668A9DF" w14:textId="77777777" w:rsidTr="00922731">
        <w:tc>
          <w:tcPr>
            <w:tcW w:w="1642" w:type="dxa"/>
            <w:vAlign w:val="center"/>
          </w:tcPr>
          <w:p w14:paraId="521E700A" w14:textId="77777777" w:rsidR="00E8617E" w:rsidRPr="00BC513A" w:rsidRDefault="00E8617E" w:rsidP="00922731">
            <w:pPr>
              <w:pStyle w:val="Header"/>
              <w:tabs>
                <w:tab w:val="clear" w:pos="4536"/>
                <w:tab w:val="clear" w:pos="9072"/>
              </w:tabs>
              <w:spacing w:before="60" w:after="60" w:line="276" w:lineRule="auto"/>
              <w:rPr>
                <w:rFonts w:cs="Arial"/>
                <w:color w:val="0070C0"/>
                <w:sz w:val="22"/>
                <w:lang w:val="bg-BG"/>
              </w:rPr>
            </w:pPr>
            <w:r w:rsidRPr="00BC513A">
              <w:rPr>
                <w:rFonts w:cs="Arial"/>
                <w:color w:val="0070C0"/>
                <w:sz w:val="22"/>
                <w:lang w:val="bg-BG"/>
              </w:rPr>
              <w:t>ВПС</w:t>
            </w:r>
          </w:p>
        </w:tc>
        <w:tc>
          <w:tcPr>
            <w:tcW w:w="7428" w:type="dxa"/>
          </w:tcPr>
          <w:p w14:paraId="74BD1F5A" w14:textId="77777777" w:rsidR="00E8617E" w:rsidRPr="00BC513A" w:rsidRDefault="00E8617E" w:rsidP="00922731">
            <w:pPr>
              <w:spacing w:before="60" w:after="60"/>
              <w:rPr>
                <w:rFonts w:ascii="Arial" w:hAnsi="Arial" w:cs="Arial"/>
              </w:rPr>
            </w:pPr>
            <w:r w:rsidRPr="00BC513A">
              <w:rPr>
                <w:rFonts w:ascii="Arial" w:hAnsi="Arial" w:cs="Arial"/>
              </w:rPr>
              <w:t>Висока природна стойност</w:t>
            </w:r>
          </w:p>
        </w:tc>
      </w:tr>
      <w:tr w:rsidR="00E8617E" w:rsidRPr="00BC513A" w14:paraId="3358F95F" w14:textId="77777777" w:rsidTr="00922731">
        <w:tc>
          <w:tcPr>
            <w:tcW w:w="1642" w:type="dxa"/>
          </w:tcPr>
          <w:p w14:paraId="48499253" w14:textId="77777777" w:rsidR="00E8617E" w:rsidRPr="00BC513A" w:rsidRDefault="00E8617E" w:rsidP="00922731">
            <w:pPr>
              <w:pStyle w:val="Header"/>
              <w:tabs>
                <w:tab w:val="clear" w:pos="4536"/>
                <w:tab w:val="clear" w:pos="9072"/>
              </w:tabs>
              <w:spacing w:before="60" w:after="60" w:line="276" w:lineRule="auto"/>
              <w:rPr>
                <w:rFonts w:cs="Arial"/>
                <w:color w:val="0070C0"/>
                <w:sz w:val="22"/>
                <w:lang w:val="bg-BG"/>
              </w:rPr>
            </w:pPr>
            <w:r w:rsidRPr="00BC513A">
              <w:rPr>
                <w:rFonts w:cs="Arial"/>
                <w:color w:val="0070C0"/>
                <w:sz w:val="22"/>
                <w:lang w:val="bg-BG"/>
              </w:rPr>
              <w:t>ГРЕ</w:t>
            </w:r>
          </w:p>
        </w:tc>
        <w:tc>
          <w:tcPr>
            <w:tcW w:w="7428" w:type="dxa"/>
          </w:tcPr>
          <w:p w14:paraId="497F4A7A" w14:textId="77777777" w:rsidR="00E8617E" w:rsidRPr="00BC513A" w:rsidRDefault="00E8617E" w:rsidP="00922731">
            <w:pPr>
              <w:spacing w:before="60" w:after="60"/>
              <w:rPr>
                <w:rFonts w:ascii="Arial" w:eastAsia="Times New Roman" w:hAnsi="Arial" w:cs="Times New Roman"/>
              </w:rPr>
            </w:pPr>
            <w:r w:rsidRPr="00BC513A">
              <w:rPr>
                <w:rFonts w:ascii="Arial" w:eastAsia="Times New Roman" w:hAnsi="Arial" w:cs="Times New Roman"/>
              </w:rPr>
              <w:t>Годишна работна единица</w:t>
            </w:r>
          </w:p>
        </w:tc>
      </w:tr>
      <w:tr w:rsidR="00E8617E" w:rsidRPr="00BC513A" w14:paraId="61083B47" w14:textId="77777777" w:rsidTr="00922731">
        <w:tc>
          <w:tcPr>
            <w:tcW w:w="1642" w:type="dxa"/>
          </w:tcPr>
          <w:p w14:paraId="77637D30" w14:textId="77777777" w:rsidR="00E8617E" w:rsidRPr="00BC513A" w:rsidRDefault="00E8617E" w:rsidP="00922731">
            <w:pPr>
              <w:pStyle w:val="Header"/>
              <w:tabs>
                <w:tab w:val="clear" w:pos="4536"/>
                <w:tab w:val="clear" w:pos="9072"/>
              </w:tabs>
              <w:spacing w:before="60" w:after="60" w:line="276" w:lineRule="auto"/>
              <w:rPr>
                <w:rFonts w:cs="Arial"/>
                <w:color w:val="0070C0"/>
                <w:sz w:val="22"/>
                <w:lang w:val="bg-BG"/>
              </w:rPr>
            </w:pPr>
            <w:r w:rsidRPr="00BC513A">
              <w:rPr>
                <w:rFonts w:cs="Arial"/>
                <w:color w:val="0070C0"/>
                <w:sz w:val="22"/>
                <w:lang w:val="bg-BG"/>
              </w:rPr>
              <w:t xml:space="preserve">ДФЗ </w:t>
            </w:r>
          </w:p>
        </w:tc>
        <w:tc>
          <w:tcPr>
            <w:tcW w:w="7428" w:type="dxa"/>
          </w:tcPr>
          <w:p w14:paraId="3EC685CF" w14:textId="77777777" w:rsidR="00E8617E" w:rsidRPr="00BC513A" w:rsidRDefault="00E8617E" w:rsidP="00922731">
            <w:pPr>
              <w:spacing w:before="60" w:after="60"/>
              <w:rPr>
                <w:rFonts w:ascii="Arial" w:hAnsi="Arial" w:cs="Arial"/>
              </w:rPr>
            </w:pPr>
            <w:r w:rsidRPr="00BC513A">
              <w:rPr>
                <w:rFonts w:ascii="Arial" w:eastAsia="Times New Roman" w:hAnsi="Arial" w:cs="Times New Roman"/>
              </w:rPr>
              <w:t xml:space="preserve">Държавен фонд "Земеделие" </w:t>
            </w:r>
          </w:p>
        </w:tc>
      </w:tr>
      <w:tr w:rsidR="00E8617E" w:rsidRPr="00BC513A" w14:paraId="1FD2FA36" w14:textId="77777777" w:rsidTr="00922731">
        <w:tc>
          <w:tcPr>
            <w:tcW w:w="1642" w:type="dxa"/>
          </w:tcPr>
          <w:p w14:paraId="13D6EDE9" w14:textId="77777777" w:rsidR="00E8617E" w:rsidRPr="00BC513A" w:rsidRDefault="00E8617E" w:rsidP="00922731">
            <w:pPr>
              <w:pStyle w:val="Header"/>
              <w:tabs>
                <w:tab w:val="clear" w:pos="4536"/>
                <w:tab w:val="clear" w:pos="9072"/>
              </w:tabs>
              <w:spacing w:before="60" w:after="60" w:line="276" w:lineRule="auto"/>
              <w:rPr>
                <w:rFonts w:cs="Arial"/>
                <w:color w:val="0070C0"/>
                <w:sz w:val="22"/>
                <w:lang w:val="bg-BG"/>
              </w:rPr>
            </w:pPr>
            <w:r w:rsidRPr="00BC513A">
              <w:rPr>
                <w:rFonts w:cs="Arial"/>
                <w:color w:val="0070C0"/>
                <w:sz w:val="22"/>
                <w:lang w:val="bg-BG"/>
              </w:rPr>
              <w:t>ЕПИВ</w:t>
            </w:r>
          </w:p>
        </w:tc>
        <w:tc>
          <w:tcPr>
            <w:tcW w:w="7428" w:type="dxa"/>
          </w:tcPr>
          <w:p w14:paraId="3771B253" w14:textId="77777777" w:rsidR="00E8617E" w:rsidRPr="00BC513A" w:rsidRDefault="00E8617E" w:rsidP="00922731">
            <w:pPr>
              <w:spacing w:before="60" w:after="60"/>
              <w:rPr>
                <w:rFonts w:ascii="Arial" w:hAnsi="Arial" w:cs="Arial"/>
              </w:rPr>
            </w:pPr>
            <w:r w:rsidRPr="00BC513A">
              <w:rPr>
                <w:rFonts w:ascii="Arial" w:eastAsia="Times New Roman" w:hAnsi="Arial" w:cs="Times New Roman"/>
              </w:rPr>
              <w:t>Европейския план за икономическо възстановяване</w:t>
            </w:r>
          </w:p>
        </w:tc>
      </w:tr>
      <w:tr w:rsidR="00E8617E" w:rsidRPr="00BC513A" w14:paraId="58027064" w14:textId="77777777" w:rsidTr="00922731">
        <w:tc>
          <w:tcPr>
            <w:tcW w:w="1642" w:type="dxa"/>
          </w:tcPr>
          <w:p w14:paraId="7BD5BE35" w14:textId="77777777" w:rsidR="00E8617E" w:rsidRPr="00BC513A" w:rsidRDefault="00E8617E" w:rsidP="00922731">
            <w:pPr>
              <w:pStyle w:val="Header"/>
              <w:tabs>
                <w:tab w:val="clear" w:pos="4536"/>
                <w:tab w:val="clear" w:pos="9072"/>
              </w:tabs>
              <w:spacing w:before="60" w:after="60" w:line="276" w:lineRule="auto"/>
              <w:rPr>
                <w:rFonts w:cs="Arial"/>
                <w:color w:val="0070C0"/>
                <w:sz w:val="22"/>
                <w:lang w:val="bg-BG"/>
              </w:rPr>
            </w:pPr>
            <w:r w:rsidRPr="00BC513A">
              <w:rPr>
                <w:rFonts w:cs="Arial"/>
                <w:color w:val="0070C0"/>
                <w:sz w:val="22"/>
                <w:lang w:val="bg-BG"/>
              </w:rPr>
              <w:t>ЕС</w:t>
            </w:r>
          </w:p>
        </w:tc>
        <w:tc>
          <w:tcPr>
            <w:tcW w:w="7428" w:type="dxa"/>
          </w:tcPr>
          <w:p w14:paraId="51EEFA3A" w14:textId="77777777" w:rsidR="00E8617E" w:rsidRPr="00BC513A" w:rsidRDefault="00E8617E" w:rsidP="00922731">
            <w:pPr>
              <w:spacing w:before="60" w:after="60"/>
              <w:rPr>
                <w:rFonts w:ascii="Arial" w:hAnsi="Arial" w:cs="Arial"/>
              </w:rPr>
            </w:pPr>
            <w:r w:rsidRPr="00BC513A">
              <w:rPr>
                <w:rFonts w:ascii="Arial" w:hAnsi="Arial" w:cs="Arial"/>
              </w:rPr>
              <w:t>Европейски съюз</w:t>
            </w:r>
          </w:p>
        </w:tc>
      </w:tr>
      <w:tr w:rsidR="00E8617E" w:rsidRPr="00BC513A" w14:paraId="405B88F2" w14:textId="77777777" w:rsidTr="00922731">
        <w:tc>
          <w:tcPr>
            <w:tcW w:w="1642" w:type="dxa"/>
          </w:tcPr>
          <w:p w14:paraId="709E86B0" w14:textId="7FDD95B8" w:rsidR="00E8617E" w:rsidRPr="00BC513A" w:rsidRDefault="00E8617E" w:rsidP="00922731">
            <w:pPr>
              <w:pStyle w:val="Header"/>
              <w:tabs>
                <w:tab w:val="clear" w:pos="4536"/>
                <w:tab w:val="clear" w:pos="9072"/>
              </w:tabs>
              <w:spacing w:before="60" w:after="60" w:line="276" w:lineRule="auto"/>
              <w:rPr>
                <w:rFonts w:cs="Arial"/>
                <w:color w:val="0070C0"/>
                <w:sz w:val="22"/>
                <w:lang w:val="bg-BG"/>
              </w:rPr>
            </w:pPr>
            <w:r w:rsidRPr="00BC513A">
              <w:rPr>
                <w:rFonts w:cs="Arial"/>
                <w:color w:val="0070C0"/>
                <w:sz w:val="22"/>
                <w:lang w:val="bg-BG"/>
              </w:rPr>
              <w:t>Е</w:t>
            </w:r>
            <w:r w:rsidR="00D8355A">
              <w:rPr>
                <w:rFonts w:cs="Arial"/>
                <w:color w:val="0070C0"/>
                <w:sz w:val="22"/>
                <w:lang w:val="bg-BG"/>
              </w:rPr>
              <w:t>З</w:t>
            </w:r>
            <w:r w:rsidRPr="00BC513A">
              <w:rPr>
                <w:rFonts w:cs="Arial"/>
                <w:color w:val="0070C0"/>
                <w:sz w:val="22"/>
                <w:lang w:val="bg-BG"/>
              </w:rPr>
              <w:t>ФРСР</w:t>
            </w:r>
          </w:p>
        </w:tc>
        <w:tc>
          <w:tcPr>
            <w:tcW w:w="7428" w:type="dxa"/>
          </w:tcPr>
          <w:p w14:paraId="0CA21064" w14:textId="72C5A80E" w:rsidR="00E8617E" w:rsidRPr="00BC513A" w:rsidRDefault="00E8617E" w:rsidP="00922731">
            <w:pPr>
              <w:spacing w:before="60" w:after="60"/>
              <w:rPr>
                <w:rFonts w:ascii="Arial" w:hAnsi="Arial" w:cs="Arial"/>
              </w:rPr>
            </w:pPr>
            <w:r w:rsidRPr="00BC513A">
              <w:rPr>
                <w:rFonts w:ascii="Arial" w:hAnsi="Arial" w:cs="Arial"/>
              </w:rPr>
              <w:t xml:space="preserve">Европейски </w:t>
            </w:r>
            <w:r w:rsidR="00D8355A">
              <w:rPr>
                <w:rFonts w:ascii="Arial" w:hAnsi="Arial" w:cs="Arial"/>
              </w:rPr>
              <w:t>земеделски</w:t>
            </w:r>
            <w:r w:rsidR="00D8355A" w:rsidRPr="00BC513A">
              <w:rPr>
                <w:rFonts w:ascii="Arial" w:hAnsi="Arial" w:cs="Arial"/>
              </w:rPr>
              <w:t xml:space="preserve"> </w:t>
            </w:r>
            <w:r w:rsidRPr="00BC513A">
              <w:rPr>
                <w:rFonts w:ascii="Arial" w:hAnsi="Arial" w:cs="Arial"/>
              </w:rPr>
              <w:t>фонд за развитие на селските райони</w:t>
            </w:r>
          </w:p>
        </w:tc>
      </w:tr>
      <w:tr w:rsidR="009F358B" w:rsidRPr="00BC513A" w14:paraId="24F7E35D" w14:textId="77777777" w:rsidTr="00922731">
        <w:tc>
          <w:tcPr>
            <w:tcW w:w="1642" w:type="dxa"/>
          </w:tcPr>
          <w:p w14:paraId="12A183BC" w14:textId="77777777" w:rsidR="009F358B" w:rsidRPr="00BC513A" w:rsidRDefault="009F358B" w:rsidP="00922731">
            <w:pPr>
              <w:spacing w:before="60" w:after="60"/>
              <w:rPr>
                <w:rFonts w:ascii="Arial" w:hAnsi="Arial" w:cs="Arial"/>
                <w:color w:val="0070C0"/>
              </w:rPr>
            </w:pPr>
            <w:r>
              <w:rPr>
                <w:rFonts w:ascii="Arial" w:hAnsi="Arial" w:cs="Arial"/>
                <w:color w:val="0070C0"/>
              </w:rPr>
              <w:t>ИКТ</w:t>
            </w:r>
          </w:p>
        </w:tc>
        <w:tc>
          <w:tcPr>
            <w:tcW w:w="7428" w:type="dxa"/>
          </w:tcPr>
          <w:p w14:paraId="59477247" w14:textId="77777777" w:rsidR="009F358B" w:rsidRPr="00BC513A" w:rsidRDefault="0057318C" w:rsidP="00922731">
            <w:pPr>
              <w:spacing w:before="60" w:after="60"/>
              <w:rPr>
                <w:rFonts w:ascii="Arial" w:hAnsi="Arial" w:cs="Arial"/>
              </w:rPr>
            </w:pPr>
            <w:r>
              <w:rPr>
                <w:rFonts w:ascii="Arial" w:eastAsia="Times New Roman" w:hAnsi="Arial" w:cs="Times New Roman"/>
                <w:lang w:eastAsia="nl-NL"/>
              </w:rPr>
              <w:t>И</w:t>
            </w:r>
            <w:r w:rsidRPr="00BC513A">
              <w:rPr>
                <w:rFonts w:ascii="Arial" w:eastAsia="Times New Roman" w:hAnsi="Arial" w:cs="Times New Roman"/>
                <w:lang w:eastAsia="nl-NL"/>
              </w:rPr>
              <w:t>нформационни и комуникационни технологии</w:t>
            </w:r>
          </w:p>
        </w:tc>
      </w:tr>
      <w:tr w:rsidR="00E8617E" w:rsidRPr="00BC513A" w14:paraId="02837636" w14:textId="77777777" w:rsidTr="00922731">
        <w:tc>
          <w:tcPr>
            <w:tcW w:w="1642" w:type="dxa"/>
          </w:tcPr>
          <w:p w14:paraId="54DA2AE5" w14:textId="77777777" w:rsidR="00E8617E" w:rsidRPr="00BC513A" w:rsidRDefault="00E8617E" w:rsidP="00922731">
            <w:pPr>
              <w:spacing w:before="60" w:after="60"/>
              <w:rPr>
                <w:rFonts w:ascii="Arial" w:hAnsi="Arial" w:cs="Arial"/>
                <w:color w:val="0070C0"/>
              </w:rPr>
            </w:pPr>
            <w:r w:rsidRPr="00BC513A">
              <w:rPr>
                <w:rFonts w:ascii="Arial" w:hAnsi="Arial" w:cs="Arial"/>
                <w:color w:val="0070C0"/>
              </w:rPr>
              <w:t>ИСАК</w:t>
            </w:r>
          </w:p>
        </w:tc>
        <w:tc>
          <w:tcPr>
            <w:tcW w:w="7428" w:type="dxa"/>
          </w:tcPr>
          <w:p w14:paraId="50AC714D" w14:textId="77777777" w:rsidR="00E8617E" w:rsidRPr="00BC513A" w:rsidRDefault="00E8617E" w:rsidP="00922731">
            <w:pPr>
              <w:spacing w:before="60" w:after="60"/>
              <w:rPr>
                <w:rFonts w:ascii="Arial" w:hAnsi="Arial" w:cs="Arial"/>
              </w:rPr>
            </w:pPr>
            <w:r w:rsidRPr="00BC513A">
              <w:rPr>
                <w:rFonts w:ascii="Arial" w:hAnsi="Arial" w:cs="Arial"/>
              </w:rPr>
              <w:t>Интегрираната система за администриране и контрол</w:t>
            </w:r>
          </w:p>
        </w:tc>
      </w:tr>
      <w:tr w:rsidR="00E8617E" w:rsidRPr="00BC513A" w14:paraId="3BC79542" w14:textId="77777777" w:rsidTr="00922731">
        <w:tc>
          <w:tcPr>
            <w:tcW w:w="1642" w:type="dxa"/>
          </w:tcPr>
          <w:p w14:paraId="085AA3ED" w14:textId="77777777" w:rsidR="00E8617E" w:rsidRPr="00BC513A" w:rsidRDefault="00E8617E" w:rsidP="00922731">
            <w:pPr>
              <w:spacing w:before="60" w:after="60"/>
              <w:rPr>
                <w:rFonts w:ascii="Arial" w:hAnsi="Arial" w:cs="Arial"/>
                <w:color w:val="0070C0"/>
              </w:rPr>
            </w:pPr>
            <w:r w:rsidRPr="00BC513A">
              <w:rPr>
                <w:rFonts w:ascii="Arial" w:hAnsi="Arial" w:cs="Arial"/>
                <w:color w:val="0070C0"/>
              </w:rPr>
              <w:t>КН</w:t>
            </w:r>
          </w:p>
        </w:tc>
        <w:tc>
          <w:tcPr>
            <w:tcW w:w="7428" w:type="dxa"/>
          </w:tcPr>
          <w:p w14:paraId="184F7852" w14:textId="77777777" w:rsidR="00E8617E" w:rsidRPr="00BC513A" w:rsidRDefault="00E8617E" w:rsidP="00922731">
            <w:pPr>
              <w:spacing w:before="60" w:after="60"/>
              <w:rPr>
                <w:rFonts w:ascii="Arial" w:hAnsi="Arial" w:cs="Arial"/>
              </w:rPr>
            </w:pPr>
            <w:r w:rsidRPr="00BC513A">
              <w:rPr>
                <w:rFonts w:ascii="Arial" w:hAnsi="Arial" w:cs="Arial"/>
              </w:rPr>
              <w:t>Комитет за наблюдение</w:t>
            </w:r>
          </w:p>
        </w:tc>
      </w:tr>
      <w:tr w:rsidR="00E8617E" w:rsidRPr="00BC513A" w14:paraId="621CF913" w14:textId="77777777" w:rsidTr="00922731">
        <w:tc>
          <w:tcPr>
            <w:tcW w:w="1642" w:type="dxa"/>
          </w:tcPr>
          <w:p w14:paraId="72B5C766" w14:textId="77777777" w:rsidR="00E8617E" w:rsidRPr="00BC513A" w:rsidRDefault="00E8617E" w:rsidP="00922731">
            <w:pPr>
              <w:spacing w:before="60" w:after="60"/>
              <w:rPr>
                <w:rFonts w:ascii="Arial" w:hAnsi="Arial" w:cs="Arial"/>
                <w:color w:val="0070C0"/>
              </w:rPr>
            </w:pPr>
            <w:r w:rsidRPr="00BC513A">
              <w:rPr>
                <w:rFonts w:ascii="Arial" w:hAnsi="Arial" w:cs="Arial"/>
                <w:color w:val="0070C0"/>
              </w:rPr>
              <w:t>МЗХГ</w:t>
            </w:r>
          </w:p>
        </w:tc>
        <w:tc>
          <w:tcPr>
            <w:tcW w:w="7428" w:type="dxa"/>
          </w:tcPr>
          <w:p w14:paraId="42AF820D" w14:textId="77777777" w:rsidR="00E8617E" w:rsidRPr="00BC513A" w:rsidRDefault="00E8617E" w:rsidP="00922731">
            <w:pPr>
              <w:spacing w:before="60" w:after="60"/>
              <w:rPr>
                <w:rFonts w:ascii="Arial" w:hAnsi="Arial" w:cs="Arial"/>
              </w:rPr>
            </w:pPr>
            <w:r w:rsidRPr="00BC513A">
              <w:rPr>
                <w:rFonts w:ascii="Arial" w:hAnsi="Arial" w:cs="Arial"/>
              </w:rPr>
              <w:t>Министерство на земеделието, храните и горите</w:t>
            </w:r>
          </w:p>
        </w:tc>
      </w:tr>
      <w:tr w:rsidR="00E8617E" w:rsidRPr="00BC513A" w14:paraId="44E677EA" w14:textId="77777777" w:rsidTr="00922731">
        <w:tc>
          <w:tcPr>
            <w:tcW w:w="1642" w:type="dxa"/>
          </w:tcPr>
          <w:p w14:paraId="0C8C2B44" w14:textId="77777777" w:rsidR="00E8617E" w:rsidRPr="00BC513A" w:rsidRDefault="00E8617E" w:rsidP="00922731">
            <w:pPr>
              <w:spacing w:before="60" w:after="60"/>
              <w:rPr>
                <w:rFonts w:ascii="Arial" w:hAnsi="Arial" w:cs="Arial"/>
                <w:color w:val="0070C0"/>
              </w:rPr>
            </w:pPr>
            <w:r w:rsidRPr="00BC513A">
              <w:rPr>
                <w:rFonts w:ascii="Arial" w:hAnsi="Arial" w:cs="Arial"/>
                <w:color w:val="0070C0"/>
              </w:rPr>
              <w:t>МИГ</w:t>
            </w:r>
          </w:p>
        </w:tc>
        <w:tc>
          <w:tcPr>
            <w:tcW w:w="7428" w:type="dxa"/>
          </w:tcPr>
          <w:p w14:paraId="78648F9D" w14:textId="77777777" w:rsidR="00E8617E" w:rsidRPr="00BC513A" w:rsidRDefault="00E8617E" w:rsidP="00922731">
            <w:pPr>
              <w:spacing w:before="60" w:after="60"/>
              <w:rPr>
                <w:rFonts w:ascii="Arial" w:hAnsi="Arial" w:cs="Arial"/>
              </w:rPr>
            </w:pPr>
            <w:r w:rsidRPr="00BC513A">
              <w:rPr>
                <w:rFonts w:ascii="Arial" w:eastAsia="Times New Roman" w:hAnsi="Arial" w:cs="Times New Roman"/>
              </w:rPr>
              <w:t>Местни инициативни групи</w:t>
            </w:r>
          </w:p>
        </w:tc>
      </w:tr>
      <w:tr w:rsidR="00E8617E" w:rsidRPr="00BC513A" w14:paraId="74369081" w14:textId="77777777" w:rsidTr="00922731">
        <w:tc>
          <w:tcPr>
            <w:tcW w:w="1642" w:type="dxa"/>
          </w:tcPr>
          <w:p w14:paraId="58932BD7" w14:textId="77777777" w:rsidR="00E8617E" w:rsidRPr="00BC513A" w:rsidRDefault="00E8617E" w:rsidP="00922731">
            <w:pPr>
              <w:spacing w:before="60" w:after="60"/>
              <w:rPr>
                <w:rFonts w:ascii="Arial" w:hAnsi="Arial" w:cs="Arial"/>
                <w:color w:val="0070C0"/>
              </w:rPr>
            </w:pPr>
            <w:r w:rsidRPr="00BC513A">
              <w:rPr>
                <w:rFonts w:ascii="Arial" w:hAnsi="Arial" w:cs="Arial"/>
                <w:color w:val="0070C0"/>
              </w:rPr>
              <w:t>НПО</w:t>
            </w:r>
          </w:p>
        </w:tc>
        <w:tc>
          <w:tcPr>
            <w:tcW w:w="7428" w:type="dxa"/>
          </w:tcPr>
          <w:p w14:paraId="2105BD29" w14:textId="77777777" w:rsidR="00E8617E" w:rsidRPr="00BC513A" w:rsidRDefault="00E8617E" w:rsidP="00922731">
            <w:pPr>
              <w:spacing w:before="60" w:after="60"/>
              <w:rPr>
                <w:rFonts w:ascii="Arial" w:hAnsi="Arial" w:cs="Arial"/>
              </w:rPr>
            </w:pPr>
            <w:r w:rsidRPr="00BC513A">
              <w:rPr>
                <w:rFonts w:ascii="Arial" w:hAnsi="Arial" w:cs="Arial"/>
              </w:rPr>
              <w:t>Неправителствена организация</w:t>
            </w:r>
          </w:p>
        </w:tc>
      </w:tr>
      <w:tr w:rsidR="00E8617E" w:rsidRPr="00BC513A" w14:paraId="5FD4437D" w14:textId="77777777" w:rsidTr="00922731">
        <w:tc>
          <w:tcPr>
            <w:tcW w:w="1642" w:type="dxa"/>
          </w:tcPr>
          <w:p w14:paraId="6C52910F" w14:textId="77777777" w:rsidR="00E8617E" w:rsidRPr="00BC513A" w:rsidRDefault="00E8617E" w:rsidP="00922731">
            <w:pPr>
              <w:spacing w:before="60" w:after="60"/>
              <w:rPr>
                <w:rFonts w:ascii="Arial" w:hAnsi="Arial" w:cs="Arial"/>
                <w:color w:val="0070C0"/>
              </w:rPr>
            </w:pPr>
            <w:r w:rsidRPr="00BC513A">
              <w:rPr>
                <w:rFonts w:ascii="Arial" w:hAnsi="Arial" w:cs="Arial"/>
                <w:color w:val="0070C0"/>
              </w:rPr>
              <w:t>НСМ</w:t>
            </w:r>
          </w:p>
        </w:tc>
        <w:tc>
          <w:tcPr>
            <w:tcW w:w="7428" w:type="dxa"/>
          </w:tcPr>
          <w:p w14:paraId="3693D161" w14:textId="77777777" w:rsidR="00E8617E" w:rsidRPr="00BC513A" w:rsidRDefault="00E8617E" w:rsidP="00922731">
            <w:pPr>
              <w:spacing w:before="60" w:after="60"/>
              <w:rPr>
                <w:rFonts w:ascii="Arial" w:hAnsi="Arial" w:cs="Arial"/>
              </w:rPr>
            </w:pPr>
            <w:r w:rsidRPr="00BC513A">
              <w:rPr>
                <w:rFonts w:ascii="Arial" w:hAnsi="Arial" w:cs="Arial"/>
              </w:rPr>
              <w:t>Национална селска мрежа</w:t>
            </w:r>
          </w:p>
        </w:tc>
      </w:tr>
      <w:tr w:rsidR="00E8617E" w:rsidRPr="00BC513A" w14:paraId="5A49CA00" w14:textId="77777777" w:rsidTr="00922731">
        <w:tc>
          <w:tcPr>
            <w:tcW w:w="1642" w:type="dxa"/>
          </w:tcPr>
          <w:p w14:paraId="6D2DF6A9" w14:textId="77777777" w:rsidR="00E8617E" w:rsidRPr="00BC513A" w:rsidRDefault="00E8617E" w:rsidP="00922731">
            <w:pPr>
              <w:spacing w:before="60" w:after="60"/>
              <w:rPr>
                <w:rFonts w:ascii="Arial" w:hAnsi="Arial" w:cs="Arial"/>
                <w:color w:val="0070C0"/>
              </w:rPr>
            </w:pPr>
            <w:r w:rsidRPr="00BC513A">
              <w:rPr>
                <w:rFonts w:ascii="Arial" w:hAnsi="Arial" w:cs="Arial"/>
                <w:color w:val="0070C0"/>
              </w:rPr>
              <w:t>НССЗ</w:t>
            </w:r>
          </w:p>
        </w:tc>
        <w:tc>
          <w:tcPr>
            <w:tcW w:w="7428" w:type="dxa"/>
          </w:tcPr>
          <w:p w14:paraId="175CB2F3" w14:textId="77777777" w:rsidR="00E8617E" w:rsidRPr="00BC513A" w:rsidRDefault="00E8617E" w:rsidP="00922731">
            <w:pPr>
              <w:spacing w:before="60" w:after="60"/>
              <w:rPr>
                <w:rFonts w:ascii="Arial" w:hAnsi="Arial" w:cs="Arial"/>
              </w:rPr>
            </w:pPr>
            <w:r w:rsidRPr="00BC513A">
              <w:rPr>
                <w:rFonts w:ascii="Arial" w:hAnsi="Arial" w:cs="Arial"/>
              </w:rPr>
              <w:t>Национална служба за съвети в земеделието</w:t>
            </w:r>
          </w:p>
        </w:tc>
      </w:tr>
      <w:tr w:rsidR="00E8617E" w:rsidRPr="00BC513A" w14:paraId="50B15074" w14:textId="77777777" w:rsidTr="00922731">
        <w:tc>
          <w:tcPr>
            <w:tcW w:w="1642" w:type="dxa"/>
          </w:tcPr>
          <w:p w14:paraId="5BD744E7" w14:textId="77777777" w:rsidR="00E8617E" w:rsidRPr="00BC513A" w:rsidRDefault="00E8617E" w:rsidP="00922731">
            <w:pPr>
              <w:spacing w:before="60" w:after="60"/>
              <w:rPr>
                <w:rFonts w:ascii="Arial" w:hAnsi="Arial" w:cs="Arial"/>
                <w:color w:val="0070C0"/>
              </w:rPr>
            </w:pPr>
            <w:r w:rsidRPr="00BC513A">
              <w:rPr>
                <w:rFonts w:ascii="Arial" w:hAnsi="Arial" w:cs="Arial"/>
                <w:color w:val="0070C0"/>
              </w:rPr>
              <w:t>ПРСР</w:t>
            </w:r>
          </w:p>
        </w:tc>
        <w:tc>
          <w:tcPr>
            <w:tcW w:w="7428" w:type="dxa"/>
          </w:tcPr>
          <w:p w14:paraId="6C7B4920" w14:textId="77777777" w:rsidR="00E8617E" w:rsidRPr="00BC513A" w:rsidRDefault="00E8617E" w:rsidP="00922731">
            <w:pPr>
              <w:spacing w:before="60" w:after="60"/>
              <w:rPr>
                <w:rFonts w:ascii="Arial" w:hAnsi="Arial" w:cs="Arial"/>
              </w:rPr>
            </w:pPr>
            <w:r w:rsidRPr="00BC513A">
              <w:rPr>
                <w:rFonts w:ascii="Arial" w:hAnsi="Arial" w:cs="Arial"/>
              </w:rPr>
              <w:t>Програма за развитие на селските райони</w:t>
            </w:r>
          </w:p>
        </w:tc>
      </w:tr>
      <w:tr w:rsidR="00E8617E" w:rsidRPr="00BC513A" w14:paraId="4B94B282" w14:textId="77777777" w:rsidTr="00922731">
        <w:tc>
          <w:tcPr>
            <w:tcW w:w="1642" w:type="dxa"/>
          </w:tcPr>
          <w:p w14:paraId="3D68477C" w14:textId="77777777" w:rsidR="00E8617E" w:rsidRPr="00BC513A" w:rsidRDefault="00E8617E" w:rsidP="00922731">
            <w:pPr>
              <w:spacing w:before="60" w:after="60"/>
              <w:rPr>
                <w:rFonts w:ascii="Arial" w:hAnsi="Arial" w:cs="Arial"/>
                <w:color w:val="0070C0"/>
                <w:szCs w:val="20"/>
              </w:rPr>
            </w:pPr>
            <w:r w:rsidRPr="00BC513A">
              <w:rPr>
                <w:rFonts w:ascii="Arial" w:hAnsi="Arial" w:cs="Arial"/>
                <w:color w:val="0070C0"/>
                <w:szCs w:val="20"/>
              </w:rPr>
              <w:t>РА</w:t>
            </w:r>
          </w:p>
        </w:tc>
        <w:tc>
          <w:tcPr>
            <w:tcW w:w="7428" w:type="dxa"/>
          </w:tcPr>
          <w:p w14:paraId="648B359D" w14:textId="77777777" w:rsidR="00E8617E" w:rsidRPr="00BC513A" w:rsidRDefault="00E8617E" w:rsidP="00922731">
            <w:pPr>
              <w:spacing w:before="60" w:after="60"/>
              <w:rPr>
                <w:rFonts w:ascii="Arial" w:hAnsi="Arial" w:cs="Arial"/>
                <w:szCs w:val="20"/>
              </w:rPr>
            </w:pPr>
            <w:r w:rsidRPr="00BC513A">
              <w:rPr>
                <w:rFonts w:ascii="Arial" w:hAnsi="Arial" w:cs="Arial"/>
                <w:szCs w:val="20"/>
              </w:rPr>
              <w:t>Разплащателна агенция</w:t>
            </w:r>
          </w:p>
        </w:tc>
      </w:tr>
      <w:tr w:rsidR="00E8617E" w:rsidRPr="00BC513A" w14:paraId="3658F1FD" w14:textId="77777777" w:rsidTr="00922731">
        <w:tc>
          <w:tcPr>
            <w:tcW w:w="1642" w:type="dxa"/>
          </w:tcPr>
          <w:p w14:paraId="22910357" w14:textId="77777777" w:rsidR="00E8617E" w:rsidRPr="00BC513A" w:rsidRDefault="00E8617E" w:rsidP="00922731">
            <w:pPr>
              <w:spacing w:before="60" w:after="60"/>
              <w:rPr>
                <w:rFonts w:ascii="Arial" w:hAnsi="Arial" w:cs="Arial"/>
                <w:color w:val="0070C0"/>
                <w:szCs w:val="20"/>
              </w:rPr>
            </w:pPr>
            <w:r w:rsidRPr="00BC513A">
              <w:rPr>
                <w:rFonts w:ascii="Arial" w:hAnsi="Arial" w:cs="Arial"/>
                <w:color w:val="0070C0"/>
                <w:szCs w:val="20"/>
              </w:rPr>
              <w:t>СМР</w:t>
            </w:r>
          </w:p>
        </w:tc>
        <w:tc>
          <w:tcPr>
            <w:tcW w:w="7428" w:type="dxa"/>
          </w:tcPr>
          <w:p w14:paraId="3039D97A" w14:textId="77777777" w:rsidR="00E8617E" w:rsidRPr="00BC513A" w:rsidRDefault="00E8617E" w:rsidP="00922731">
            <w:pPr>
              <w:spacing w:before="60" w:after="60"/>
              <w:rPr>
                <w:rFonts w:ascii="Arial" w:hAnsi="Arial" w:cs="Arial"/>
                <w:szCs w:val="20"/>
              </w:rPr>
            </w:pPr>
            <w:r w:rsidRPr="00BC513A">
              <w:rPr>
                <w:rFonts w:ascii="Arial" w:hAnsi="Arial" w:cs="Arial"/>
                <w:szCs w:val="20"/>
              </w:rPr>
              <w:t>Стратегия за местно развитие</w:t>
            </w:r>
          </w:p>
        </w:tc>
      </w:tr>
      <w:tr w:rsidR="00E8617E" w:rsidRPr="00BC513A" w14:paraId="263B7969" w14:textId="77777777" w:rsidTr="00922731">
        <w:tc>
          <w:tcPr>
            <w:tcW w:w="1642" w:type="dxa"/>
          </w:tcPr>
          <w:p w14:paraId="0D485A7E" w14:textId="77777777" w:rsidR="00E8617E" w:rsidRPr="00BC513A" w:rsidRDefault="00E8617E" w:rsidP="00922731">
            <w:pPr>
              <w:spacing w:before="60" w:after="60"/>
              <w:rPr>
                <w:rFonts w:ascii="Arial" w:hAnsi="Arial" w:cs="Arial"/>
                <w:color w:val="0070C0"/>
                <w:szCs w:val="20"/>
              </w:rPr>
            </w:pPr>
            <w:r w:rsidRPr="00BC513A">
              <w:rPr>
                <w:rFonts w:ascii="Arial" w:hAnsi="Arial" w:cs="Arial"/>
                <w:color w:val="0070C0"/>
                <w:szCs w:val="20"/>
              </w:rPr>
              <w:t>УО</w:t>
            </w:r>
          </w:p>
        </w:tc>
        <w:tc>
          <w:tcPr>
            <w:tcW w:w="7428" w:type="dxa"/>
          </w:tcPr>
          <w:p w14:paraId="2BC4569C" w14:textId="77777777" w:rsidR="00E8617E" w:rsidRPr="00BC513A" w:rsidRDefault="00E8617E" w:rsidP="00922731">
            <w:pPr>
              <w:spacing w:before="60" w:after="60"/>
              <w:rPr>
                <w:rFonts w:ascii="Arial" w:hAnsi="Arial" w:cs="Arial"/>
                <w:szCs w:val="20"/>
              </w:rPr>
            </w:pPr>
            <w:r w:rsidRPr="00BC513A">
              <w:rPr>
                <w:rFonts w:ascii="Arial" w:hAnsi="Arial" w:cs="Arial"/>
                <w:szCs w:val="20"/>
              </w:rPr>
              <w:t>Управляващ орган</w:t>
            </w:r>
          </w:p>
        </w:tc>
      </w:tr>
    </w:tbl>
    <w:p w14:paraId="52AD89B5" w14:textId="77777777" w:rsidR="00E8617E" w:rsidRPr="00BC513A" w:rsidRDefault="00E8617E" w:rsidP="00E8617E">
      <w:pPr>
        <w:pStyle w:val="Heading1"/>
        <w:numPr>
          <w:ilvl w:val="0"/>
          <w:numId w:val="0"/>
        </w:numPr>
        <w:spacing w:after="480"/>
        <w:rPr>
          <w:lang w:val="bg-BG"/>
        </w:rPr>
      </w:pPr>
      <w:bookmarkStart w:id="15" w:name="_Toc396916183"/>
      <w:bookmarkStart w:id="16" w:name="_Toc442276759"/>
      <w:bookmarkStart w:id="17" w:name="_Toc442344497"/>
      <w:bookmarkStart w:id="18" w:name="_Toc446335689"/>
      <w:bookmarkStart w:id="19" w:name="_Toc504136122"/>
      <w:r w:rsidRPr="00BC513A">
        <w:rPr>
          <w:lang w:val="bg-BG"/>
        </w:rPr>
        <w:lastRenderedPageBreak/>
        <w:t>Раздел I. Въведение</w:t>
      </w:r>
      <w:bookmarkEnd w:id="15"/>
      <w:bookmarkEnd w:id="16"/>
      <w:bookmarkEnd w:id="17"/>
      <w:bookmarkEnd w:id="18"/>
      <w:bookmarkEnd w:id="19"/>
    </w:p>
    <w:p w14:paraId="6688D96A"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Настоящият доклад представлява </w:t>
      </w:r>
      <w:r w:rsidRPr="00BC513A">
        <w:rPr>
          <w:b/>
          <w:sz w:val="22"/>
          <w:szCs w:val="22"/>
          <w:lang w:val="bg-BG"/>
        </w:rPr>
        <w:t>последваща (ex-post) оценка</w:t>
      </w:r>
      <w:r w:rsidRPr="00BC513A">
        <w:rPr>
          <w:sz w:val="22"/>
          <w:szCs w:val="22"/>
          <w:lang w:val="bg-BG"/>
        </w:rPr>
        <w:t xml:space="preserve"> на Програмата за развитие на селските райони (ПРСР) 2007-2013 г. </w:t>
      </w:r>
    </w:p>
    <w:p w14:paraId="2B09B098" w14:textId="77777777" w:rsidR="00E8617E" w:rsidRPr="00BC513A" w:rsidRDefault="00E8617E" w:rsidP="00E8617E">
      <w:pPr>
        <w:pStyle w:val="DefaultText"/>
        <w:spacing w:after="120" w:line="300" w:lineRule="atLeast"/>
        <w:ind w:firstLine="567"/>
        <w:rPr>
          <w:rFonts w:cs="Arial"/>
          <w:sz w:val="22"/>
          <w:szCs w:val="22"/>
          <w:lang w:val="bg-BG"/>
        </w:rPr>
      </w:pPr>
      <w:r w:rsidRPr="00BC513A">
        <w:rPr>
          <w:sz w:val="22"/>
          <w:szCs w:val="22"/>
          <w:lang w:val="bg-BG"/>
        </w:rPr>
        <w:t xml:space="preserve">Оценката е възложена от </w:t>
      </w:r>
      <w:r w:rsidRPr="00BC513A">
        <w:rPr>
          <w:b/>
          <w:sz w:val="22"/>
          <w:szCs w:val="22"/>
          <w:lang w:val="bg-BG"/>
        </w:rPr>
        <w:t>Министерство</w:t>
      </w:r>
      <w:r w:rsidR="008B02DF">
        <w:rPr>
          <w:b/>
          <w:sz w:val="22"/>
          <w:szCs w:val="22"/>
          <w:lang w:val="bg-BG"/>
        </w:rPr>
        <w:t>то</w:t>
      </w:r>
      <w:r w:rsidRPr="00BC513A">
        <w:rPr>
          <w:b/>
          <w:sz w:val="22"/>
          <w:szCs w:val="22"/>
          <w:lang w:val="bg-BG"/>
        </w:rPr>
        <w:t xml:space="preserve"> на земеделието, храните и горите</w:t>
      </w:r>
      <w:r w:rsidRPr="00BC513A">
        <w:rPr>
          <w:sz w:val="22"/>
          <w:szCs w:val="22"/>
          <w:lang w:val="bg-BG"/>
        </w:rPr>
        <w:t xml:space="preserve"> (МЗХГ), Дирекция „Развитие на селските райони“</w:t>
      </w:r>
      <w:r w:rsidR="008B02DF">
        <w:rPr>
          <w:sz w:val="22"/>
          <w:szCs w:val="22"/>
          <w:lang w:val="bg-BG"/>
        </w:rPr>
        <w:t>,</w:t>
      </w:r>
      <w:r w:rsidRPr="00BC513A">
        <w:rPr>
          <w:sz w:val="22"/>
          <w:szCs w:val="22"/>
          <w:lang w:val="bg-BG"/>
        </w:rPr>
        <w:t xml:space="preserve"> и е осъществена през ноември</w:t>
      </w:r>
      <w:r w:rsidR="00C5519D">
        <w:rPr>
          <w:sz w:val="22"/>
          <w:szCs w:val="22"/>
          <w:lang w:val="bg-BG"/>
        </w:rPr>
        <w:t xml:space="preserve"> 2017-януари</w:t>
      </w:r>
      <w:r w:rsidRPr="00BC513A">
        <w:rPr>
          <w:sz w:val="22"/>
          <w:szCs w:val="22"/>
          <w:lang w:val="bg-BG"/>
        </w:rPr>
        <w:t xml:space="preserve"> 201</w:t>
      </w:r>
      <w:r w:rsidR="00C5519D">
        <w:rPr>
          <w:sz w:val="22"/>
          <w:szCs w:val="22"/>
          <w:lang w:val="bg-BG"/>
        </w:rPr>
        <w:t>8</w:t>
      </w:r>
      <w:r w:rsidRPr="00BC513A">
        <w:rPr>
          <w:sz w:val="22"/>
          <w:szCs w:val="22"/>
          <w:lang w:val="bg-BG"/>
        </w:rPr>
        <w:t xml:space="preserve"> г. от екип от експерти на обединение </w:t>
      </w:r>
      <w:r w:rsidRPr="00BC513A">
        <w:rPr>
          <w:rFonts w:cs="Arial"/>
          <w:b/>
          <w:sz w:val="22"/>
          <w:szCs w:val="22"/>
          <w:lang w:val="bg-BG"/>
        </w:rPr>
        <w:t>„ИНСАЙТ ПРСР”</w:t>
      </w:r>
      <w:r w:rsidRPr="00BC513A">
        <w:rPr>
          <w:rFonts w:cs="Arial"/>
          <w:sz w:val="22"/>
          <w:szCs w:val="22"/>
          <w:lang w:val="bg-BG"/>
        </w:rPr>
        <w:t xml:space="preserve"> със съдружници Екорис Саут Ийст Юроп ЕООД и БИМ Консултинг ООД</w:t>
      </w:r>
      <w:r w:rsidRPr="00BC513A">
        <w:rPr>
          <w:rFonts w:cs="Arial"/>
          <w:bCs/>
          <w:sz w:val="22"/>
          <w:szCs w:val="22"/>
          <w:lang w:val="bg-BG"/>
        </w:rPr>
        <w:t>.</w:t>
      </w:r>
    </w:p>
    <w:p w14:paraId="2DC87F14" w14:textId="77777777" w:rsidR="00E8617E" w:rsidRPr="00BC513A" w:rsidRDefault="00E8617E" w:rsidP="00E8617E">
      <w:pPr>
        <w:pStyle w:val="Heading2"/>
        <w:numPr>
          <w:ilvl w:val="1"/>
          <w:numId w:val="4"/>
        </w:numPr>
        <w:spacing w:after="240"/>
        <w:ind w:left="1077" w:hanging="357"/>
      </w:pPr>
      <w:bookmarkStart w:id="20" w:name="_Toc504136123"/>
      <w:r w:rsidRPr="00BC513A">
        <w:t>Цел на доклада</w:t>
      </w:r>
      <w:bookmarkEnd w:id="20"/>
    </w:p>
    <w:p w14:paraId="7FBFDD28" w14:textId="135D6069"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Оценката има за цел да отговори на изискванията чл. 84 и чл.</w:t>
      </w:r>
      <w:r w:rsidR="008B02DF">
        <w:rPr>
          <w:sz w:val="22"/>
          <w:szCs w:val="22"/>
          <w:lang w:val="bg-BG"/>
        </w:rPr>
        <w:t xml:space="preserve"> </w:t>
      </w:r>
      <w:r w:rsidRPr="00BC513A">
        <w:rPr>
          <w:sz w:val="22"/>
          <w:szCs w:val="22"/>
          <w:lang w:val="bg-BG"/>
        </w:rPr>
        <w:t xml:space="preserve">86 на Регламент (ЕО) </w:t>
      </w:r>
      <w:r w:rsidR="00D57404">
        <w:rPr>
          <w:sz w:val="22"/>
          <w:szCs w:val="22"/>
          <w:lang w:val="bg-BG"/>
        </w:rPr>
        <w:t xml:space="preserve">№ </w:t>
      </w:r>
      <w:r w:rsidRPr="00BC513A">
        <w:rPr>
          <w:sz w:val="22"/>
          <w:szCs w:val="22"/>
          <w:lang w:val="bg-BG"/>
        </w:rPr>
        <w:t xml:space="preserve">1698/2005, съгласно които програмите на развитие на селските райони са предмет на предварителна, междинна и </w:t>
      </w:r>
      <w:r w:rsidRPr="00BC513A">
        <w:rPr>
          <w:b/>
          <w:sz w:val="22"/>
          <w:szCs w:val="22"/>
          <w:lang w:val="bg-BG"/>
        </w:rPr>
        <w:t>последваща оценка</w:t>
      </w:r>
      <w:r w:rsidRPr="00BC513A">
        <w:rPr>
          <w:sz w:val="22"/>
          <w:szCs w:val="22"/>
          <w:lang w:val="bg-BG"/>
        </w:rPr>
        <w:t xml:space="preserve">. Последващата оценка се осъществява </w:t>
      </w:r>
      <w:r w:rsidRPr="00BC513A">
        <w:rPr>
          <w:b/>
          <w:sz w:val="22"/>
          <w:szCs w:val="22"/>
          <w:lang w:val="bg-BG"/>
        </w:rPr>
        <w:t>след приключване на програмата</w:t>
      </w:r>
      <w:r w:rsidRPr="00BC513A">
        <w:rPr>
          <w:sz w:val="22"/>
          <w:szCs w:val="22"/>
          <w:lang w:val="bg-BG"/>
        </w:rPr>
        <w:t xml:space="preserve"> и основната й цел е да оцени степента на използване на ресурсите, ефикасността и ефективността от програмирането по Европейския </w:t>
      </w:r>
      <w:r w:rsidR="008B02DF">
        <w:rPr>
          <w:sz w:val="22"/>
          <w:szCs w:val="22"/>
          <w:lang w:val="bg-BG"/>
        </w:rPr>
        <w:t>земеделски</w:t>
      </w:r>
      <w:r w:rsidR="008B02DF" w:rsidRPr="00BC513A">
        <w:rPr>
          <w:sz w:val="22"/>
          <w:szCs w:val="22"/>
          <w:lang w:val="bg-BG"/>
        </w:rPr>
        <w:t xml:space="preserve"> </w:t>
      </w:r>
      <w:r w:rsidRPr="00BC513A">
        <w:rPr>
          <w:sz w:val="22"/>
          <w:szCs w:val="22"/>
          <w:lang w:val="bg-BG"/>
        </w:rPr>
        <w:t>фонд за развитие на селските райони (ЕСФРСР), социално-икономическото въздействие и въздействието върху приоритетите на Общността.</w:t>
      </w:r>
    </w:p>
    <w:p w14:paraId="7E943EE3" w14:textId="77777777" w:rsidR="00E8617E" w:rsidRPr="00BC513A" w:rsidRDefault="00E8617E" w:rsidP="00E8617E">
      <w:pPr>
        <w:pStyle w:val="Heading2"/>
        <w:numPr>
          <w:ilvl w:val="1"/>
          <w:numId w:val="4"/>
        </w:numPr>
        <w:spacing w:after="240"/>
        <w:ind w:left="1077" w:hanging="357"/>
      </w:pPr>
      <w:bookmarkStart w:id="21" w:name="_Toc504136124"/>
      <w:r w:rsidRPr="00BC513A">
        <w:t>Структура на доклада</w:t>
      </w:r>
      <w:bookmarkEnd w:id="21"/>
    </w:p>
    <w:p w14:paraId="183D984F"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Докладът е структуриран в </w:t>
      </w:r>
      <w:r w:rsidRPr="00BC513A">
        <w:rPr>
          <w:b/>
          <w:sz w:val="22"/>
          <w:szCs w:val="22"/>
          <w:lang w:val="bg-BG"/>
        </w:rPr>
        <w:t>6 раздела</w:t>
      </w:r>
      <w:r w:rsidRPr="00BC513A">
        <w:rPr>
          <w:sz w:val="22"/>
          <w:szCs w:val="22"/>
          <w:lang w:val="bg-BG"/>
        </w:rPr>
        <w:t xml:space="preserve"> съгласно техническата спецификация на Възложителя и съгласно Ръководство за последваща оценка на програмите за развитие на селските райони (2007-2013 г.), изготвено от Европейската мрежа за оценка на развитието на селските райони</w:t>
      </w:r>
      <w:r w:rsidRPr="00BC513A">
        <w:rPr>
          <w:rStyle w:val="FootnoteReference"/>
          <w:sz w:val="22"/>
          <w:szCs w:val="22"/>
          <w:lang w:val="bg-BG"/>
        </w:rPr>
        <w:footnoteReference w:id="3"/>
      </w:r>
      <w:r w:rsidRPr="00BC513A">
        <w:rPr>
          <w:sz w:val="22"/>
          <w:szCs w:val="22"/>
          <w:lang w:val="bg-BG"/>
        </w:rPr>
        <w:t>.</w:t>
      </w:r>
    </w:p>
    <w:p w14:paraId="0E08BC55" w14:textId="77777777" w:rsidR="00E8617E" w:rsidRPr="00BC513A" w:rsidRDefault="00E8617E" w:rsidP="00E8617E">
      <w:pPr>
        <w:pStyle w:val="DefaultText"/>
        <w:spacing w:after="120" w:line="300" w:lineRule="atLeast"/>
        <w:ind w:firstLine="709"/>
        <w:rPr>
          <w:b/>
          <w:sz w:val="22"/>
          <w:szCs w:val="22"/>
          <w:lang w:val="bg-BG"/>
        </w:rPr>
      </w:pPr>
      <w:r w:rsidRPr="00BC513A">
        <w:rPr>
          <w:sz w:val="22"/>
          <w:szCs w:val="22"/>
          <w:lang w:val="bg-BG"/>
        </w:rPr>
        <w:t>Въвеждаща информация относно предмета на доклада и неговото съдържание</w:t>
      </w:r>
      <w:r w:rsidRPr="00BC513A">
        <w:rPr>
          <w:b/>
          <w:sz w:val="22"/>
          <w:szCs w:val="22"/>
          <w:lang w:val="bg-BG"/>
        </w:rPr>
        <w:t xml:space="preserve"> </w:t>
      </w:r>
      <w:r w:rsidRPr="004D4F2D">
        <w:rPr>
          <w:sz w:val="22"/>
          <w:szCs w:val="22"/>
          <w:lang w:val="bg-BG"/>
        </w:rPr>
        <w:t>е представена в</w:t>
      </w:r>
      <w:r w:rsidRPr="00BC513A">
        <w:rPr>
          <w:b/>
          <w:sz w:val="22"/>
          <w:szCs w:val="22"/>
          <w:lang w:val="bg-BG"/>
        </w:rPr>
        <w:t xml:space="preserve"> Раздел I. </w:t>
      </w:r>
    </w:p>
    <w:p w14:paraId="002DD41C"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В </w:t>
      </w:r>
      <w:r w:rsidRPr="00BC513A">
        <w:rPr>
          <w:b/>
          <w:sz w:val="22"/>
          <w:szCs w:val="22"/>
          <w:lang w:val="bg-BG"/>
        </w:rPr>
        <w:t>Раздел II</w:t>
      </w:r>
      <w:r w:rsidRPr="00BC513A">
        <w:rPr>
          <w:sz w:val="22"/>
          <w:szCs w:val="22"/>
          <w:lang w:val="bg-BG"/>
        </w:rPr>
        <w:t xml:space="preserve"> е представена ПРСР 2007-2013, целите и обхвата на оценката и предходни оценки на Програмата. </w:t>
      </w:r>
    </w:p>
    <w:p w14:paraId="792EF7BB" w14:textId="77777777" w:rsidR="00E8617E" w:rsidRPr="00BC513A" w:rsidRDefault="00E8617E" w:rsidP="00E8617E">
      <w:pPr>
        <w:pStyle w:val="DefaultText"/>
        <w:spacing w:after="120" w:line="300" w:lineRule="atLeast"/>
        <w:ind w:firstLine="709"/>
        <w:rPr>
          <w:sz w:val="22"/>
          <w:szCs w:val="22"/>
          <w:lang w:val="bg-BG"/>
        </w:rPr>
      </w:pPr>
      <w:r w:rsidRPr="00BC513A">
        <w:rPr>
          <w:b/>
          <w:sz w:val="22"/>
          <w:szCs w:val="22"/>
          <w:lang w:val="bg-BG"/>
        </w:rPr>
        <w:t>Раздел III</w:t>
      </w:r>
      <w:r w:rsidRPr="00BC513A">
        <w:rPr>
          <w:sz w:val="22"/>
          <w:szCs w:val="22"/>
          <w:lang w:val="bg-BG"/>
        </w:rPr>
        <w:t xml:space="preserve"> представя методологическия подход за осъществяване на оценката и неговите ограничения. </w:t>
      </w:r>
    </w:p>
    <w:p w14:paraId="19E2BEAB" w14:textId="77777777" w:rsidR="00E8617E" w:rsidRPr="00BC513A" w:rsidRDefault="00E8617E" w:rsidP="00E8617E">
      <w:pPr>
        <w:pStyle w:val="DefaultText"/>
        <w:spacing w:after="120" w:line="300" w:lineRule="atLeast"/>
        <w:ind w:firstLine="709"/>
        <w:rPr>
          <w:sz w:val="22"/>
          <w:szCs w:val="22"/>
          <w:lang w:val="bg-BG"/>
        </w:rPr>
      </w:pPr>
      <w:r w:rsidRPr="00BC513A">
        <w:rPr>
          <w:b/>
          <w:sz w:val="22"/>
          <w:szCs w:val="22"/>
          <w:lang w:val="bg-BG"/>
        </w:rPr>
        <w:t>Раздел IV</w:t>
      </w:r>
      <w:r w:rsidRPr="00BC513A">
        <w:rPr>
          <w:sz w:val="22"/>
          <w:szCs w:val="22"/>
          <w:lang w:val="bg-BG"/>
        </w:rPr>
        <w:t xml:space="preserve"> коментира институционалната рамка за осъществяване на Програмата, мерките и приоритетите, логиката на интервенция и финансовото изпълнение. </w:t>
      </w:r>
    </w:p>
    <w:p w14:paraId="2AB9600B" w14:textId="77777777" w:rsidR="00E8617E" w:rsidRPr="00BC513A" w:rsidRDefault="00E8617E" w:rsidP="00E8617E">
      <w:pPr>
        <w:pStyle w:val="DefaultText"/>
        <w:spacing w:after="120" w:line="300" w:lineRule="atLeast"/>
        <w:ind w:firstLine="709"/>
        <w:rPr>
          <w:sz w:val="22"/>
          <w:szCs w:val="22"/>
          <w:lang w:val="bg-BG"/>
        </w:rPr>
      </w:pPr>
      <w:r w:rsidRPr="00BC513A">
        <w:rPr>
          <w:b/>
          <w:sz w:val="22"/>
          <w:szCs w:val="22"/>
          <w:lang w:val="bg-BG"/>
        </w:rPr>
        <w:t>Раздел V</w:t>
      </w:r>
      <w:r w:rsidRPr="00BC513A">
        <w:rPr>
          <w:sz w:val="22"/>
          <w:szCs w:val="22"/>
          <w:lang w:val="bg-BG"/>
        </w:rPr>
        <w:t xml:space="preserve"> дава отговори на оценителните въпроси и анализира постигането на целевите стойности на индикаторите.</w:t>
      </w:r>
    </w:p>
    <w:p w14:paraId="24A64922"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В </w:t>
      </w:r>
      <w:r w:rsidRPr="00BC513A">
        <w:rPr>
          <w:b/>
          <w:sz w:val="22"/>
          <w:szCs w:val="22"/>
          <w:lang w:val="bg-BG"/>
        </w:rPr>
        <w:t>Раздел VI</w:t>
      </w:r>
      <w:r w:rsidRPr="00BC513A">
        <w:rPr>
          <w:sz w:val="22"/>
          <w:szCs w:val="22"/>
          <w:lang w:val="bg-BG"/>
        </w:rPr>
        <w:t xml:space="preserve"> са представени заключенията и препоръките от оценката. </w:t>
      </w:r>
    </w:p>
    <w:p w14:paraId="1A506D9A" w14:textId="77777777" w:rsidR="00E8617E" w:rsidRPr="00BC513A" w:rsidRDefault="00E8617E" w:rsidP="00E8617E">
      <w:pPr>
        <w:pStyle w:val="Heading1"/>
        <w:numPr>
          <w:ilvl w:val="0"/>
          <w:numId w:val="0"/>
        </w:numPr>
        <w:spacing w:after="480"/>
        <w:rPr>
          <w:lang w:val="bg-BG"/>
        </w:rPr>
      </w:pPr>
      <w:bookmarkStart w:id="22" w:name="_Toc504136125"/>
      <w:bookmarkStart w:id="23" w:name="_Toc442276768"/>
      <w:bookmarkStart w:id="24" w:name="_Toc442344506"/>
      <w:bookmarkStart w:id="25" w:name="_Toc446335694"/>
      <w:r w:rsidRPr="00BC513A">
        <w:rPr>
          <w:lang w:val="bg-BG"/>
        </w:rPr>
        <w:lastRenderedPageBreak/>
        <w:t>Раздел II.</w:t>
      </w:r>
      <w:r w:rsidRPr="00BC513A">
        <w:rPr>
          <w:lang w:val="bg-BG"/>
        </w:rPr>
        <w:tab/>
        <w:t>Контекст на оценката</w:t>
      </w:r>
      <w:bookmarkEnd w:id="22"/>
      <w:r w:rsidRPr="00BC513A">
        <w:rPr>
          <w:lang w:val="bg-BG"/>
        </w:rPr>
        <w:t xml:space="preserve"> </w:t>
      </w:r>
      <w:bookmarkEnd w:id="23"/>
      <w:bookmarkEnd w:id="24"/>
      <w:bookmarkEnd w:id="25"/>
    </w:p>
    <w:p w14:paraId="1A897507" w14:textId="77777777" w:rsidR="00E8617E" w:rsidRPr="00BC513A" w:rsidRDefault="00E8617E" w:rsidP="00E8617E">
      <w:pPr>
        <w:pStyle w:val="Heading2"/>
        <w:numPr>
          <w:ilvl w:val="1"/>
          <w:numId w:val="3"/>
        </w:numPr>
      </w:pPr>
      <w:bookmarkStart w:id="26" w:name="_Toc504136126"/>
      <w:r w:rsidRPr="00BC513A">
        <w:t>Програма за развитие на селските райони 2007-2013 г.</w:t>
      </w:r>
      <w:bookmarkEnd w:id="26"/>
    </w:p>
    <w:p w14:paraId="265B5D58" w14:textId="59D72886"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ПРСР 2007-2013 е официално одобрена на 19 февруари 2008 г. с решение на Европейската </w:t>
      </w:r>
      <w:r w:rsidR="008B02DF">
        <w:rPr>
          <w:sz w:val="22"/>
          <w:szCs w:val="22"/>
          <w:lang w:val="bg-BG"/>
        </w:rPr>
        <w:t>к</w:t>
      </w:r>
      <w:r w:rsidRPr="00BC513A">
        <w:rPr>
          <w:sz w:val="22"/>
          <w:szCs w:val="22"/>
          <w:lang w:val="bg-BG"/>
        </w:rPr>
        <w:t xml:space="preserve">омисия № 755. Първоначално планираният общ бюджет на Програмата за периода 2007-2013 г. възлиза на 3,242 млрд. евро, от които 2,609 млрд. евро от ЕС и 0,632 млрд. евро от държавния бюджет. </w:t>
      </w:r>
    </w:p>
    <w:p w14:paraId="1A18BD9B"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Допълнителният пакет средства от Европейския план за икономическо възстановяване (ЕПИВ) за България е одобрен с Решение на Комисията C (2010) 1223 от 4 март 2010 г. Средствата възлизат на 36,83 млн. евро.</w:t>
      </w:r>
    </w:p>
    <w:p w14:paraId="422EA578" w14:textId="14CD2780"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След последните промени</w:t>
      </w:r>
      <w:r w:rsidR="0064430B" w:rsidRPr="009D54CA">
        <w:rPr>
          <w:sz w:val="22"/>
          <w:szCs w:val="22"/>
          <w:lang w:val="bg-BG"/>
        </w:rPr>
        <w:t>,</w:t>
      </w:r>
      <w:r w:rsidRPr="00BC513A">
        <w:rPr>
          <w:sz w:val="22"/>
          <w:szCs w:val="22"/>
          <w:lang w:val="bg-BG"/>
        </w:rPr>
        <w:t xml:space="preserve"> общият бюджет на Програмата е намален на 3,102</w:t>
      </w:r>
      <w:r w:rsidR="00CD7112">
        <w:rPr>
          <w:sz w:val="22"/>
          <w:szCs w:val="22"/>
          <w:lang w:val="bg-BG"/>
        </w:rPr>
        <w:t> </w:t>
      </w:r>
      <w:r w:rsidRPr="00BC513A">
        <w:rPr>
          <w:sz w:val="22"/>
          <w:szCs w:val="22"/>
          <w:lang w:val="bg-BG"/>
        </w:rPr>
        <w:t>милиарда евро, от които 2,5 милиарда са финансиране от ЕС, а останалото е от държавния бюджет. Финансовият ресурс  по програмата е разпределен по приоритетни оси, които от своя страна са разделени по конкретни мерки за финансово подпомагане на отделните кандидати.</w:t>
      </w:r>
    </w:p>
    <w:p w14:paraId="128ED559" w14:textId="10AE3C4D"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ПРСР 2007-2013 е насочена към развитие на конкурентно и иновативно земеделие</w:t>
      </w:r>
      <w:r w:rsidR="00AA2EEF" w:rsidRPr="009D54CA">
        <w:rPr>
          <w:sz w:val="22"/>
          <w:szCs w:val="22"/>
          <w:lang w:val="bg-BG"/>
        </w:rPr>
        <w:t>,</w:t>
      </w:r>
      <w:r w:rsidRPr="00BC513A">
        <w:rPr>
          <w:sz w:val="22"/>
          <w:szCs w:val="22"/>
          <w:lang w:val="bg-BG"/>
        </w:rPr>
        <w:t xml:space="preserve"> горско стопанство и хранително</w:t>
      </w:r>
      <w:r w:rsidR="008B02DF">
        <w:rPr>
          <w:sz w:val="22"/>
          <w:szCs w:val="22"/>
          <w:lang w:val="bg-BG"/>
        </w:rPr>
        <w:t>-</w:t>
      </w:r>
      <w:r w:rsidRPr="00BC513A">
        <w:rPr>
          <w:sz w:val="22"/>
          <w:szCs w:val="22"/>
          <w:lang w:val="bg-BG"/>
        </w:rPr>
        <w:t>вкусовата промишленост, опазване на природните ресурси и околната среда, както и към насърчаване на възможностите за заетост и по-добро качество на живот в селските райони. Това са и целите, заложени в Националния стратегически план за развитие на селските райони.</w:t>
      </w:r>
    </w:p>
    <w:p w14:paraId="0C9B6844"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Идентифицираните проблеми, посочени в SWOT анализа на Програмата, които са адресирани с предложените мерки</w:t>
      </w:r>
      <w:r w:rsidR="00AA2EEF" w:rsidRPr="009D54CA">
        <w:rPr>
          <w:sz w:val="22"/>
          <w:szCs w:val="22"/>
          <w:lang w:val="bg-BG"/>
        </w:rPr>
        <w:t>,</w:t>
      </w:r>
      <w:r w:rsidRPr="00BC513A">
        <w:rPr>
          <w:sz w:val="22"/>
          <w:szCs w:val="22"/>
          <w:lang w:val="bg-BG"/>
        </w:rPr>
        <w:t xml:space="preserve"> са следните:</w:t>
      </w:r>
    </w:p>
    <w:tbl>
      <w:tblPr>
        <w:tblW w:w="0" w:type="auto"/>
        <w:tblLook w:val="04A0" w:firstRow="1" w:lastRow="0" w:firstColumn="1" w:lastColumn="0" w:noHBand="0" w:noVBand="1"/>
      </w:tblPr>
      <w:tblGrid>
        <w:gridCol w:w="2251"/>
        <w:gridCol w:w="7035"/>
      </w:tblGrid>
      <w:tr w:rsidR="00E8617E" w:rsidRPr="00BC513A" w14:paraId="0FCD2C1F" w14:textId="77777777" w:rsidTr="00922731">
        <w:tc>
          <w:tcPr>
            <w:tcW w:w="9060" w:type="dxa"/>
            <w:gridSpan w:val="2"/>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4B083" w:themeFill="accent2" w:themeFillTint="99"/>
          </w:tcPr>
          <w:p w14:paraId="40FB9D45" w14:textId="2FAF92E9" w:rsidR="00E8617E" w:rsidRPr="00BC513A" w:rsidRDefault="00E8617E" w:rsidP="008B02DF">
            <w:pPr>
              <w:pStyle w:val="DefaultText"/>
              <w:spacing w:after="120" w:line="300" w:lineRule="atLeast"/>
              <w:rPr>
                <w:sz w:val="22"/>
                <w:szCs w:val="22"/>
                <w:lang w:val="bg-BG"/>
              </w:rPr>
            </w:pPr>
            <w:r w:rsidRPr="00BC513A">
              <w:rPr>
                <w:b/>
                <w:i/>
                <w:sz w:val="22"/>
                <w:szCs w:val="22"/>
                <w:lang w:val="bg-BG"/>
              </w:rPr>
              <w:t>По отношение на постигане на конкурентно и иновативно земеделие, горско стопанство и хранително</w:t>
            </w:r>
            <w:r w:rsidR="008B02DF">
              <w:rPr>
                <w:b/>
                <w:i/>
                <w:sz w:val="22"/>
                <w:szCs w:val="22"/>
                <w:lang w:val="bg-BG"/>
              </w:rPr>
              <w:t>-</w:t>
            </w:r>
            <w:r w:rsidRPr="00BC513A">
              <w:rPr>
                <w:b/>
                <w:i/>
                <w:sz w:val="22"/>
                <w:szCs w:val="22"/>
                <w:lang w:val="bg-BG"/>
              </w:rPr>
              <w:t>вкусовата промишленост</w:t>
            </w:r>
          </w:p>
        </w:tc>
      </w:tr>
      <w:tr w:rsidR="00E8617E" w:rsidRPr="00BC513A" w14:paraId="3DDDA47A" w14:textId="77777777" w:rsidTr="00922731">
        <w:tc>
          <w:tcPr>
            <w:tcW w:w="1555"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BE4D5" w:themeFill="accent2" w:themeFillTint="33"/>
            <w:vAlign w:val="center"/>
          </w:tcPr>
          <w:p w14:paraId="4D2262C0" w14:textId="77777777" w:rsidR="00E8617E" w:rsidRPr="00BC513A" w:rsidRDefault="00E8617E" w:rsidP="00922731">
            <w:pPr>
              <w:pStyle w:val="DefaultText"/>
              <w:spacing w:after="120" w:line="300" w:lineRule="atLeast"/>
              <w:jc w:val="left"/>
              <w:rPr>
                <w:sz w:val="20"/>
                <w:szCs w:val="20"/>
                <w:lang w:val="bg-BG"/>
              </w:rPr>
            </w:pPr>
            <w:r w:rsidRPr="00BC513A">
              <w:rPr>
                <w:sz w:val="20"/>
                <w:szCs w:val="20"/>
                <w:lang w:val="bg-BG"/>
              </w:rPr>
              <w:t>Неефективно производство и маркетинг на земеделски и горски продукти.</w:t>
            </w:r>
          </w:p>
        </w:tc>
        <w:tc>
          <w:tcPr>
            <w:tcW w:w="7505"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EF6F0"/>
          </w:tcPr>
          <w:p w14:paraId="3B333026" w14:textId="7DA3C69D"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Поляризирана структура на стопанствата в земеделието с огромен дял полупазарни стопанства или стопанства, произвеждащи за собствена консумация;</w:t>
            </w:r>
          </w:p>
          <w:p w14:paraId="35CAF7D3"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Ниска производителност в земеделието и хранително-вкусовата промишленост;</w:t>
            </w:r>
          </w:p>
          <w:p w14:paraId="46922135"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Амортизирано оборудване и морално остарели технологии;</w:t>
            </w:r>
          </w:p>
          <w:p w14:paraId="6F10DA00"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Част от предприятията и продуктите не отговарят на новите стандарти и изискванията на европейското законодателство;</w:t>
            </w:r>
          </w:p>
          <w:p w14:paraId="7488137B"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Слаба интеграция на хранителните вериги и липса на сътрудничество между производителите;</w:t>
            </w:r>
          </w:p>
          <w:p w14:paraId="23603BAA"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Висок дял на непреработени или полу-преработени продукти с ниска добавена стойност в износа на храни.</w:t>
            </w:r>
          </w:p>
        </w:tc>
      </w:tr>
      <w:tr w:rsidR="00E8617E" w:rsidRPr="00BC513A" w14:paraId="6ABC6A24" w14:textId="77777777" w:rsidTr="00922731">
        <w:tc>
          <w:tcPr>
            <w:tcW w:w="1555"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BE4D5" w:themeFill="accent2" w:themeFillTint="33"/>
            <w:vAlign w:val="center"/>
          </w:tcPr>
          <w:p w14:paraId="7AFBAD3D" w14:textId="77777777" w:rsidR="00E8617E" w:rsidRPr="00BC513A" w:rsidRDefault="00E8617E" w:rsidP="00922731">
            <w:pPr>
              <w:pStyle w:val="DefaultText"/>
              <w:spacing w:after="120" w:line="300" w:lineRule="atLeast"/>
              <w:jc w:val="left"/>
              <w:rPr>
                <w:sz w:val="20"/>
                <w:szCs w:val="20"/>
                <w:lang w:val="bg-BG"/>
              </w:rPr>
            </w:pPr>
            <w:r w:rsidRPr="00BC513A">
              <w:rPr>
                <w:sz w:val="20"/>
                <w:szCs w:val="20"/>
                <w:lang w:val="bg-BG"/>
              </w:rPr>
              <w:t>Липса на финансиране</w:t>
            </w:r>
          </w:p>
        </w:tc>
        <w:tc>
          <w:tcPr>
            <w:tcW w:w="7505"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EF6F0"/>
          </w:tcPr>
          <w:p w14:paraId="243203F5"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Недостиг на собствен капитал и труден достъп до кредити за дребните стопани в земеделието и горското стопанство;</w:t>
            </w:r>
          </w:p>
          <w:p w14:paraId="2DCE9F27"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 xml:space="preserve">Голям дял млади гори, чиято поддръжка изисква високи разходи; </w:t>
            </w:r>
            <w:r w:rsidRPr="00BC513A">
              <w:rPr>
                <w:sz w:val="20"/>
                <w:szCs w:val="20"/>
                <w:lang w:val="bg-BG"/>
              </w:rPr>
              <w:lastRenderedPageBreak/>
              <w:t>значителен дял стари издънкови гори.</w:t>
            </w:r>
          </w:p>
        </w:tc>
      </w:tr>
      <w:tr w:rsidR="00E8617E" w:rsidRPr="00BC513A" w14:paraId="2769A6D4" w14:textId="77777777" w:rsidTr="00922731">
        <w:tc>
          <w:tcPr>
            <w:tcW w:w="1555"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BE4D5" w:themeFill="accent2" w:themeFillTint="33"/>
            <w:vAlign w:val="center"/>
          </w:tcPr>
          <w:p w14:paraId="5940D226" w14:textId="77777777" w:rsidR="00E8617E" w:rsidRPr="00BC513A" w:rsidRDefault="00E8617E" w:rsidP="00922731">
            <w:pPr>
              <w:pStyle w:val="DefaultText"/>
              <w:spacing w:after="120" w:line="300" w:lineRule="atLeast"/>
              <w:jc w:val="left"/>
              <w:rPr>
                <w:sz w:val="20"/>
                <w:szCs w:val="20"/>
                <w:lang w:val="bg-BG"/>
              </w:rPr>
            </w:pPr>
            <w:r w:rsidRPr="00BC513A">
              <w:rPr>
                <w:sz w:val="20"/>
                <w:szCs w:val="20"/>
                <w:lang w:val="bg-BG"/>
              </w:rPr>
              <w:lastRenderedPageBreak/>
              <w:t>Нискоквалифицирана и застаряваща работна сила</w:t>
            </w:r>
          </w:p>
        </w:tc>
        <w:tc>
          <w:tcPr>
            <w:tcW w:w="7505"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EF6F0"/>
          </w:tcPr>
          <w:p w14:paraId="26CAEB4D"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Застаряваща работна сила в земеделието и горското стопанство;</w:t>
            </w:r>
          </w:p>
          <w:p w14:paraId="51B1A73D"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Ниско образователно и квалификационно равнище, недостатъчни управленски умения на работната сила в земеделието и частните горовладелци;</w:t>
            </w:r>
          </w:p>
        </w:tc>
      </w:tr>
      <w:tr w:rsidR="00E8617E" w:rsidRPr="00BC513A" w14:paraId="305DE200" w14:textId="77777777" w:rsidTr="00922731">
        <w:tc>
          <w:tcPr>
            <w:tcW w:w="1555"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BE4D5" w:themeFill="accent2" w:themeFillTint="33"/>
            <w:vAlign w:val="center"/>
          </w:tcPr>
          <w:p w14:paraId="1B31DA6D" w14:textId="77777777" w:rsidR="00E8617E" w:rsidRPr="00BC513A" w:rsidRDefault="00E8617E" w:rsidP="00922731">
            <w:pPr>
              <w:pStyle w:val="DefaultText"/>
              <w:spacing w:after="120" w:line="300" w:lineRule="atLeast"/>
              <w:jc w:val="left"/>
              <w:rPr>
                <w:sz w:val="20"/>
                <w:szCs w:val="20"/>
                <w:lang w:val="bg-BG"/>
              </w:rPr>
            </w:pPr>
            <w:r w:rsidRPr="00BC513A">
              <w:rPr>
                <w:sz w:val="20"/>
                <w:szCs w:val="20"/>
                <w:lang w:val="bg-BG"/>
              </w:rPr>
              <w:t>Липса на иновации</w:t>
            </w:r>
          </w:p>
        </w:tc>
        <w:tc>
          <w:tcPr>
            <w:tcW w:w="7505" w:type="dxa"/>
            <w:tc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tcBorders>
            <w:shd w:val="clear" w:color="auto" w:fill="FEF6F0"/>
          </w:tcPr>
          <w:p w14:paraId="62953F0B"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Не добре развита система за професионално обучение в земеделието, хранително-вкусовата промишленост и горското стопанство и недостатъчен обхват на консултантските услуги;</w:t>
            </w:r>
          </w:p>
          <w:p w14:paraId="12A072B9"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Слаба интеграция на научноизследователските звена и бавно навлизане на иновациите в земеделието и хранително вкусовата промишленост</w:t>
            </w:r>
          </w:p>
        </w:tc>
      </w:tr>
      <w:tr w:rsidR="00E8617E" w:rsidRPr="00BC513A" w14:paraId="3A1AC4C4" w14:textId="77777777" w:rsidTr="00922731">
        <w:tc>
          <w:tcPr>
            <w:tcW w:w="9060" w:type="dxa"/>
            <w:gridSpan w:val="2"/>
            <w:tcBorders>
              <w:top w:val="single" w:sz="4" w:space="0" w:color="C45911" w:themeColor="accent2" w:themeShade="BF"/>
              <w:left w:val="single" w:sz="4" w:space="0" w:color="0070C0"/>
              <w:bottom w:val="single" w:sz="4" w:space="0" w:color="0070C0"/>
              <w:right w:val="single" w:sz="4" w:space="0" w:color="0070C0"/>
            </w:tcBorders>
            <w:shd w:val="clear" w:color="auto" w:fill="BDD6EE" w:themeFill="accent1" w:themeFillTint="66"/>
          </w:tcPr>
          <w:p w14:paraId="1CB3D5B8" w14:textId="77777777" w:rsidR="00E8617E" w:rsidRPr="00BC513A" w:rsidRDefault="00E8617E" w:rsidP="00922731">
            <w:pPr>
              <w:pStyle w:val="DefaultText"/>
              <w:spacing w:after="120" w:line="300" w:lineRule="atLeast"/>
              <w:rPr>
                <w:b/>
                <w:i/>
                <w:sz w:val="22"/>
                <w:szCs w:val="22"/>
                <w:lang w:val="bg-BG"/>
              </w:rPr>
            </w:pPr>
            <w:r w:rsidRPr="00BC513A">
              <w:rPr>
                <w:b/>
                <w:i/>
                <w:sz w:val="22"/>
                <w:szCs w:val="22"/>
                <w:lang w:val="bg-BG"/>
              </w:rPr>
              <w:t>По отношение на развитие на екологосъобразно селско стопанство</w:t>
            </w:r>
          </w:p>
        </w:tc>
      </w:tr>
      <w:tr w:rsidR="00E8617E" w:rsidRPr="00BC513A" w14:paraId="5DD2AC0F" w14:textId="77777777" w:rsidTr="00922731">
        <w:tc>
          <w:tcPr>
            <w:tcW w:w="1555" w:type="dxa"/>
            <w:tcBorders>
              <w:top w:val="single" w:sz="4" w:space="0" w:color="0070C0"/>
              <w:left w:val="single" w:sz="4" w:space="0" w:color="0070C0"/>
              <w:bottom w:val="single" w:sz="4" w:space="0" w:color="0070C0"/>
            </w:tcBorders>
            <w:shd w:val="clear" w:color="auto" w:fill="DEEAF6" w:themeFill="accent1" w:themeFillTint="33"/>
            <w:vAlign w:val="center"/>
          </w:tcPr>
          <w:p w14:paraId="2FFB73A3" w14:textId="77777777" w:rsidR="00E8617E" w:rsidRPr="00BC513A" w:rsidRDefault="00E8617E" w:rsidP="00922731">
            <w:pPr>
              <w:pStyle w:val="DefaultText"/>
              <w:spacing w:after="120" w:line="300" w:lineRule="atLeast"/>
              <w:jc w:val="left"/>
              <w:rPr>
                <w:sz w:val="20"/>
                <w:szCs w:val="20"/>
                <w:lang w:val="bg-BG"/>
              </w:rPr>
            </w:pPr>
            <w:r w:rsidRPr="00BC513A">
              <w:rPr>
                <w:sz w:val="20"/>
                <w:szCs w:val="20"/>
                <w:lang w:val="bg-BG"/>
              </w:rPr>
              <w:t>Унищожаване на природни ресурси или неефективно използване</w:t>
            </w:r>
          </w:p>
        </w:tc>
        <w:tc>
          <w:tcPr>
            <w:tcW w:w="7505" w:type="dxa"/>
            <w:tcBorders>
              <w:top w:val="single" w:sz="4" w:space="0" w:color="0070C0"/>
              <w:bottom w:val="single" w:sz="4" w:space="0" w:color="0070C0"/>
              <w:right w:val="single" w:sz="4" w:space="0" w:color="0070C0"/>
            </w:tcBorders>
            <w:shd w:val="clear" w:color="auto" w:fill="F6F9FC"/>
          </w:tcPr>
          <w:p w14:paraId="5C900549"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Унищожение на ценни полу-естествени местообитания посредством дрениране, разораване, строителна дейност и използване на синтетични торове и химикали;</w:t>
            </w:r>
          </w:p>
          <w:p w14:paraId="1C27AFE4"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Неподходящо използване на почвите и водите: замърсявания, нарушен воден баланс и т.н;</w:t>
            </w:r>
          </w:p>
          <w:p w14:paraId="399386A9"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Устойчива тенденция към деградация на почвената структура в обработваемите земи;</w:t>
            </w:r>
            <w:r w:rsidRPr="00BC513A">
              <w:rPr>
                <w:sz w:val="22"/>
                <w:szCs w:val="22"/>
                <w:lang w:val="bg-BG"/>
              </w:rPr>
              <w:t xml:space="preserve"> </w:t>
            </w:r>
          </w:p>
          <w:p w14:paraId="6BA1CA26"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 xml:space="preserve">Недостатъчна осведоменост на поземлените собственици относно природната стойност на земята и устойчивото земеползване; </w:t>
            </w:r>
          </w:p>
          <w:p w14:paraId="38D4FBF5"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Неефективно използване на природните ресурси, включително свръх експлоатиране.</w:t>
            </w:r>
          </w:p>
        </w:tc>
      </w:tr>
      <w:tr w:rsidR="00E8617E" w:rsidRPr="00BC513A" w14:paraId="2981055D" w14:textId="77777777" w:rsidTr="00922731">
        <w:tc>
          <w:tcPr>
            <w:tcW w:w="1555" w:type="dxa"/>
            <w:tcBorders>
              <w:top w:val="single" w:sz="4" w:space="0" w:color="0070C0"/>
              <w:left w:val="single" w:sz="4" w:space="0" w:color="0070C0"/>
              <w:bottom w:val="single" w:sz="4" w:space="0" w:color="385623" w:themeColor="accent6" w:themeShade="80"/>
            </w:tcBorders>
            <w:shd w:val="clear" w:color="auto" w:fill="DEEAF6" w:themeFill="accent1" w:themeFillTint="33"/>
            <w:vAlign w:val="center"/>
          </w:tcPr>
          <w:p w14:paraId="761FB548" w14:textId="77777777" w:rsidR="00E8617E" w:rsidRPr="00BC513A" w:rsidRDefault="00E8617E" w:rsidP="00922731">
            <w:pPr>
              <w:pStyle w:val="DefaultText"/>
              <w:spacing w:after="120" w:line="300" w:lineRule="atLeast"/>
              <w:jc w:val="left"/>
              <w:rPr>
                <w:sz w:val="20"/>
                <w:szCs w:val="20"/>
                <w:lang w:val="bg-BG"/>
              </w:rPr>
            </w:pPr>
            <w:r w:rsidRPr="00BC513A">
              <w:rPr>
                <w:sz w:val="20"/>
                <w:szCs w:val="20"/>
                <w:lang w:val="bg-BG"/>
              </w:rPr>
              <w:t>Недостатъчни превантивни мерки</w:t>
            </w:r>
          </w:p>
        </w:tc>
        <w:tc>
          <w:tcPr>
            <w:tcW w:w="7505" w:type="dxa"/>
            <w:tcBorders>
              <w:top w:val="single" w:sz="4" w:space="0" w:color="0070C0"/>
              <w:bottom w:val="single" w:sz="4" w:space="0" w:color="385623" w:themeColor="accent6" w:themeShade="80"/>
              <w:right w:val="single" w:sz="4" w:space="0" w:color="0070C0"/>
            </w:tcBorders>
            <w:shd w:val="clear" w:color="auto" w:fill="F6F9FC"/>
          </w:tcPr>
          <w:p w14:paraId="397A7255" w14:textId="77777777" w:rsidR="00E8617E" w:rsidRPr="00BC513A" w:rsidRDefault="00E8617E" w:rsidP="00922731">
            <w:pPr>
              <w:pStyle w:val="DefaultText"/>
              <w:numPr>
                <w:ilvl w:val="0"/>
                <w:numId w:val="25"/>
              </w:numPr>
              <w:spacing w:after="120" w:line="300" w:lineRule="atLeast"/>
              <w:ind w:left="177" w:hanging="142"/>
              <w:rPr>
                <w:sz w:val="20"/>
                <w:szCs w:val="20"/>
                <w:lang w:val="bg-BG"/>
              </w:rPr>
            </w:pPr>
            <w:r w:rsidRPr="00BC513A">
              <w:rPr>
                <w:sz w:val="20"/>
                <w:szCs w:val="20"/>
                <w:lang w:val="bg-BG"/>
              </w:rPr>
              <w:t>Висок риск от увреждане на горите от природни бедствия</w:t>
            </w:r>
          </w:p>
        </w:tc>
      </w:tr>
      <w:tr w:rsidR="00E8617E" w:rsidRPr="00BC513A" w14:paraId="7FFB9A8F" w14:textId="77777777" w:rsidTr="00922731">
        <w:tc>
          <w:tcPr>
            <w:tcW w:w="9060" w:type="dxa"/>
            <w:gridSpan w:val="2"/>
            <w:tcBorders>
              <w:top w:val="single" w:sz="4" w:space="0" w:color="385623" w:themeColor="accent6" w:themeShade="80"/>
              <w:left w:val="single" w:sz="4" w:space="0" w:color="00B050"/>
              <w:bottom w:val="single" w:sz="4" w:space="0" w:color="00B050"/>
              <w:right w:val="single" w:sz="4" w:space="0" w:color="00B050"/>
            </w:tcBorders>
            <w:shd w:val="clear" w:color="auto" w:fill="C5E0B3" w:themeFill="accent6" w:themeFillTint="66"/>
          </w:tcPr>
          <w:p w14:paraId="55B79C7F" w14:textId="77777777" w:rsidR="00E8617E" w:rsidRPr="00BC513A" w:rsidRDefault="00E8617E" w:rsidP="00922731">
            <w:pPr>
              <w:pStyle w:val="DefaultText"/>
              <w:spacing w:after="120" w:line="300" w:lineRule="atLeast"/>
              <w:rPr>
                <w:b/>
                <w:i/>
                <w:sz w:val="22"/>
                <w:szCs w:val="22"/>
                <w:lang w:val="bg-BG"/>
              </w:rPr>
            </w:pPr>
            <w:r w:rsidRPr="00BC513A">
              <w:rPr>
                <w:b/>
                <w:i/>
                <w:sz w:val="22"/>
                <w:szCs w:val="22"/>
                <w:lang w:val="bg-BG"/>
              </w:rPr>
              <w:t>По отношение на качеството на живот в селските райони</w:t>
            </w:r>
          </w:p>
        </w:tc>
      </w:tr>
      <w:tr w:rsidR="00E8617E" w:rsidRPr="00BC513A" w14:paraId="5FCD1E8C" w14:textId="77777777" w:rsidTr="00922731">
        <w:tc>
          <w:tcPr>
            <w:tcW w:w="1555" w:type="dxa"/>
            <w:tcBorders>
              <w:top w:val="single" w:sz="4" w:space="0" w:color="00B050"/>
              <w:left w:val="single" w:sz="4" w:space="0" w:color="00B050"/>
              <w:bottom w:val="single" w:sz="4" w:space="0" w:color="00B050"/>
            </w:tcBorders>
            <w:shd w:val="clear" w:color="auto" w:fill="E2EFD9" w:themeFill="accent6" w:themeFillTint="33"/>
            <w:vAlign w:val="center"/>
          </w:tcPr>
          <w:p w14:paraId="72656BC3" w14:textId="77777777" w:rsidR="00E8617E" w:rsidRPr="00BC513A" w:rsidRDefault="00E8617E" w:rsidP="00922731">
            <w:pPr>
              <w:pStyle w:val="DefaultText"/>
              <w:spacing w:after="120" w:line="300" w:lineRule="atLeast"/>
              <w:jc w:val="left"/>
              <w:rPr>
                <w:sz w:val="20"/>
                <w:szCs w:val="20"/>
                <w:lang w:val="bg-BG"/>
              </w:rPr>
            </w:pPr>
            <w:r w:rsidRPr="00BC513A">
              <w:rPr>
                <w:sz w:val="20"/>
                <w:szCs w:val="20"/>
                <w:lang w:val="bg-BG"/>
              </w:rPr>
              <w:t>Обезлюдяване, бедност и социална изключеност</w:t>
            </w:r>
          </w:p>
        </w:tc>
        <w:tc>
          <w:tcPr>
            <w:tcW w:w="7505" w:type="dxa"/>
            <w:tcBorders>
              <w:top w:val="single" w:sz="4" w:space="0" w:color="00B050"/>
              <w:bottom w:val="single" w:sz="4" w:space="0" w:color="00B050"/>
              <w:right w:val="single" w:sz="4" w:space="0" w:color="00B050"/>
            </w:tcBorders>
            <w:shd w:val="clear" w:color="auto" w:fill="EFF6EA"/>
            <w:vAlign w:val="center"/>
          </w:tcPr>
          <w:p w14:paraId="37E415F2" w14:textId="77777777" w:rsidR="00E8617E" w:rsidRPr="00BC513A" w:rsidRDefault="00E8617E" w:rsidP="00922731">
            <w:pPr>
              <w:pStyle w:val="DefaultText"/>
              <w:numPr>
                <w:ilvl w:val="0"/>
                <w:numId w:val="25"/>
              </w:numPr>
              <w:spacing w:after="120" w:line="300" w:lineRule="atLeast"/>
              <w:ind w:left="177" w:hanging="142"/>
              <w:jc w:val="left"/>
              <w:rPr>
                <w:sz w:val="20"/>
                <w:szCs w:val="20"/>
                <w:lang w:val="bg-BG"/>
              </w:rPr>
            </w:pPr>
            <w:r w:rsidRPr="00BC513A">
              <w:rPr>
                <w:sz w:val="20"/>
                <w:szCs w:val="20"/>
                <w:lang w:val="bg-BG"/>
              </w:rPr>
              <w:t>Застаряващо население, отрицателен естествен прираст и миграция на населението;</w:t>
            </w:r>
          </w:p>
          <w:p w14:paraId="442AB35D" w14:textId="77777777" w:rsidR="00E8617E" w:rsidRPr="00BC513A" w:rsidRDefault="00E8617E" w:rsidP="00922731">
            <w:pPr>
              <w:pStyle w:val="DefaultText"/>
              <w:numPr>
                <w:ilvl w:val="0"/>
                <w:numId w:val="25"/>
              </w:numPr>
              <w:spacing w:after="120" w:line="300" w:lineRule="atLeast"/>
              <w:ind w:left="177" w:hanging="142"/>
              <w:jc w:val="left"/>
              <w:rPr>
                <w:sz w:val="20"/>
                <w:szCs w:val="20"/>
                <w:lang w:val="bg-BG"/>
              </w:rPr>
            </w:pPr>
            <w:r w:rsidRPr="00BC513A">
              <w:rPr>
                <w:sz w:val="20"/>
                <w:szCs w:val="20"/>
                <w:lang w:val="bg-BG"/>
              </w:rPr>
              <w:t>Бедност и социална изключеност в селските райони;</w:t>
            </w:r>
          </w:p>
          <w:p w14:paraId="352FD772" w14:textId="77777777" w:rsidR="00E8617E" w:rsidRPr="00BC513A" w:rsidRDefault="00E8617E" w:rsidP="00922731">
            <w:pPr>
              <w:pStyle w:val="DefaultText"/>
              <w:numPr>
                <w:ilvl w:val="0"/>
                <w:numId w:val="25"/>
              </w:numPr>
              <w:spacing w:after="120" w:line="300" w:lineRule="atLeast"/>
              <w:ind w:left="177" w:hanging="142"/>
              <w:jc w:val="left"/>
              <w:rPr>
                <w:sz w:val="20"/>
                <w:szCs w:val="20"/>
                <w:lang w:val="bg-BG"/>
              </w:rPr>
            </w:pPr>
            <w:r w:rsidRPr="00BC513A">
              <w:rPr>
                <w:sz w:val="20"/>
                <w:szCs w:val="20"/>
                <w:lang w:val="bg-BG"/>
              </w:rPr>
              <w:t>Ниско качество на социалното обслужване и слаб достъп на населението от селските райони до основни услуги (училища, здравеопазване и социални грижи, навлизане на информационните и компютърни технологии, услугите, свързани със свободно време и развлеченията);</w:t>
            </w:r>
          </w:p>
          <w:p w14:paraId="0768F008" w14:textId="77777777" w:rsidR="00E8617E" w:rsidRPr="00BC513A" w:rsidRDefault="00E8617E" w:rsidP="00922731">
            <w:pPr>
              <w:pStyle w:val="DefaultText"/>
              <w:numPr>
                <w:ilvl w:val="0"/>
                <w:numId w:val="25"/>
              </w:numPr>
              <w:spacing w:after="120" w:line="300" w:lineRule="atLeast"/>
              <w:ind w:left="177" w:hanging="142"/>
              <w:jc w:val="left"/>
              <w:rPr>
                <w:sz w:val="20"/>
                <w:szCs w:val="20"/>
                <w:lang w:val="bg-BG"/>
              </w:rPr>
            </w:pPr>
            <w:r w:rsidRPr="00BC513A">
              <w:rPr>
                <w:sz w:val="20"/>
                <w:szCs w:val="20"/>
                <w:lang w:val="bg-BG"/>
              </w:rPr>
              <w:t xml:space="preserve"> Слаб социален капитал за местно развитие.</w:t>
            </w:r>
          </w:p>
        </w:tc>
      </w:tr>
      <w:tr w:rsidR="00E8617E" w:rsidRPr="00BC513A" w14:paraId="5A80B5ED" w14:textId="77777777" w:rsidTr="00922731">
        <w:tc>
          <w:tcPr>
            <w:tcW w:w="1555" w:type="dxa"/>
            <w:tcBorders>
              <w:top w:val="single" w:sz="4" w:space="0" w:color="00B050"/>
              <w:left w:val="single" w:sz="4" w:space="0" w:color="00B050"/>
              <w:bottom w:val="single" w:sz="4" w:space="0" w:color="00B050"/>
            </w:tcBorders>
            <w:shd w:val="clear" w:color="auto" w:fill="E2EFD9" w:themeFill="accent6" w:themeFillTint="33"/>
            <w:vAlign w:val="center"/>
          </w:tcPr>
          <w:p w14:paraId="5B19D12D" w14:textId="77777777" w:rsidR="00E8617E" w:rsidRPr="00BC513A" w:rsidRDefault="00E8617E" w:rsidP="00922731">
            <w:pPr>
              <w:pStyle w:val="DefaultText"/>
              <w:spacing w:after="120" w:line="300" w:lineRule="atLeast"/>
              <w:jc w:val="left"/>
              <w:rPr>
                <w:sz w:val="20"/>
                <w:szCs w:val="20"/>
                <w:lang w:val="bg-BG"/>
              </w:rPr>
            </w:pPr>
            <w:r w:rsidRPr="00BC513A">
              <w:rPr>
                <w:sz w:val="20"/>
                <w:szCs w:val="20"/>
                <w:lang w:val="bg-BG"/>
              </w:rPr>
              <w:t>Силно зависима от земеделието икономика и висока безработица</w:t>
            </w:r>
          </w:p>
        </w:tc>
        <w:tc>
          <w:tcPr>
            <w:tcW w:w="7505" w:type="dxa"/>
            <w:tcBorders>
              <w:top w:val="single" w:sz="4" w:space="0" w:color="00B050"/>
              <w:bottom w:val="single" w:sz="4" w:space="0" w:color="00B050"/>
              <w:right w:val="single" w:sz="4" w:space="0" w:color="00B050"/>
            </w:tcBorders>
            <w:shd w:val="clear" w:color="auto" w:fill="EFF6EA"/>
            <w:vAlign w:val="center"/>
          </w:tcPr>
          <w:p w14:paraId="087A8FE8" w14:textId="77777777" w:rsidR="00E8617E" w:rsidRPr="00BC513A" w:rsidRDefault="00E8617E" w:rsidP="00922731">
            <w:pPr>
              <w:pStyle w:val="DefaultText"/>
              <w:numPr>
                <w:ilvl w:val="0"/>
                <w:numId w:val="25"/>
              </w:numPr>
              <w:spacing w:after="120" w:line="300" w:lineRule="atLeast"/>
              <w:ind w:left="177" w:hanging="142"/>
              <w:jc w:val="left"/>
              <w:rPr>
                <w:sz w:val="20"/>
                <w:szCs w:val="20"/>
                <w:lang w:val="bg-BG"/>
              </w:rPr>
            </w:pPr>
            <w:r w:rsidRPr="00BC513A">
              <w:rPr>
                <w:sz w:val="20"/>
                <w:szCs w:val="20"/>
                <w:lang w:val="bg-BG"/>
              </w:rPr>
              <w:t>Силно зависима от земеделието икономика и ограничени възможности за намиране на работа извън селското стопанство</w:t>
            </w:r>
            <w:r w:rsidR="008B02DF">
              <w:rPr>
                <w:sz w:val="20"/>
                <w:szCs w:val="20"/>
                <w:lang w:val="bg-BG"/>
              </w:rPr>
              <w:t>;</w:t>
            </w:r>
          </w:p>
          <w:p w14:paraId="60EF619D" w14:textId="77777777" w:rsidR="00E8617E" w:rsidRPr="00BC513A" w:rsidRDefault="00E8617E" w:rsidP="00922731">
            <w:pPr>
              <w:pStyle w:val="DefaultText"/>
              <w:numPr>
                <w:ilvl w:val="0"/>
                <w:numId w:val="25"/>
              </w:numPr>
              <w:spacing w:after="120" w:line="300" w:lineRule="atLeast"/>
              <w:ind w:left="177" w:hanging="142"/>
              <w:jc w:val="left"/>
              <w:rPr>
                <w:sz w:val="20"/>
                <w:szCs w:val="20"/>
                <w:lang w:val="bg-BG"/>
              </w:rPr>
            </w:pPr>
            <w:r w:rsidRPr="00BC513A">
              <w:rPr>
                <w:sz w:val="20"/>
                <w:szCs w:val="20"/>
                <w:lang w:val="bg-BG"/>
              </w:rPr>
              <w:t xml:space="preserve">Влошаващо се качество на работната сила в селските райони (нисък образователен статус, незадоволително участие в процеса на </w:t>
            </w:r>
            <w:r w:rsidRPr="00BC513A">
              <w:rPr>
                <w:sz w:val="20"/>
                <w:szCs w:val="20"/>
                <w:lang w:val="bg-BG"/>
              </w:rPr>
              <w:lastRenderedPageBreak/>
              <w:t>непрестанно придобиване на знания и подобряване на квалификацията, дълги периоди на безработица)</w:t>
            </w:r>
            <w:r w:rsidR="008B02DF">
              <w:rPr>
                <w:sz w:val="20"/>
                <w:szCs w:val="20"/>
                <w:lang w:val="bg-BG"/>
              </w:rPr>
              <w:t>;</w:t>
            </w:r>
          </w:p>
        </w:tc>
      </w:tr>
      <w:tr w:rsidR="00E8617E" w:rsidRPr="00BC513A" w14:paraId="5857E210" w14:textId="77777777" w:rsidTr="00922731">
        <w:tc>
          <w:tcPr>
            <w:tcW w:w="1555" w:type="dxa"/>
            <w:tcBorders>
              <w:top w:val="single" w:sz="4" w:space="0" w:color="00B050"/>
              <w:left w:val="single" w:sz="4" w:space="0" w:color="00B050"/>
              <w:bottom w:val="single" w:sz="4" w:space="0" w:color="00B050"/>
            </w:tcBorders>
            <w:shd w:val="clear" w:color="auto" w:fill="E2EFD9" w:themeFill="accent6" w:themeFillTint="33"/>
            <w:vAlign w:val="center"/>
          </w:tcPr>
          <w:p w14:paraId="16D02289" w14:textId="77777777" w:rsidR="00E8617E" w:rsidRPr="00BC513A" w:rsidRDefault="00E8617E" w:rsidP="00922731">
            <w:pPr>
              <w:pStyle w:val="DefaultText"/>
              <w:spacing w:after="120" w:line="300" w:lineRule="atLeast"/>
              <w:jc w:val="left"/>
              <w:rPr>
                <w:sz w:val="20"/>
                <w:szCs w:val="20"/>
                <w:lang w:val="bg-BG"/>
              </w:rPr>
            </w:pPr>
            <w:r w:rsidRPr="00BC513A">
              <w:rPr>
                <w:sz w:val="20"/>
                <w:szCs w:val="20"/>
                <w:lang w:val="bg-BG"/>
              </w:rPr>
              <w:lastRenderedPageBreak/>
              <w:t>Амортизирана или липсваща инфраструктура</w:t>
            </w:r>
          </w:p>
        </w:tc>
        <w:tc>
          <w:tcPr>
            <w:tcW w:w="7505" w:type="dxa"/>
            <w:tcBorders>
              <w:top w:val="single" w:sz="4" w:space="0" w:color="00B050"/>
              <w:bottom w:val="single" w:sz="4" w:space="0" w:color="00B050"/>
              <w:right w:val="single" w:sz="4" w:space="0" w:color="00B050"/>
            </w:tcBorders>
            <w:shd w:val="clear" w:color="auto" w:fill="EFF6EA"/>
            <w:vAlign w:val="center"/>
          </w:tcPr>
          <w:p w14:paraId="49C9A8A7" w14:textId="77777777" w:rsidR="00E8617E" w:rsidRPr="00BC513A" w:rsidRDefault="00E8617E" w:rsidP="00922731">
            <w:pPr>
              <w:pStyle w:val="DefaultText"/>
              <w:numPr>
                <w:ilvl w:val="0"/>
                <w:numId w:val="25"/>
              </w:numPr>
              <w:spacing w:after="120" w:line="300" w:lineRule="atLeast"/>
              <w:ind w:left="177" w:hanging="142"/>
              <w:jc w:val="left"/>
              <w:rPr>
                <w:sz w:val="20"/>
                <w:szCs w:val="20"/>
                <w:lang w:val="bg-BG"/>
              </w:rPr>
            </w:pPr>
            <w:r w:rsidRPr="00BC513A">
              <w:rPr>
                <w:sz w:val="20"/>
                <w:szCs w:val="20"/>
                <w:lang w:val="bg-BG"/>
              </w:rPr>
              <w:t>Силно амортизирана и/или липсваща основна инфраструктура (пътна инфраструктура, водоснабдяване и канализация).</w:t>
            </w:r>
          </w:p>
        </w:tc>
      </w:tr>
    </w:tbl>
    <w:p w14:paraId="3E886005" w14:textId="77777777" w:rsidR="00E8617E" w:rsidRPr="00BC513A" w:rsidRDefault="00E8617E" w:rsidP="00E8617E">
      <w:pPr>
        <w:pStyle w:val="DefaultText"/>
        <w:spacing w:after="120" w:line="300" w:lineRule="atLeast"/>
        <w:ind w:firstLine="708"/>
        <w:rPr>
          <w:sz w:val="22"/>
          <w:szCs w:val="22"/>
          <w:lang w:val="bg-BG"/>
        </w:rPr>
      </w:pPr>
    </w:p>
    <w:p w14:paraId="10D8825A" w14:textId="6F2EA11E"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Програмата се изпълнява на територията на цялата страна и приоритетно в селските райони</w:t>
      </w:r>
      <w:r w:rsidRPr="00BC513A">
        <w:rPr>
          <w:lang w:val="bg-BG"/>
        </w:rPr>
        <w:footnoteReference w:id="4"/>
      </w:r>
      <w:r w:rsidRPr="00BC513A">
        <w:rPr>
          <w:sz w:val="22"/>
          <w:szCs w:val="22"/>
          <w:lang w:val="bg-BG"/>
        </w:rPr>
        <w:t xml:space="preserve">. Инвестиционните мерки по ос 1 се изпълняват на територията на цялата страна. Инвестициите по ос 3 и 4 са насочени към селските райони </w:t>
      </w:r>
      <w:r w:rsidR="008B02DF">
        <w:rPr>
          <w:sz w:val="22"/>
          <w:szCs w:val="22"/>
          <w:lang w:val="bg-BG"/>
        </w:rPr>
        <w:t>–</w:t>
      </w:r>
      <w:r w:rsidRPr="00BC513A">
        <w:rPr>
          <w:sz w:val="22"/>
          <w:szCs w:val="22"/>
          <w:lang w:val="bg-BG"/>
        </w:rPr>
        <w:t xml:space="preserve"> 231 от общо 264 общини в Р. България, които съгласно националната класификация, са определени като селски райони. Мерки 311 и 312 са насочени само към селски райони, разположени извън границите на градски </w:t>
      </w:r>
      <w:r>
        <w:rPr>
          <w:sz w:val="22"/>
          <w:szCs w:val="22"/>
          <w:lang w:val="bg-BG"/>
        </w:rPr>
        <w:t>агло</w:t>
      </w:r>
      <w:r w:rsidRPr="00BC513A">
        <w:rPr>
          <w:sz w:val="22"/>
          <w:szCs w:val="22"/>
          <w:lang w:val="bg-BG"/>
        </w:rPr>
        <w:t>мерационни ареали – 178 общини.</w:t>
      </w:r>
    </w:p>
    <w:p w14:paraId="5D0D64B3" w14:textId="6AE7F60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ПРСР 2007-2013 е структурирана в 4 приоритетни оси. Приоритетните оси, целите</w:t>
      </w:r>
      <w:r w:rsidR="008B02DF">
        <w:rPr>
          <w:sz w:val="22"/>
          <w:szCs w:val="22"/>
          <w:lang w:val="bg-BG"/>
        </w:rPr>
        <w:t>,</w:t>
      </w:r>
      <w:r w:rsidRPr="00BC513A">
        <w:rPr>
          <w:sz w:val="22"/>
          <w:szCs w:val="22"/>
          <w:lang w:val="bg-BG"/>
        </w:rPr>
        <w:t xml:space="preserve"> които си поставят</w:t>
      </w:r>
      <w:r w:rsidR="008B02DF">
        <w:rPr>
          <w:sz w:val="22"/>
          <w:szCs w:val="22"/>
          <w:lang w:val="bg-BG"/>
        </w:rPr>
        <w:t xml:space="preserve">, </w:t>
      </w:r>
      <w:r w:rsidRPr="00BC513A">
        <w:rPr>
          <w:sz w:val="22"/>
          <w:szCs w:val="22"/>
          <w:lang w:val="bg-BG"/>
        </w:rPr>
        <w:t>проблемите</w:t>
      </w:r>
      <w:r w:rsidR="008B02DF">
        <w:rPr>
          <w:sz w:val="22"/>
          <w:szCs w:val="22"/>
          <w:lang w:val="bg-BG"/>
        </w:rPr>
        <w:t>,</w:t>
      </w:r>
      <w:r w:rsidRPr="00BC513A">
        <w:rPr>
          <w:sz w:val="22"/>
          <w:szCs w:val="22"/>
          <w:lang w:val="bg-BG"/>
        </w:rPr>
        <w:t xml:space="preserve"> които адресират</w:t>
      </w:r>
      <w:r w:rsidR="008B02DF">
        <w:rPr>
          <w:sz w:val="22"/>
          <w:szCs w:val="22"/>
          <w:lang w:val="bg-BG"/>
        </w:rPr>
        <w:t>,</w:t>
      </w:r>
      <w:r w:rsidRPr="00BC513A">
        <w:rPr>
          <w:sz w:val="22"/>
          <w:szCs w:val="22"/>
          <w:lang w:val="bg-BG"/>
        </w:rPr>
        <w:t xml:space="preserve"> и допустимите кандидати са представени по-долу:</w:t>
      </w:r>
    </w:p>
    <w:p w14:paraId="65DD1518" w14:textId="77777777" w:rsidR="00E8617E" w:rsidRPr="00BC513A" w:rsidRDefault="00E8617E" w:rsidP="00E8617E">
      <w:pPr>
        <w:pStyle w:val="DefaultText"/>
        <w:spacing w:after="120" w:line="300" w:lineRule="atLeast"/>
        <w:ind w:firstLine="708"/>
        <w:rPr>
          <w:sz w:val="22"/>
          <w:szCs w:val="22"/>
          <w:lang w:val="bg-BG"/>
        </w:rPr>
      </w:pPr>
    </w:p>
    <w:tbl>
      <w:tblPr>
        <w:tblW w:w="0" w:type="auto"/>
        <w:tblLook w:val="04A0" w:firstRow="1" w:lastRow="0" w:firstColumn="1" w:lastColumn="0" w:noHBand="0" w:noVBand="1"/>
      </w:tblPr>
      <w:tblGrid>
        <w:gridCol w:w="9060"/>
      </w:tblGrid>
      <w:tr w:rsidR="00E8617E" w:rsidRPr="00BC513A" w14:paraId="43E3CFA8" w14:textId="77777777" w:rsidTr="00922731">
        <w:tc>
          <w:tcPr>
            <w:tcW w:w="9060" w:type="dxa"/>
            <w:shd w:val="clear" w:color="auto" w:fill="FEF6F0"/>
          </w:tcPr>
          <w:p w14:paraId="6D7F3366" w14:textId="77777777" w:rsidR="00E8617E" w:rsidRPr="00BC513A" w:rsidRDefault="00E8617E" w:rsidP="00922731">
            <w:pPr>
              <w:pStyle w:val="DefaultText"/>
              <w:spacing w:after="120" w:line="300" w:lineRule="atLeast"/>
              <w:rPr>
                <w:sz w:val="20"/>
                <w:szCs w:val="20"/>
                <w:lang w:val="bg-BG"/>
              </w:rPr>
            </w:pPr>
            <w:r w:rsidRPr="00BC513A">
              <w:rPr>
                <w:rFonts w:cs="Arial"/>
                <w:b/>
                <w:color w:val="000000"/>
                <w:sz w:val="20"/>
                <w:szCs w:val="20"/>
                <w:lang w:val="bg-BG"/>
              </w:rPr>
              <w:t>Ос 1: Подобряване на конкурентоспособността на земеделския и горския сектор</w:t>
            </w:r>
          </w:p>
        </w:tc>
      </w:tr>
      <w:tr w:rsidR="00E8617E" w:rsidRPr="00BC513A" w14:paraId="2052405D" w14:textId="77777777" w:rsidTr="00922731">
        <w:tc>
          <w:tcPr>
            <w:tcW w:w="9060" w:type="dxa"/>
            <w:shd w:val="clear" w:color="auto" w:fill="FBE4D5" w:themeFill="accent2" w:themeFillTint="33"/>
          </w:tcPr>
          <w:p w14:paraId="15A246C3" w14:textId="77777777" w:rsidR="00E8617E" w:rsidRPr="00BC513A" w:rsidRDefault="00E8617E" w:rsidP="00922731">
            <w:pPr>
              <w:pStyle w:val="DefaultText"/>
              <w:spacing w:after="120" w:line="300" w:lineRule="atLeast"/>
              <w:rPr>
                <w:sz w:val="20"/>
                <w:szCs w:val="20"/>
                <w:lang w:val="bg-BG"/>
              </w:rPr>
            </w:pPr>
            <w:r w:rsidRPr="00BC513A">
              <w:rPr>
                <w:b/>
                <w:sz w:val="20"/>
                <w:szCs w:val="20"/>
                <w:lang w:val="bg-BG"/>
              </w:rPr>
              <w:t>Обща цел:</w:t>
            </w:r>
            <w:r w:rsidRPr="00BC513A">
              <w:rPr>
                <w:sz w:val="20"/>
                <w:szCs w:val="20"/>
                <w:lang w:val="bg-BG"/>
              </w:rPr>
              <w:t xml:space="preserve"> Развитие на конкурентоспособни и основани на иновации земеделие, горско стопанство и хранително-вкусова промишленост.</w:t>
            </w:r>
          </w:p>
          <w:p w14:paraId="0D815B71" w14:textId="77777777" w:rsidR="00E8617E" w:rsidRPr="00BC513A" w:rsidRDefault="00E8617E" w:rsidP="00922731">
            <w:pPr>
              <w:pStyle w:val="DefaultText"/>
              <w:spacing w:after="120" w:line="300" w:lineRule="atLeast"/>
              <w:rPr>
                <w:b/>
                <w:sz w:val="20"/>
                <w:szCs w:val="20"/>
                <w:lang w:val="bg-BG"/>
              </w:rPr>
            </w:pPr>
            <w:r w:rsidRPr="00BC513A">
              <w:rPr>
                <w:b/>
                <w:sz w:val="20"/>
                <w:szCs w:val="20"/>
                <w:lang w:val="bg-BG"/>
              </w:rPr>
              <w:t xml:space="preserve">Подцели: </w:t>
            </w:r>
          </w:p>
          <w:p w14:paraId="369DC529" w14:textId="77777777" w:rsidR="00E8617E" w:rsidRPr="00BC513A" w:rsidRDefault="00E8617E" w:rsidP="00922731">
            <w:pPr>
              <w:pStyle w:val="DefaultText"/>
              <w:numPr>
                <w:ilvl w:val="1"/>
                <w:numId w:val="9"/>
              </w:numPr>
              <w:spacing w:after="120" w:line="300" w:lineRule="atLeast"/>
              <w:rPr>
                <w:sz w:val="20"/>
                <w:szCs w:val="20"/>
                <w:lang w:val="bg-BG"/>
              </w:rPr>
            </w:pPr>
            <w:r w:rsidRPr="00BC513A">
              <w:rPr>
                <w:sz w:val="20"/>
                <w:szCs w:val="20"/>
                <w:lang w:val="bg-BG"/>
              </w:rPr>
              <w:t xml:space="preserve">Преструктуриране и модернизиране на технологичната база и насърчаване на иновациите.  </w:t>
            </w:r>
          </w:p>
          <w:p w14:paraId="5DA177D4" w14:textId="77777777" w:rsidR="00E8617E" w:rsidRPr="00BC513A" w:rsidRDefault="00E8617E" w:rsidP="00922731">
            <w:pPr>
              <w:pStyle w:val="DefaultText"/>
              <w:numPr>
                <w:ilvl w:val="1"/>
                <w:numId w:val="9"/>
              </w:numPr>
              <w:spacing w:after="120" w:line="300" w:lineRule="atLeast"/>
              <w:rPr>
                <w:sz w:val="20"/>
                <w:szCs w:val="20"/>
                <w:lang w:val="bg-BG"/>
              </w:rPr>
            </w:pPr>
            <w:r w:rsidRPr="00BC513A">
              <w:rPr>
                <w:sz w:val="20"/>
                <w:szCs w:val="20"/>
                <w:lang w:val="bg-BG"/>
              </w:rPr>
              <w:t>Подкрепа за адаптиране на структурата на стопанствата и за кооперирането.</w:t>
            </w:r>
          </w:p>
          <w:p w14:paraId="167EFA3A" w14:textId="77777777" w:rsidR="00E8617E" w:rsidRPr="00BC513A" w:rsidRDefault="00E8617E" w:rsidP="00922731">
            <w:pPr>
              <w:pStyle w:val="DefaultText"/>
              <w:numPr>
                <w:ilvl w:val="1"/>
                <w:numId w:val="9"/>
              </w:numPr>
              <w:spacing w:after="120" w:line="300" w:lineRule="atLeast"/>
              <w:rPr>
                <w:sz w:val="20"/>
                <w:szCs w:val="20"/>
                <w:lang w:val="bg-BG"/>
              </w:rPr>
            </w:pPr>
            <w:r w:rsidRPr="00BC513A">
              <w:rPr>
                <w:sz w:val="20"/>
                <w:szCs w:val="20"/>
                <w:lang w:val="bg-BG"/>
              </w:rPr>
              <w:t>Повишаване на знанията и подобряване на човешкия потенциал.</w:t>
            </w:r>
          </w:p>
        </w:tc>
      </w:tr>
      <w:tr w:rsidR="00E8617E" w:rsidRPr="00BC513A" w14:paraId="4522EC79" w14:textId="77777777" w:rsidTr="00922731">
        <w:tc>
          <w:tcPr>
            <w:tcW w:w="9060" w:type="dxa"/>
            <w:shd w:val="clear" w:color="auto" w:fill="F7CAAC" w:themeFill="accent2" w:themeFillTint="66"/>
          </w:tcPr>
          <w:p w14:paraId="0E7BF998" w14:textId="47281E92" w:rsidR="00E8617E" w:rsidRPr="00BC513A" w:rsidRDefault="00E8617E" w:rsidP="00D316C2">
            <w:pPr>
              <w:pStyle w:val="DefaultText"/>
              <w:spacing w:after="120" w:line="300" w:lineRule="atLeast"/>
              <w:rPr>
                <w:sz w:val="20"/>
                <w:szCs w:val="20"/>
                <w:lang w:val="bg-BG"/>
              </w:rPr>
            </w:pPr>
            <w:r w:rsidRPr="00BC513A">
              <w:rPr>
                <w:b/>
                <w:sz w:val="20"/>
                <w:szCs w:val="20"/>
                <w:lang w:val="bg-BG"/>
              </w:rPr>
              <w:t>Бенефициенти:</w:t>
            </w:r>
            <w:r w:rsidRPr="00BC513A">
              <w:rPr>
                <w:sz w:val="20"/>
                <w:szCs w:val="20"/>
                <w:lang w:val="bg-BG"/>
              </w:rPr>
              <w:t xml:space="preserve"> земеделски производители; полупазарни стопанства, млади фермери; организации на производители; лица, които са заети в селското и горското стопанство; собственици на гори</w:t>
            </w:r>
            <w:r w:rsidR="008B02DF">
              <w:rPr>
                <w:sz w:val="20"/>
                <w:szCs w:val="20"/>
                <w:lang w:val="bg-BG"/>
              </w:rPr>
              <w:t>,</w:t>
            </w:r>
            <w:r w:rsidRPr="00BC513A">
              <w:rPr>
                <w:sz w:val="20"/>
                <w:szCs w:val="20"/>
                <w:lang w:val="bg-BG"/>
              </w:rPr>
              <w:t xml:space="preserve"> вкл. техни сдружения – частни и общински; микро-, малки и средни предприятия от хранително-преработвателния сектор; институции или организации (публични или частни) осигуряващи консултантски услуги, професионално обучение и информационни дейности.</w:t>
            </w:r>
          </w:p>
        </w:tc>
      </w:tr>
    </w:tbl>
    <w:p w14:paraId="67D6B6E5" w14:textId="77777777" w:rsidR="00E8617E" w:rsidRPr="00BC513A" w:rsidRDefault="00E8617E" w:rsidP="00E8617E"/>
    <w:tbl>
      <w:tblPr>
        <w:tblW w:w="0" w:type="auto"/>
        <w:tblLook w:val="04A0" w:firstRow="1" w:lastRow="0" w:firstColumn="1" w:lastColumn="0" w:noHBand="0" w:noVBand="1"/>
      </w:tblPr>
      <w:tblGrid>
        <w:gridCol w:w="9060"/>
      </w:tblGrid>
      <w:tr w:rsidR="00E8617E" w:rsidRPr="00BC513A" w14:paraId="5503815B" w14:textId="77777777" w:rsidTr="00922731">
        <w:tc>
          <w:tcPr>
            <w:tcW w:w="9060" w:type="dxa"/>
            <w:shd w:val="clear" w:color="auto" w:fill="ECF3FA"/>
          </w:tcPr>
          <w:p w14:paraId="33336056" w14:textId="677BC38D" w:rsidR="00E8617E" w:rsidRPr="00BC513A" w:rsidRDefault="00E8617E" w:rsidP="00AB2B2B">
            <w:pPr>
              <w:pStyle w:val="DefaultText"/>
              <w:keepNext/>
              <w:shd w:val="clear" w:color="auto" w:fill="ECF3FA"/>
              <w:spacing w:after="120" w:line="300" w:lineRule="atLeast"/>
              <w:rPr>
                <w:b/>
                <w:sz w:val="20"/>
                <w:szCs w:val="20"/>
                <w:lang w:val="bg-BG"/>
              </w:rPr>
            </w:pPr>
            <w:r w:rsidRPr="00BC513A">
              <w:rPr>
                <w:rFonts w:cs="Arial"/>
                <w:b/>
                <w:color w:val="000000"/>
                <w:sz w:val="20"/>
                <w:szCs w:val="20"/>
                <w:shd w:val="clear" w:color="auto" w:fill="ECF3FA"/>
                <w:lang w:val="bg-BG"/>
              </w:rPr>
              <w:t>О</w:t>
            </w:r>
            <w:r w:rsidR="00AB2B2B">
              <w:rPr>
                <w:rFonts w:cs="Arial"/>
                <w:b/>
                <w:color w:val="000000"/>
                <w:sz w:val="20"/>
                <w:szCs w:val="20"/>
                <w:shd w:val="clear" w:color="auto" w:fill="ECF3FA"/>
                <w:lang w:val="bg-BG"/>
              </w:rPr>
              <w:t>с</w:t>
            </w:r>
            <w:r w:rsidRPr="00BC513A">
              <w:rPr>
                <w:rFonts w:cs="Arial"/>
                <w:b/>
                <w:color w:val="000000"/>
                <w:sz w:val="20"/>
                <w:szCs w:val="20"/>
                <w:shd w:val="clear" w:color="auto" w:fill="ECF3FA"/>
                <w:lang w:val="bg-BG"/>
              </w:rPr>
              <w:t xml:space="preserve"> 2: Подобряване на околната среда и природата</w:t>
            </w:r>
            <w:r w:rsidRPr="00BC513A">
              <w:rPr>
                <w:rFonts w:cs="Arial"/>
                <w:b/>
                <w:color w:val="000000"/>
                <w:sz w:val="20"/>
                <w:szCs w:val="20"/>
                <w:shd w:val="clear" w:color="auto" w:fill="FFFFFF"/>
                <w:lang w:val="bg-BG"/>
              </w:rPr>
              <w:t xml:space="preserve"> </w:t>
            </w:r>
          </w:p>
        </w:tc>
      </w:tr>
      <w:tr w:rsidR="00E8617E" w:rsidRPr="00BC513A" w14:paraId="31FE723C" w14:textId="77777777" w:rsidTr="00922731">
        <w:tc>
          <w:tcPr>
            <w:tcW w:w="9060" w:type="dxa"/>
            <w:shd w:val="clear" w:color="auto" w:fill="DEEAF6" w:themeFill="accent1" w:themeFillTint="33"/>
          </w:tcPr>
          <w:p w14:paraId="02867028" w14:textId="77777777" w:rsidR="00E8617E" w:rsidRPr="00BC513A" w:rsidRDefault="00E8617E" w:rsidP="00922731">
            <w:pPr>
              <w:pStyle w:val="DefaultText"/>
              <w:spacing w:after="120" w:line="300" w:lineRule="atLeast"/>
              <w:rPr>
                <w:sz w:val="20"/>
                <w:szCs w:val="20"/>
                <w:lang w:val="bg-BG"/>
              </w:rPr>
            </w:pPr>
            <w:r w:rsidRPr="00BC513A">
              <w:rPr>
                <w:b/>
                <w:sz w:val="20"/>
                <w:szCs w:val="20"/>
                <w:lang w:val="bg-BG"/>
              </w:rPr>
              <w:t xml:space="preserve">Обща цел: </w:t>
            </w:r>
            <w:r w:rsidRPr="00BC513A">
              <w:rPr>
                <w:sz w:val="20"/>
                <w:szCs w:val="20"/>
                <w:lang w:val="bg-BG"/>
              </w:rPr>
              <w:t>Опазване на природните ресурси и околната среда в селските райони.</w:t>
            </w:r>
          </w:p>
          <w:p w14:paraId="7A8957D0" w14:textId="77777777" w:rsidR="00E8617E" w:rsidRPr="00BC513A" w:rsidRDefault="00E8617E" w:rsidP="00922731">
            <w:pPr>
              <w:pStyle w:val="DefaultText"/>
              <w:spacing w:after="120" w:line="300" w:lineRule="atLeast"/>
              <w:rPr>
                <w:b/>
                <w:sz w:val="20"/>
                <w:szCs w:val="20"/>
                <w:lang w:val="bg-BG"/>
              </w:rPr>
            </w:pPr>
            <w:r w:rsidRPr="00BC513A">
              <w:rPr>
                <w:b/>
                <w:sz w:val="20"/>
                <w:szCs w:val="20"/>
                <w:lang w:val="bg-BG"/>
              </w:rPr>
              <w:t xml:space="preserve">Подцели: </w:t>
            </w:r>
          </w:p>
          <w:p w14:paraId="01FAC9FE" w14:textId="77777777" w:rsidR="00E8617E" w:rsidRPr="00BC513A" w:rsidRDefault="00E8617E" w:rsidP="00922731">
            <w:pPr>
              <w:pStyle w:val="DefaultText"/>
              <w:spacing w:after="120" w:line="300" w:lineRule="atLeast"/>
              <w:rPr>
                <w:sz w:val="20"/>
                <w:szCs w:val="20"/>
                <w:lang w:val="bg-BG"/>
              </w:rPr>
            </w:pPr>
            <w:r w:rsidRPr="00BC513A">
              <w:rPr>
                <w:sz w:val="20"/>
                <w:szCs w:val="20"/>
                <w:lang w:val="bg-BG"/>
              </w:rPr>
              <w:t xml:space="preserve">2.1 Разширяване на устойчивото управление на земеделските земи. </w:t>
            </w:r>
          </w:p>
          <w:p w14:paraId="0D23D065" w14:textId="77777777" w:rsidR="00E8617E" w:rsidRPr="00BC513A" w:rsidRDefault="00E8617E" w:rsidP="00922731">
            <w:pPr>
              <w:pStyle w:val="DefaultText"/>
              <w:spacing w:after="120" w:line="300" w:lineRule="atLeast"/>
              <w:rPr>
                <w:sz w:val="20"/>
                <w:szCs w:val="20"/>
                <w:lang w:val="bg-BG"/>
              </w:rPr>
            </w:pPr>
            <w:r w:rsidRPr="00BC513A">
              <w:rPr>
                <w:sz w:val="20"/>
                <w:szCs w:val="20"/>
                <w:lang w:val="bg-BG"/>
              </w:rPr>
              <w:t xml:space="preserve">2.2 Насърчаване на устойчивото управление на горите и земите покрити с гори. </w:t>
            </w:r>
          </w:p>
        </w:tc>
      </w:tr>
      <w:tr w:rsidR="00E8617E" w:rsidRPr="00BC513A" w14:paraId="56D0385B" w14:textId="77777777" w:rsidTr="00922731">
        <w:tc>
          <w:tcPr>
            <w:tcW w:w="9060" w:type="dxa"/>
            <w:shd w:val="clear" w:color="auto" w:fill="BDD6EE" w:themeFill="accent1" w:themeFillTint="66"/>
          </w:tcPr>
          <w:p w14:paraId="09713378" w14:textId="77777777" w:rsidR="00E8617E" w:rsidRPr="00BC513A" w:rsidRDefault="00E8617E" w:rsidP="00922731">
            <w:pPr>
              <w:pStyle w:val="DefaultText"/>
              <w:spacing w:after="120" w:line="300" w:lineRule="atLeast"/>
              <w:rPr>
                <w:sz w:val="20"/>
                <w:szCs w:val="20"/>
                <w:lang w:val="bg-BG"/>
              </w:rPr>
            </w:pPr>
            <w:r w:rsidRPr="00BC513A">
              <w:rPr>
                <w:b/>
                <w:sz w:val="20"/>
                <w:szCs w:val="20"/>
                <w:lang w:val="bg-BG"/>
              </w:rPr>
              <w:lastRenderedPageBreak/>
              <w:t xml:space="preserve">Бенефициенти: </w:t>
            </w:r>
            <w:r w:rsidRPr="00BC513A">
              <w:rPr>
                <w:sz w:val="20"/>
                <w:szCs w:val="20"/>
                <w:lang w:val="bg-BG"/>
              </w:rPr>
              <w:t>земеделски производители от необлагодетелствани райони, земеделски производители</w:t>
            </w:r>
            <w:r w:rsidR="00D316C2">
              <w:rPr>
                <w:sz w:val="20"/>
                <w:szCs w:val="20"/>
                <w:lang w:val="bg-BG"/>
              </w:rPr>
              <w:t>,</w:t>
            </w:r>
            <w:r w:rsidRPr="00BC513A">
              <w:rPr>
                <w:sz w:val="20"/>
                <w:szCs w:val="20"/>
                <w:lang w:val="bg-BG"/>
              </w:rPr>
              <w:t xml:space="preserve"> желаещи да се занимават с биологично земеделие; собственици на гори</w:t>
            </w:r>
            <w:r w:rsidR="00D316C2">
              <w:rPr>
                <w:sz w:val="20"/>
                <w:szCs w:val="20"/>
                <w:lang w:val="bg-BG"/>
              </w:rPr>
              <w:t>,</w:t>
            </w:r>
            <w:r w:rsidRPr="00BC513A">
              <w:rPr>
                <w:sz w:val="20"/>
                <w:szCs w:val="20"/>
                <w:lang w:val="bg-BG"/>
              </w:rPr>
              <w:t xml:space="preserve"> включително техни сдружения; собственици и/или ползватели на гори и земеделски земи, чиито места попадат в обхвата на Европейската екологична мрежа Натура 2000.</w:t>
            </w:r>
          </w:p>
        </w:tc>
      </w:tr>
    </w:tbl>
    <w:p w14:paraId="0D0ECE45" w14:textId="77777777" w:rsidR="00E8617E" w:rsidRPr="00BC513A" w:rsidRDefault="00E8617E" w:rsidP="00E8617E"/>
    <w:tbl>
      <w:tblPr>
        <w:tblW w:w="0" w:type="auto"/>
        <w:tblLook w:val="04A0" w:firstRow="1" w:lastRow="0" w:firstColumn="1" w:lastColumn="0" w:noHBand="0" w:noVBand="1"/>
      </w:tblPr>
      <w:tblGrid>
        <w:gridCol w:w="9060"/>
      </w:tblGrid>
      <w:tr w:rsidR="00E8617E" w:rsidRPr="00BC513A" w14:paraId="3FEB5812" w14:textId="77777777" w:rsidTr="00922731">
        <w:tc>
          <w:tcPr>
            <w:tcW w:w="9060" w:type="dxa"/>
            <w:shd w:val="clear" w:color="auto" w:fill="EFF6EA"/>
          </w:tcPr>
          <w:p w14:paraId="0C0BE8B6" w14:textId="672B387F" w:rsidR="00E8617E" w:rsidRPr="00BC513A" w:rsidRDefault="00E8617E" w:rsidP="00AB2B2B">
            <w:pPr>
              <w:pStyle w:val="DefaultText"/>
              <w:shd w:val="clear" w:color="auto" w:fill="EFF6EA"/>
              <w:spacing w:after="120" w:line="300" w:lineRule="atLeast"/>
              <w:rPr>
                <w:b/>
                <w:sz w:val="20"/>
                <w:szCs w:val="20"/>
                <w:lang w:val="bg-BG"/>
              </w:rPr>
            </w:pPr>
            <w:r w:rsidRPr="00BC513A">
              <w:rPr>
                <w:rFonts w:cs="Arial"/>
                <w:b/>
                <w:color w:val="000000"/>
                <w:sz w:val="20"/>
                <w:szCs w:val="20"/>
                <w:shd w:val="clear" w:color="auto" w:fill="EFF6EA"/>
                <w:lang w:val="bg-BG"/>
              </w:rPr>
              <w:t>О</w:t>
            </w:r>
            <w:r w:rsidR="00AB2B2B">
              <w:rPr>
                <w:rFonts w:cs="Arial"/>
                <w:b/>
                <w:color w:val="000000"/>
                <w:sz w:val="20"/>
                <w:szCs w:val="20"/>
                <w:shd w:val="clear" w:color="auto" w:fill="EFF6EA"/>
                <w:lang w:val="bg-BG"/>
              </w:rPr>
              <w:t>с</w:t>
            </w:r>
            <w:r w:rsidR="00D316C2">
              <w:rPr>
                <w:rFonts w:cs="Arial"/>
                <w:b/>
                <w:color w:val="000000"/>
                <w:sz w:val="20"/>
                <w:szCs w:val="20"/>
                <w:shd w:val="clear" w:color="auto" w:fill="EFF6EA"/>
                <w:lang w:val="bg-BG"/>
              </w:rPr>
              <w:t xml:space="preserve"> </w:t>
            </w:r>
            <w:r w:rsidRPr="00BC513A">
              <w:rPr>
                <w:rFonts w:cs="Arial"/>
                <w:b/>
                <w:color w:val="000000"/>
                <w:sz w:val="20"/>
                <w:szCs w:val="20"/>
                <w:shd w:val="clear" w:color="auto" w:fill="EFF6EA"/>
                <w:lang w:val="bg-BG"/>
              </w:rPr>
              <w:t>3: Качество на живот в селските райони и разнообразяване на селската икономика</w:t>
            </w:r>
          </w:p>
        </w:tc>
      </w:tr>
      <w:tr w:rsidR="00E8617E" w:rsidRPr="00BC513A" w14:paraId="5379B6BB" w14:textId="77777777" w:rsidTr="00922731">
        <w:tc>
          <w:tcPr>
            <w:tcW w:w="9060" w:type="dxa"/>
            <w:shd w:val="clear" w:color="auto" w:fill="E2EFD9" w:themeFill="accent6" w:themeFillTint="33"/>
          </w:tcPr>
          <w:p w14:paraId="429E8F18" w14:textId="77777777" w:rsidR="00E8617E" w:rsidRPr="00BC513A" w:rsidRDefault="00E8617E" w:rsidP="00922731">
            <w:pPr>
              <w:pStyle w:val="DefaultText"/>
              <w:spacing w:after="120" w:line="300" w:lineRule="atLeast"/>
              <w:rPr>
                <w:b/>
                <w:sz w:val="20"/>
                <w:szCs w:val="20"/>
                <w:lang w:val="bg-BG"/>
              </w:rPr>
            </w:pPr>
            <w:r w:rsidRPr="00BC513A">
              <w:rPr>
                <w:b/>
                <w:sz w:val="20"/>
                <w:szCs w:val="20"/>
                <w:lang w:val="bg-BG"/>
              </w:rPr>
              <w:t xml:space="preserve">Обща цел: </w:t>
            </w:r>
            <w:r w:rsidRPr="00BC513A">
              <w:rPr>
                <w:sz w:val="20"/>
                <w:szCs w:val="20"/>
                <w:lang w:val="bg-BG"/>
              </w:rPr>
              <w:t>Подобряване на качеството на живот и разнообразяване на възможностите за заетост в селските райони</w:t>
            </w:r>
          </w:p>
          <w:p w14:paraId="57E45C6A" w14:textId="77777777" w:rsidR="00E8617E" w:rsidRPr="00BC513A" w:rsidRDefault="00E8617E" w:rsidP="00922731">
            <w:pPr>
              <w:pStyle w:val="DefaultText"/>
              <w:spacing w:after="120" w:line="300" w:lineRule="atLeast"/>
              <w:rPr>
                <w:b/>
                <w:sz w:val="20"/>
                <w:szCs w:val="20"/>
                <w:lang w:val="bg-BG"/>
              </w:rPr>
            </w:pPr>
            <w:r w:rsidRPr="00BC513A">
              <w:rPr>
                <w:b/>
                <w:sz w:val="20"/>
                <w:szCs w:val="20"/>
                <w:lang w:val="bg-BG"/>
              </w:rPr>
              <w:t xml:space="preserve">Подцели: </w:t>
            </w:r>
          </w:p>
          <w:p w14:paraId="6EBA4065" w14:textId="77777777" w:rsidR="00E8617E" w:rsidRPr="00BC513A" w:rsidRDefault="00E8617E" w:rsidP="00922731">
            <w:pPr>
              <w:pStyle w:val="DefaultText"/>
              <w:spacing w:after="120" w:line="300" w:lineRule="atLeast"/>
              <w:rPr>
                <w:sz w:val="20"/>
                <w:szCs w:val="20"/>
                <w:lang w:val="bg-BG"/>
              </w:rPr>
            </w:pPr>
            <w:r w:rsidRPr="00BC513A">
              <w:rPr>
                <w:sz w:val="20"/>
                <w:szCs w:val="20"/>
                <w:lang w:val="bg-BG"/>
              </w:rPr>
              <w:t>3.1 Подобряване на качеството на живот в селските райони.</w:t>
            </w:r>
          </w:p>
          <w:p w14:paraId="7A45667D" w14:textId="77777777" w:rsidR="00E8617E" w:rsidRPr="00BC513A" w:rsidRDefault="00E8617E" w:rsidP="00922731">
            <w:pPr>
              <w:pStyle w:val="DefaultText"/>
              <w:spacing w:after="120" w:line="300" w:lineRule="atLeast"/>
              <w:rPr>
                <w:sz w:val="20"/>
                <w:szCs w:val="20"/>
                <w:lang w:val="bg-BG"/>
              </w:rPr>
            </w:pPr>
            <w:r w:rsidRPr="00BC513A">
              <w:rPr>
                <w:sz w:val="20"/>
                <w:szCs w:val="20"/>
                <w:lang w:val="bg-BG"/>
              </w:rPr>
              <w:t>3.2 Насърчаване на разнообразяването на възможностите за заетост в селските райони.</w:t>
            </w:r>
          </w:p>
        </w:tc>
      </w:tr>
      <w:tr w:rsidR="00E8617E" w:rsidRPr="00BC513A" w14:paraId="3A226591" w14:textId="77777777" w:rsidTr="00922731">
        <w:tc>
          <w:tcPr>
            <w:tcW w:w="9060" w:type="dxa"/>
            <w:shd w:val="clear" w:color="auto" w:fill="C5E0B3" w:themeFill="accent6" w:themeFillTint="66"/>
          </w:tcPr>
          <w:p w14:paraId="7F63FE5E" w14:textId="77777777" w:rsidR="00E8617E" w:rsidRPr="00BC513A" w:rsidRDefault="00E8617E" w:rsidP="00922731">
            <w:pPr>
              <w:pStyle w:val="DefaultText"/>
              <w:spacing w:after="120" w:line="300" w:lineRule="atLeast"/>
              <w:rPr>
                <w:b/>
                <w:sz w:val="20"/>
                <w:szCs w:val="20"/>
                <w:lang w:val="bg-BG"/>
              </w:rPr>
            </w:pPr>
            <w:r w:rsidRPr="00BC513A">
              <w:rPr>
                <w:b/>
                <w:sz w:val="20"/>
                <w:szCs w:val="20"/>
                <w:lang w:val="bg-BG"/>
              </w:rPr>
              <w:t>Бенефициенти:</w:t>
            </w:r>
            <w:r w:rsidRPr="00BC513A">
              <w:rPr>
                <w:sz w:val="20"/>
                <w:szCs w:val="20"/>
                <w:lang w:val="bg-BG"/>
              </w:rPr>
              <w:t xml:space="preserve"> </w:t>
            </w:r>
            <w:r w:rsidRPr="00BC513A">
              <w:rPr>
                <w:rFonts w:cs="Arial"/>
                <w:sz w:val="20"/>
                <w:szCs w:val="20"/>
                <w:lang w:val="bg-BG"/>
              </w:rPr>
              <w:t>Общини от селските райони; земеделски производители; новорегистрирани или съществуващи микропредприятия; юридически лица с нестопанска цел (включително читалища); занаятчии; местни поделения на вероизповедания.</w:t>
            </w:r>
          </w:p>
        </w:tc>
      </w:tr>
    </w:tbl>
    <w:p w14:paraId="549F4A9C" w14:textId="77777777" w:rsidR="00E8617E" w:rsidRPr="00BC513A" w:rsidRDefault="00E8617E" w:rsidP="00E8617E"/>
    <w:tbl>
      <w:tblPr>
        <w:tblW w:w="0" w:type="auto"/>
        <w:tblLook w:val="04A0" w:firstRow="1" w:lastRow="0" w:firstColumn="1" w:lastColumn="0" w:noHBand="0" w:noVBand="1"/>
      </w:tblPr>
      <w:tblGrid>
        <w:gridCol w:w="9060"/>
      </w:tblGrid>
      <w:tr w:rsidR="00E8617E" w:rsidRPr="00BC513A" w14:paraId="1964B615" w14:textId="77777777" w:rsidTr="00922731">
        <w:tc>
          <w:tcPr>
            <w:tcW w:w="9060" w:type="dxa"/>
            <w:shd w:val="clear" w:color="auto" w:fill="FFF8E5"/>
          </w:tcPr>
          <w:p w14:paraId="7DFE21D4" w14:textId="610ACCBA" w:rsidR="00E8617E" w:rsidRPr="00BC513A" w:rsidRDefault="00E8617E" w:rsidP="00AB2B2B">
            <w:pPr>
              <w:pStyle w:val="DefaultText"/>
              <w:shd w:val="clear" w:color="auto" w:fill="FFF8E5"/>
              <w:spacing w:after="120" w:line="300" w:lineRule="atLeast"/>
              <w:rPr>
                <w:b/>
                <w:sz w:val="20"/>
                <w:szCs w:val="20"/>
                <w:lang w:val="bg-BG"/>
              </w:rPr>
            </w:pPr>
            <w:r w:rsidRPr="00BC513A">
              <w:rPr>
                <w:rFonts w:cs="Arial"/>
                <w:b/>
                <w:color w:val="000000"/>
                <w:sz w:val="20"/>
                <w:szCs w:val="20"/>
                <w:shd w:val="clear" w:color="auto" w:fill="FFF8E5"/>
                <w:lang w:val="bg-BG"/>
              </w:rPr>
              <w:t>О</w:t>
            </w:r>
            <w:r w:rsidR="00AB2B2B">
              <w:rPr>
                <w:rFonts w:cs="Arial"/>
                <w:b/>
                <w:color w:val="000000"/>
                <w:sz w:val="20"/>
                <w:szCs w:val="20"/>
                <w:shd w:val="clear" w:color="auto" w:fill="FFF8E5"/>
                <w:lang w:val="bg-BG"/>
              </w:rPr>
              <w:t>с</w:t>
            </w:r>
            <w:r w:rsidRPr="00BC513A">
              <w:rPr>
                <w:rFonts w:cs="Arial"/>
                <w:b/>
                <w:color w:val="000000"/>
                <w:sz w:val="20"/>
                <w:szCs w:val="20"/>
                <w:shd w:val="clear" w:color="auto" w:fill="FFF8E5"/>
                <w:lang w:val="bg-BG"/>
              </w:rPr>
              <w:t xml:space="preserve"> 4: ЛИДЕР</w:t>
            </w:r>
          </w:p>
        </w:tc>
      </w:tr>
      <w:tr w:rsidR="00E8617E" w:rsidRPr="00BC513A" w14:paraId="4E3F6360" w14:textId="77777777" w:rsidTr="00922731">
        <w:tc>
          <w:tcPr>
            <w:tcW w:w="9060" w:type="dxa"/>
            <w:shd w:val="clear" w:color="auto" w:fill="FFF2CC" w:themeFill="accent4" w:themeFillTint="33"/>
          </w:tcPr>
          <w:p w14:paraId="47AA050B" w14:textId="77777777" w:rsidR="00E8617E" w:rsidRPr="00BC513A" w:rsidRDefault="00E8617E" w:rsidP="00922731">
            <w:pPr>
              <w:pStyle w:val="DefaultText"/>
              <w:spacing w:after="120" w:line="300" w:lineRule="atLeast"/>
              <w:rPr>
                <w:b/>
                <w:sz w:val="20"/>
                <w:szCs w:val="20"/>
                <w:lang w:val="bg-BG"/>
              </w:rPr>
            </w:pPr>
            <w:r w:rsidRPr="00BC513A">
              <w:rPr>
                <w:b/>
                <w:sz w:val="20"/>
                <w:szCs w:val="20"/>
                <w:lang w:val="bg-BG"/>
              </w:rPr>
              <w:t xml:space="preserve">Обща цел: </w:t>
            </w:r>
            <w:r w:rsidRPr="00BC513A">
              <w:rPr>
                <w:sz w:val="20"/>
                <w:szCs w:val="20"/>
                <w:lang w:val="bg-BG"/>
              </w:rPr>
              <w:t>Изграждане на местен капацитет и подобряване на местното управление</w:t>
            </w:r>
          </w:p>
          <w:p w14:paraId="6090406D" w14:textId="77777777" w:rsidR="00E8617E" w:rsidRPr="00BC513A" w:rsidRDefault="00E8617E" w:rsidP="00922731">
            <w:pPr>
              <w:pStyle w:val="DefaultText"/>
              <w:spacing w:after="120" w:line="300" w:lineRule="atLeast"/>
              <w:rPr>
                <w:b/>
                <w:sz w:val="20"/>
                <w:szCs w:val="20"/>
                <w:lang w:val="bg-BG"/>
              </w:rPr>
            </w:pPr>
            <w:r w:rsidRPr="00BC513A">
              <w:rPr>
                <w:b/>
                <w:sz w:val="20"/>
                <w:szCs w:val="20"/>
                <w:lang w:val="bg-BG"/>
              </w:rPr>
              <w:t xml:space="preserve">Подцели: </w:t>
            </w:r>
          </w:p>
          <w:p w14:paraId="19046FBD" w14:textId="77777777" w:rsidR="00E8617E" w:rsidRPr="00BC513A" w:rsidRDefault="00E8617E" w:rsidP="00922731">
            <w:pPr>
              <w:pStyle w:val="DefaultText"/>
              <w:spacing w:after="120" w:line="300" w:lineRule="atLeast"/>
              <w:rPr>
                <w:sz w:val="20"/>
                <w:szCs w:val="20"/>
                <w:lang w:val="bg-BG"/>
              </w:rPr>
            </w:pPr>
            <w:r w:rsidRPr="00BC513A">
              <w:rPr>
                <w:sz w:val="20"/>
                <w:szCs w:val="20"/>
                <w:lang w:val="bg-BG"/>
              </w:rPr>
              <w:t>4.1 Създаване на местен капацитет за прилагане на подхода ЛИДЕР.</w:t>
            </w:r>
          </w:p>
          <w:p w14:paraId="5A3F6CD7" w14:textId="77777777" w:rsidR="00E8617E" w:rsidRPr="00BC513A" w:rsidRDefault="00E8617E" w:rsidP="00922731">
            <w:pPr>
              <w:pStyle w:val="DefaultText"/>
              <w:spacing w:after="120" w:line="300" w:lineRule="atLeast"/>
              <w:rPr>
                <w:sz w:val="20"/>
                <w:szCs w:val="20"/>
                <w:lang w:val="bg-BG"/>
              </w:rPr>
            </w:pPr>
            <w:r w:rsidRPr="00BC513A">
              <w:rPr>
                <w:sz w:val="20"/>
                <w:szCs w:val="20"/>
                <w:lang w:val="bg-BG"/>
              </w:rPr>
              <w:t>4.2 Подкрепа за прилагане на стратегии за местно развитие.</w:t>
            </w:r>
          </w:p>
        </w:tc>
      </w:tr>
      <w:tr w:rsidR="00E8617E" w:rsidRPr="00BC513A" w14:paraId="164CB69D" w14:textId="77777777" w:rsidTr="00922731">
        <w:tc>
          <w:tcPr>
            <w:tcW w:w="9060" w:type="dxa"/>
            <w:shd w:val="clear" w:color="auto" w:fill="FFE599" w:themeFill="accent4" w:themeFillTint="66"/>
          </w:tcPr>
          <w:p w14:paraId="70D42999" w14:textId="77777777" w:rsidR="00E8617E" w:rsidRPr="00BC513A" w:rsidRDefault="00E8617E" w:rsidP="00922731">
            <w:pPr>
              <w:pStyle w:val="DefaultText"/>
              <w:spacing w:after="120" w:line="300" w:lineRule="atLeast"/>
              <w:rPr>
                <w:sz w:val="20"/>
                <w:szCs w:val="20"/>
                <w:lang w:val="bg-BG"/>
              </w:rPr>
            </w:pPr>
            <w:r w:rsidRPr="00BC513A">
              <w:rPr>
                <w:b/>
                <w:sz w:val="20"/>
                <w:szCs w:val="20"/>
                <w:lang w:val="bg-BG"/>
              </w:rPr>
              <w:t xml:space="preserve">Бенефициенти: </w:t>
            </w:r>
            <w:r w:rsidRPr="00BC513A">
              <w:rPr>
                <w:sz w:val="20"/>
                <w:szCs w:val="20"/>
                <w:lang w:val="bg-BG"/>
              </w:rPr>
              <w:t>Местни инициативни групи (МИГ), физически и юридически лица, неправителствени организации и общини в районите, където има одобрена и действаща МИГ.</w:t>
            </w:r>
          </w:p>
        </w:tc>
      </w:tr>
    </w:tbl>
    <w:p w14:paraId="18066B65" w14:textId="77777777" w:rsidR="00E8617E" w:rsidRPr="00BC513A" w:rsidRDefault="00E8617E" w:rsidP="00E8617E">
      <w:pPr>
        <w:pStyle w:val="DefaultText"/>
        <w:spacing w:after="120" w:line="300" w:lineRule="atLeast"/>
        <w:ind w:firstLine="708"/>
        <w:rPr>
          <w:sz w:val="22"/>
          <w:szCs w:val="22"/>
          <w:lang w:val="bg-BG"/>
        </w:rPr>
      </w:pPr>
    </w:p>
    <w:p w14:paraId="4952CAAC"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 допълнение на горните приоритетни оси, финансиране се предоставя и за техническа помощ за управление и изпълнение на Програмата.</w:t>
      </w:r>
    </w:p>
    <w:tbl>
      <w:tblPr>
        <w:tblW w:w="0" w:type="auto"/>
        <w:tblLook w:val="04A0" w:firstRow="1" w:lastRow="0" w:firstColumn="1" w:lastColumn="0" w:noHBand="0" w:noVBand="1"/>
      </w:tblPr>
      <w:tblGrid>
        <w:gridCol w:w="9060"/>
      </w:tblGrid>
      <w:tr w:rsidR="00E8617E" w:rsidRPr="00BC513A" w14:paraId="1A8B4142" w14:textId="77777777" w:rsidTr="00922731">
        <w:tc>
          <w:tcPr>
            <w:tcW w:w="9060" w:type="dxa"/>
            <w:shd w:val="clear" w:color="auto" w:fill="F2F2F2" w:themeFill="background1" w:themeFillShade="F2"/>
          </w:tcPr>
          <w:p w14:paraId="0835FF2E" w14:textId="77777777" w:rsidR="00E8617E" w:rsidRPr="00BC513A" w:rsidRDefault="00E8617E" w:rsidP="00922731">
            <w:pPr>
              <w:pStyle w:val="DefaultText"/>
              <w:shd w:val="clear" w:color="auto" w:fill="F2F2F2" w:themeFill="background1" w:themeFillShade="F2"/>
              <w:spacing w:after="120" w:line="300" w:lineRule="atLeast"/>
              <w:rPr>
                <w:sz w:val="20"/>
                <w:szCs w:val="20"/>
                <w:lang w:val="bg-BG"/>
              </w:rPr>
            </w:pPr>
            <w:r w:rsidRPr="00BC513A">
              <w:rPr>
                <w:rFonts w:cs="Arial"/>
                <w:b/>
                <w:color w:val="000000"/>
                <w:sz w:val="20"/>
                <w:szCs w:val="20"/>
                <w:shd w:val="clear" w:color="auto" w:fill="F2F2F2" w:themeFill="background1" w:themeFillShade="F2"/>
                <w:lang w:val="bg-BG"/>
              </w:rPr>
              <w:t>Техническа помощ</w:t>
            </w:r>
          </w:p>
        </w:tc>
      </w:tr>
      <w:tr w:rsidR="00E8617E" w:rsidRPr="00BC513A" w14:paraId="74EFF6B4" w14:textId="77777777" w:rsidTr="00922731">
        <w:tc>
          <w:tcPr>
            <w:tcW w:w="9060" w:type="dxa"/>
            <w:shd w:val="clear" w:color="auto" w:fill="D9D9D9" w:themeFill="background1" w:themeFillShade="D9"/>
          </w:tcPr>
          <w:p w14:paraId="6B5347A2" w14:textId="77777777" w:rsidR="00E8617E" w:rsidRPr="00BC513A" w:rsidRDefault="00E8617E" w:rsidP="00922731">
            <w:pPr>
              <w:pStyle w:val="DefaultText"/>
              <w:spacing w:after="120" w:line="300" w:lineRule="atLeast"/>
              <w:rPr>
                <w:sz w:val="20"/>
                <w:szCs w:val="20"/>
                <w:lang w:val="bg-BG"/>
              </w:rPr>
            </w:pPr>
            <w:r w:rsidRPr="00BC513A">
              <w:rPr>
                <w:b/>
                <w:sz w:val="20"/>
                <w:szCs w:val="20"/>
                <w:lang w:val="bg-BG"/>
              </w:rPr>
              <w:t xml:space="preserve">Обща цел: </w:t>
            </w:r>
            <w:r w:rsidRPr="00BC513A">
              <w:rPr>
                <w:sz w:val="20"/>
                <w:szCs w:val="20"/>
                <w:lang w:val="bg-BG"/>
              </w:rPr>
              <w:t>Осигуряване ефективно управление и изпълнение на Програмата.</w:t>
            </w:r>
          </w:p>
        </w:tc>
      </w:tr>
      <w:tr w:rsidR="00E8617E" w:rsidRPr="00BC513A" w14:paraId="67B9D597" w14:textId="77777777" w:rsidTr="00922731">
        <w:tc>
          <w:tcPr>
            <w:tcW w:w="9060" w:type="dxa"/>
            <w:shd w:val="clear" w:color="auto" w:fill="BFBFBF" w:themeFill="background1" w:themeFillShade="BF"/>
          </w:tcPr>
          <w:p w14:paraId="34D8441D" w14:textId="6A4B9E42" w:rsidR="00E8617E" w:rsidRPr="00BC513A" w:rsidRDefault="00E8617E" w:rsidP="00D316C2">
            <w:pPr>
              <w:pStyle w:val="DefaultText"/>
              <w:spacing w:after="120" w:line="300" w:lineRule="atLeast"/>
              <w:rPr>
                <w:sz w:val="20"/>
                <w:szCs w:val="20"/>
                <w:lang w:val="bg-BG"/>
              </w:rPr>
            </w:pPr>
            <w:r w:rsidRPr="00BC513A">
              <w:rPr>
                <w:b/>
                <w:sz w:val="20"/>
                <w:szCs w:val="20"/>
                <w:lang w:val="bg-BG"/>
              </w:rPr>
              <w:t xml:space="preserve">Бенефициенти: </w:t>
            </w:r>
            <w:r w:rsidRPr="00BC513A">
              <w:rPr>
                <w:sz w:val="20"/>
                <w:szCs w:val="20"/>
                <w:lang w:val="bg-BG"/>
              </w:rPr>
              <w:t>Министерство на земеделието и храните и Държавен фонд "Земеделие" (ДФЗ).</w:t>
            </w:r>
          </w:p>
        </w:tc>
      </w:tr>
    </w:tbl>
    <w:p w14:paraId="5F43DF84" w14:textId="77777777" w:rsidR="00E8617E" w:rsidRPr="00BC513A" w:rsidRDefault="00E8617E" w:rsidP="00E8617E">
      <w:pPr>
        <w:pStyle w:val="DefaultText"/>
        <w:spacing w:after="120" w:line="300" w:lineRule="atLeast"/>
        <w:ind w:firstLine="708"/>
        <w:rPr>
          <w:sz w:val="22"/>
          <w:szCs w:val="22"/>
          <w:lang w:val="bg-BG"/>
        </w:rPr>
      </w:pPr>
    </w:p>
    <w:p w14:paraId="49E2A6BD" w14:textId="7203284F"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Размерът на безвъзмездна финансова помощ за един кандидат варира в зависимост от типа на прилаганата мярка и изпълняваните дейности </w:t>
      </w:r>
      <w:r w:rsidR="00D316C2">
        <w:rPr>
          <w:sz w:val="22"/>
          <w:szCs w:val="22"/>
          <w:lang w:val="bg-BG"/>
        </w:rPr>
        <w:t>–</w:t>
      </w:r>
      <w:r w:rsidRPr="00BC513A">
        <w:rPr>
          <w:sz w:val="22"/>
          <w:szCs w:val="22"/>
          <w:lang w:val="bg-BG"/>
        </w:rPr>
        <w:t xml:space="preserve"> между 40% и 100% от общата стойност на проекта в зависимост дали кандидатът е частно лице или община. По мярка 123 за кандидати големи предприятия (които не отговарят на определението за МСП съгласно ЗМСП) е предвиден интензитет на помощта в размер на 25 % от одобрените разходи. За част от мерките безвъзмездната помощ се предоставя на площ (обработваема земя или гори) или на земеделско стопанство </w:t>
      </w:r>
      <w:r w:rsidRPr="00BC513A">
        <w:rPr>
          <w:sz w:val="22"/>
          <w:szCs w:val="22"/>
          <w:lang w:val="bg-BG"/>
        </w:rPr>
        <w:lastRenderedPageBreak/>
        <w:t>(например при подпомагане на млади фермери и полупазарни стопанства). При други мерки плащанията са на база животинска единица или пчелни семейства.</w:t>
      </w:r>
    </w:p>
    <w:p w14:paraId="17238E0F"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Всяка мярка на ПРСР 2007-2013 се прилага чрез конкретна наредба, която инкорпорира разпоредби на свързано европейско и национално законодателство. В тези наредби са залегнали не само изискванията на Регламент на Комисията (EC) No 1974/2006 (контролни процедури и кръстосано съответствие), но и изискванията за спазване на свързано вторично законодателство, имащо отношение към конкретната подкрепяна дейност.</w:t>
      </w:r>
    </w:p>
    <w:p w14:paraId="4A0D906B" w14:textId="77777777" w:rsidR="00E8617E" w:rsidRPr="00BC513A" w:rsidRDefault="00E8617E" w:rsidP="00E8617E">
      <w:pPr>
        <w:pStyle w:val="DefaultText"/>
        <w:spacing w:after="120" w:line="300" w:lineRule="atLeast"/>
        <w:ind w:firstLine="708"/>
        <w:rPr>
          <w:sz w:val="22"/>
          <w:szCs w:val="22"/>
          <w:lang w:val="bg-BG"/>
        </w:rPr>
      </w:pPr>
      <w:r w:rsidRPr="00BC513A">
        <w:rPr>
          <w:b/>
          <w:sz w:val="22"/>
          <w:szCs w:val="22"/>
          <w:lang w:val="bg-BG"/>
        </w:rPr>
        <w:t>Очакваното въздействие</w:t>
      </w:r>
      <w:r w:rsidRPr="00BC513A">
        <w:rPr>
          <w:sz w:val="22"/>
          <w:szCs w:val="22"/>
          <w:lang w:val="bg-BG"/>
        </w:rPr>
        <w:t xml:space="preserve"> от Програмата е в няколко направления: </w:t>
      </w:r>
    </w:p>
    <w:p w14:paraId="056A30D7" w14:textId="77777777" w:rsidR="00E8617E" w:rsidRPr="00BC513A" w:rsidRDefault="00E8617E" w:rsidP="00E8617E">
      <w:pPr>
        <w:pStyle w:val="DefaultText"/>
        <w:spacing w:after="120" w:line="300" w:lineRule="atLeast"/>
        <w:ind w:firstLine="708"/>
        <w:rPr>
          <w:sz w:val="22"/>
          <w:szCs w:val="22"/>
          <w:lang w:val="bg-BG"/>
        </w:rPr>
      </w:pPr>
      <w:r w:rsidRPr="00BC513A">
        <w:rPr>
          <w:b/>
          <w:sz w:val="22"/>
          <w:szCs w:val="22"/>
          <w:lang w:val="bg-BG"/>
        </w:rPr>
        <w:t>Икономически растеж</w:t>
      </w:r>
      <w:r w:rsidRPr="00BC513A">
        <w:rPr>
          <w:sz w:val="22"/>
          <w:szCs w:val="22"/>
          <w:lang w:val="bg-BG"/>
        </w:rPr>
        <w:t xml:space="preserve"> в областта на селското стопанство, горското стопанство и хранително вкусовата промишленост.</w:t>
      </w:r>
    </w:p>
    <w:p w14:paraId="55E06505" w14:textId="77777777" w:rsidR="00E8617E" w:rsidRPr="00BC513A" w:rsidRDefault="00E8617E" w:rsidP="00E8617E">
      <w:pPr>
        <w:pStyle w:val="DefaultText"/>
        <w:spacing w:after="120" w:line="300" w:lineRule="atLeast"/>
        <w:ind w:firstLine="708"/>
        <w:rPr>
          <w:sz w:val="22"/>
          <w:szCs w:val="22"/>
          <w:lang w:val="bg-BG"/>
        </w:rPr>
      </w:pPr>
      <w:r w:rsidRPr="00BC513A">
        <w:rPr>
          <w:b/>
          <w:sz w:val="22"/>
          <w:szCs w:val="22"/>
          <w:lang w:val="bg-BG"/>
        </w:rPr>
        <w:t>Повишаване на производителността на труда</w:t>
      </w:r>
      <w:r w:rsidRPr="00BC513A">
        <w:rPr>
          <w:sz w:val="22"/>
          <w:szCs w:val="22"/>
          <w:lang w:val="bg-BG"/>
        </w:rPr>
        <w:t xml:space="preserve"> в земеделието, на база на използване на по-продуктивни “производствени активи” – оборудване, сграден фонд, инфраструктура и обучение за подобряване на управленските умения. </w:t>
      </w:r>
    </w:p>
    <w:p w14:paraId="1C906482"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Положително въздействие върху нивата на</w:t>
      </w:r>
      <w:r w:rsidRPr="00BC513A">
        <w:rPr>
          <w:b/>
          <w:sz w:val="22"/>
          <w:szCs w:val="22"/>
          <w:lang w:val="bg-BG"/>
        </w:rPr>
        <w:t xml:space="preserve"> заетост</w:t>
      </w:r>
      <w:r w:rsidRPr="00BC513A">
        <w:rPr>
          <w:sz w:val="22"/>
          <w:szCs w:val="22"/>
          <w:lang w:val="bg-BG"/>
        </w:rPr>
        <w:t xml:space="preserve"> чрез създаване на нови възможности за заетост и запазване на съществуващи работни места.</w:t>
      </w:r>
    </w:p>
    <w:p w14:paraId="6A6C9415" w14:textId="77777777" w:rsidR="00E8617E" w:rsidRPr="00BC513A" w:rsidRDefault="00E8617E" w:rsidP="00E8617E">
      <w:pPr>
        <w:pStyle w:val="DefaultText"/>
        <w:spacing w:after="120" w:line="300" w:lineRule="atLeast"/>
        <w:ind w:firstLine="708"/>
        <w:rPr>
          <w:sz w:val="22"/>
          <w:szCs w:val="22"/>
          <w:lang w:val="bg-BG"/>
        </w:rPr>
      </w:pPr>
      <w:r w:rsidRPr="00BC513A">
        <w:rPr>
          <w:b/>
          <w:sz w:val="22"/>
          <w:szCs w:val="22"/>
          <w:lang w:val="bg-BG"/>
        </w:rPr>
        <w:t>Положително въздействие върху околната среда и климатичните промени</w:t>
      </w:r>
      <w:r w:rsidRPr="00BC513A">
        <w:rPr>
          <w:sz w:val="22"/>
          <w:szCs w:val="22"/>
          <w:lang w:val="bg-BG"/>
        </w:rPr>
        <w:t>, не само от мерките по ос 2, но и като цяло от изпълнението на програмата.</w:t>
      </w:r>
    </w:p>
    <w:p w14:paraId="6279E70F" w14:textId="77777777" w:rsidR="00E8617E" w:rsidRPr="00BC513A" w:rsidRDefault="00E8617E" w:rsidP="00E8617E">
      <w:pPr>
        <w:pStyle w:val="Heading2"/>
        <w:numPr>
          <w:ilvl w:val="1"/>
          <w:numId w:val="3"/>
        </w:numPr>
      </w:pPr>
      <w:bookmarkStart w:id="27" w:name="_Toc504136127"/>
      <w:r w:rsidRPr="00BC513A">
        <w:t>Цел и обхват на оценката</w:t>
      </w:r>
      <w:bookmarkEnd w:id="27"/>
    </w:p>
    <w:p w14:paraId="79A206D5"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Съгласно техническата спецификация на Възложителя, последващата (ex-post) оценка на ПРСР 2007-2013 има за цел да изследва степента на използване на ресурсите, резултатността и ефективността от програмирането на ЕЗФРСР, социално-икономическото въздействие и въздействие върху приоритетите на Общността. </w:t>
      </w:r>
    </w:p>
    <w:p w14:paraId="57ED1828"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Последващата оценка на програмата е свързана с извършване на оценка на Програмата на ниво ос и мярка относно:</w:t>
      </w:r>
    </w:p>
    <w:p w14:paraId="3DC49D42" w14:textId="77777777" w:rsidR="00E8617E" w:rsidRPr="00BC513A" w:rsidRDefault="00E8617E" w:rsidP="00E8617E">
      <w:pPr>
        <w:widowControl w:val="0"/>
        <w:numPr>
          <w:ilvl w:val="0"/>
          <w:numId w:val="10"/>
        </w:numPr>
        <w:spacing w:after="120" w:line="276" w:lineRule="auto"/>
        <w:jc w:val="both"/>
        <w:rPr>
          <w:rFonts w:ascii="Arial" w:eastAsia="Times New Roman" w:hAnsi="Arial" w:cs="Arial"/>
        </w:rPr>
      </w:pPr>
      <w:r w:rsidRPr="00BC513A">
        <w:rPr>
          <w:rFonts w:ascii="Arial" w:eastAsia="Times New Roman" w:hAnsi="Arial" w:cs="Arial"/>
        </w:rPr>
        <w:t>Съответствие за решаването на най-важните потребности в областта на Програмата;</w:t>
      </w:r>
    </w:p>
    <w:p w14:paraId="3AD1C7F1" w14:textId="77777777" w:rsidR="00E8617E" w:rsidRPr="00BC513A" w:rsidRDefault="00E8617E" w:rsidP="00E8617E">
      <w:pPr>
        <w:widowControl w:val="0"/>
        <w:numPr>
          <w:ilvl w:val="0"/>
          <w:numId w:val="10"/>
        </w:numPr>
        <w:spacing w:after="120" w:line="276" w:lineRule="auto"/>
        <w:jc w:val="both"/>
        <w:rPr>
          <w:rFonts w:ascii="Arial" w:eastAsia="Times New Roman" w:hAnsi="Arial" w:cs="Arial"/>
        </w:rPr>
      </w:pPr>
      <w:r w:rsidRPr="00BC513A">
        <w:rPr>
          <w:rFonts w:ascii="Arial" w:eastAsia="Times New Roman" w:hAnsi="Arial" w:cs="Arial"/>
        </w:rPr>
        <w:t>Ефективност и достижения за изпълнението на целите на политиката;</w:t>
      </w:r>
    </w:p>
    <w:p w14:paraId="1CF02FA9" w14:textId="77777777" w:rsidR="00E8617E" w:rsidRPr="00BC513A" w:rsidRDefault="00E8617E" w:rsidP="00E8617E">
      <w:pPr>
        <w:widowControl w:val="0"/>
        <w:numPr>
          <w:ilvl w:val="0"/>
          <w:numId w:val="10"/>
        </w:numPr>
        <w:spacing w:after="120" w:line="276" w:lineRule="auto"/>
        <w:jc w:val="both"/>
        <w:rPr>
          <w:rFonts w:ascii="Arial" w:eastAsia="Times New Roman" w:hAnsi="Arial" w:cs="Arial"/>
        </w:rPr>
      </w:pPr>
      <w:r w:rsidRPr="00BC513A">
        <w:rPr>
          <w:rFonts w:ascii="Arial" w:eastAsia="Times New Roman" w:hAnsi="Arial" w:cs="Arial"/>
        </w:rPr>
        <w:t>Въздействия по отношение приноса на Програмата към извършваните в обхвата ѝ промени;</w:t>
      </w:r>
    </w:p>
    <w:p w14:paraId="45612855" w14:textId="77777777" w:rsidR="00E8617E" w:rsidRPr="00BC513A" w:rsidRDefault="00E8617E" w:rsidP="00E8617E">
      <w:pPr>
        <w:widowControl w:val="0"/>
        <w:numPr>
          <w:ilvl w:val="0"/>
          <w:numId w:val="10"/>
        </w:numPr>
        <w:spacing w:after="120" w:line="276" w:lineRule="auto"/>
        <w:jc w:val="both"/>
        <w:rPr>
          <w:rFonts w:ascii="Arial" w:eastAsia="Times New Roman" w:hAnsi="Arial" w:cs="Arial"/>
        </w:rPr>
      </w:pPr>
      <w:r w:rsidRPr="00BC513A">
        <w:rPr>
          <w:rFonts w:ascii="Arial" w:eastAsia="Times New Roman" w:hAnsi="Arial" w:cs="Arial"/>
        </w:rPr>
        <w:t>Факторите „успех“ и „провал“ и научените уроци, с оглед създаването на бъдещата политика.</w:t>
      </w:r>
    </w:p>
    <w:p w14:paraId="3B5518B9" w14:textId="77777777" w:rsidR="00E8617E" w:rsidRPr="00BC513A" w:rsidRDefault="00E8617E" w:rsidP="00E8617E">
      <w:pPr>
        <w:pStyle w:val="Heading2"/>
        <w:keepNext/>
        <w:numPr>
          <w:ilvl w:val="1"/>
          <w:numId w:val="3"/>
        </w:numPr>
        <w:ind w:left="1077" w:hanging="357"/>
      </w:pPr>
      <w:bookmarkStart w:id="28" w:name="_Toc504136128"/>
      <w:r w:rsidRPr="00BC513A">
        <w:t>Предходни оценки на ПРСР 2007-2013 г.</w:t>
      </w:r>
      <w:bookmarkEnd w:id="28"/>
    </w:p>
    <w:p w14:paraId="4AA254DD" w14:textId="7E2E52D6"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ПРСР 2007-2013, съгласно изискванията на Регламент </w:t>
      </w:r>
      <w:r w:rsidR="00D57404">
        <w:rPr>
          <w:sz w:val="22"/>
          <w:szCs w:val="22"/>
          <w:lang w:val="bg-BG"/>
        </w:rPr>
        <w:t>(</w:t>
      </w:r>
      <w:r w:rsidRPr="00BC513A">
        <w:rPr>
          <w:sz w:val="22"/>
          <w:szCs w:val="22"/>
          <w:lang w:val="bg-BG"/>
        </w:rPr>
        <w:t>Е</w:t>
      </w:r>
      <w:r w:rsidR="00D57404">
        <w:rPr>
          <w:sz w:val="22"/>
          <w:szCs w:val="22"/>
          <w:lang w:val="bg-BG"/>
        </w:rPr>
        <w:t>О)</w:t>
      </w:r>
      <w:r w:rsidRPr="00BC513A">
        <w:rPr>
          <w:sz w:val="22"/>
          <w:szCs w:val="22"/>
          <w:lang w:val="bg-BG"/>
        </w:rPr>
        <w:t xml:space="preserve"> </w:t>
      </w:r>
      <w:r w:rsidR="00D57404">
        <w:rPr>
          <w:sz w:val="22"/>
          <w:szCs w:val="22"/>
          <w:lang w:val="bg-BG"/>
        </w:rPr>
        <w:t xml:space="preserve">№ </w:t>
      </w:r>
      <w:r w:rsidRPr="00BC513A">
        <w:rPr>
          <w:sz w:val="22"/>
          <w:szCs w:val="22"/>
          <w:lang w:val="bg-BG"/>
        </w:rPr>
        <w:t xml:space="preserve">1698/2005, е била обект на предварителна, годишни текущи оценки, както и една междинна оценка, осъществена през 2010 г. </w:t>
      </w:r>
    </w:p>
    <w:p w14:paraId="509E6C17" w14:textId="77777777" w:rsidR="00E8617E" w:rsidRPr="00BC513A" w:rsidRDefault="00E8617E" w:rsidP="00E8617E">
      <w:pPr>
        <w:pStyle w:val="DefaultText"/>
        <w:spacing w:after="120" w:line="300" w:lineRule="atLeast"/>
        <w:ind w:firstLine="708"/>
        <w:rPr>
          <w:sz w:val="22"/>
          <w:szCs w:val="22"/>
          <w:lang w:val="bg-BG"/>
        </w:rPr>
      </w:pPr>
      <w:r w:rsidRPr="00BC513A">
        <w:rPr>
          <w:b/>
          <w:sz w:val="22"/>
          <w:szCs w:val="22"/>
          <w:lang w:val="bg-BG"/>
        </w:rPr>
        <w:lastRenderedPageBreak/>
        <w:t>Основните констатации на докладите</w:t>
      </w:r>
      <w:r w:rsidRPr="00BC513A">
        <w:rPr>
          <w:sz w:val="22"/>
          <w:szCs w:val="22"/>
          <w:lang w:val="bg-BG"/>
        </w:rPr>
        <w:t xml:space="preserve"> са представени по-долу:</w:t>
      </w:r>
    </w:p>
    <w:p w14:paraId="68A584F8" w14:textId="77777777" w:rsidR="00E8617E" w:rsidRPr="00BC513A" w:rsidRDefault="00E8617E" w:rsidP="00E8617E">
      <w:pPr>
        <w:pStyle w:val="Heading3"/>
        <w:ind w:left="1560" w:hanging="851"/>
      </w:pPr>
      <w:bookmarkStart w:id="29" w:name="_Toc504136129"/>
      <w:r w:rsidRPr="00BC513A">
        <w:t>Предварителна оценка на ПРСР 2007-2013 г.</w:t>
      </w:r>
      <w:bookmarkEnd w:id="29"/>
    </w:p>
    <w:p w14:paraId="30EB1D66" w14:textId="77777777" w:rsidR="00E8617E" w:rsidRPr="00625062" w:rsidRDefault="00E8617E" w:rsidP="00625062">
      <w:pPr>
        <w:spacing w:after="120" w:line="300" w:lineRule="atLeast"/>
        <w:ind w:firstLine="708"/>
        <w:jc w:val="both"/>
        <w:rPr>
          <w:rFonts w:ascii="Arial" w:eastAsia="Calibri" w:hAnsi="Arial" w:cs="Arial"/>
        </w:rPr>
      </w:pPr>
      <w:r w:rsidRPr="00625062">
        <w:rPr>
          <w:rFonts w:ascii="Arial" w:eastAsia="Calibri" w:hAnsi="Arial" w:cs="Arial"/>
        </w:rPr>
        <w:t>Предварителната оценка на ПРСР 2007-2013 г. е изготвена в периода 2006-2007</w:t>
      </w:r>
      <w:r w:rsidR="00C54AE8">
        <w:rPr>
          <w:rFonts w:ascii="Arial" w:eastAsia="Calibri" w:hAnsi="Arial" w:cs="Arial"/>
        </w:rPr>
        <w:t xml:space="preserve"> </w:t>
      </w:r>
      <w:r w:rsidRPr="00625062">
        <w:rPr>
          <w:rFonts w:ascii="Arial" w:eastAsia="Calibri" w:hAnsi="Arial" w:cs="Arial"/>
        </w:rPr>
        <w:t>г. от консорциум с водещ партньор Scanagri Denmark, ADE s.a., Belgium</w:t>
      </w:r>
      <w:r w:rsidR="00252FA8" w:rsidRPr="00625062">
        <w:rPr>
          <w:rFonts w:ascii="Arial" w:eastAsia="Calibri" w:hAnsi="Arial" w:cs="Arial"/>
        </w:rPr>
        <w:t xml:space="preserve">, </w:t>
      </w:r>
      <w:r w:rsidRPr="00625062">
        <w:rPr>
          <w:rFonts w:ascii="Arial" w:eastAsia="Calibri" w:hAnsi="Arial" w:cs="Arial"/>
        </w:rPr>
        <w:t xml:space="preserve"> AGROTEC S.p.A, Italy, BRL Ingénierie, France</w:t>
      </w:r>
      <w:r w:rsidR="00252FA8" w:rsidRPr="00625062">
        <w:rPr>
          <w:rFonts w:ascii="Arial" w:eastAsia="Calibri" w:hAnsi="Arial" w:cs="Arial"/>
        </w:rPr>
        <w:t xml:space="preserve">, </w:t>
      </w:r>
      <w:r w:rsidRPr="00625062">
        <w:rPr>
          <w:rFonts w:ascii="Arial" w:eastAsia="Calibri" w:hAnsi="Arial" w:cs="Arial"/>
        </w:rPr>
        <w:t xml:space="preserve"> ECORYS, The Netherlands, Halcrow Group Ltd., United Kingdom, Oceanic Development, Frаnce, TYPSA Ingenieros Consultores, Spain. </w:t>
      </w:r>
    </w:p>
    <w:p w14:paraId="46D39CD5"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Основните </w:t>
      </w:r>
      <w:r w:rsidRPr="00BC513A">
        <w:rPr>
          <w:b/>
          <w:sz w:val="22"/>
          <w:szCs w:val="22"/>
          <w:lang w:val="bg-BG"/>
        </w:rPr>
        <w:t>препоръки</w:t>
      </w:r>
      <w:r w:rsidRPr="00BC513A">
        <w:rPr>
          <w:sz w:val="22"/>
          <w:szCs w:val="22"/>
          <w:lang w:val="bg-BG"/>
        </w:rPr>
        <w:t xml:space="preserve"> от този доклад са отнасят до:</w:t>
      </w:r>
    </w:p>
    <w:p w14:paraId="3F347BDC" w14:textId="77777777" w:rsidR="00E8617E" w:rsidRPr="00BC513A" w:rsidRDefault="00E8617E" w:rsidP="00E8617E">
      <w:pPr>
        <w:spacing w:after="120" w:line="300" w:lineRule="atLeast"/>
        <w:ind w:firstLine="708"/>
        <w:jc w:val="both"/>
        <w:rPr>
          <w:rFonts w:ascii="Arial" w:eastAsia="Calibri" w:hAnsi="Arial" w:cs="Arial"/>
        </w:rPr>
      </w:pPr>
      <w:r w:rsidRPr="00BC513A">
        <w:rPr>
          <w:rFonts w:ascii="Arial" w:eastAsia="Calibri" w:hAnsi="Arial" w:cs="Arial"/>
          <w:b/>
        </w:rPr>
        <w:t>Фокусиране на ресурсите</w:t>
      </w:r>
      <w:r w:rsidRPr="00BC513A">
        <w:rPr>
          <w:rFonts w:ascii="Arial" w:eastAsia="Calibri" w:hAnsi="Arial" w:cs="Arial"/>
        </w:rPr>
        <w:t>, изработване на критерии за приоритетност и стратегия за всяка мярка, отчитайки както типовете потенциални ползватели на подкрепата</w:t>
      </w:r>
      <w:r w:rsidR="00C54AE8">
        <w:rPr>
          <w:rFonts w:ascii="Arial" w:eastAsia="Calibri" w:hAnsi="Arial" w:cs="Arial"/>
        </w:rPr>
        <w:t>,</w:t>
      </w:r>
      <w:r w:rsidRPr="00BC513A">
        <w:rPr>
          <w:rFonts w:ascii="Arial" w:eastAsia="Calibri" w:hAnsi="Arial" w:cs="Arial"/>
        </w:rPr>
        <w:t xml:space="preserve"> така и географското им разположение в страната. </w:t>
      </w:r>
    </w:p>
    <w:p w14:paraId="5B8070A6" w14:textId="77777777" w:rsidR="00E8617E" w:rsidRPr="00BC513A" w:rsidRDefault="00E8617E" w:rsidP="00E8617E">
      <w:pPr>
        <w:spacing w:after="120" w:line="300" w:lineRule="atLeast"/>
        <w:ind w:firstLine="708"/>
        <w:jc w:val="both"/>
        <w:rPr>
          <w:rFonts w:ascii="Arial" w:eastAsia="Calibri" w:hAnsi="Arial" w:cs="Arial"/>
        </w:rPr>
      </w:pPr>
      <w:r w:rsidRPr="00BC513A">
        <w:rPr>
          <w:rFonts w:ascii="Arial" w:eastAsia="Calibri" w:hAnsi="Arial" w:cs="Arial"/>
        </w:rPr>
        <w:t xml:space="preserve">Изработване на </w:t>
      </w:r>
      <w:r w:rsidRPr="00BC513A">
        <w:rPr>
          <w:rFonts w:ascii="Arial" w:eastAsia="Calibri" w:hAnsi="Arial" w:cs="Arial"/>
          <w:b/>
        </w:rPr>
        <w:t>ефективна процедура за възражения</w:t>
      </w:r>
      <w:r w:rsidRPr="00BC513A">
        <w:rPr>
          <w:rFonts w:ascii="Arial" w:eastAsia="Calibri" w:hAnsi="Arial" w:cs="Arial"/>
        </w:rPr>
        <w:t xml:space="preserve"> срещу решения на Управляващия орган или Разплащателната агенция; възможност за обмяна на добри и лоши практики и предупреждения срещу неквалифицирани / некоректни консултанти,  доставчици на услуги, техника или материали.</w:t>
      </w:r>
    </w:p>
    <w:p w14:paraId="696E8651" w14:textId="77777777" w:rsidR="00E8617E" w:rsidRPr="00BC513A" w:rsidRDefault="00E8617E" w:rsidP="00E8617E">
      <w:pPr>
        <w:spacing w:after="120" w:line="300" w:lineRule="atLeast"/>
        <w:ind w:firstLine="708"/>
        <w:jc w:val="both"/>
        <w:rPr>
          <w:rFonts w:ascii="Arial" w:eastAsia="Calibri" w:hAnsi="Arial" w:cs="Arial"/>
        </w:rPr>
      </w:pPr>
      <w:r w:rsidRPr="00BC513A">
        <w:rPr>
          <w:rFonts w:ascii="Arial" w:eastAsia="Calibri" w:hAnsi="Arial" w:cs="Arial"/>
          <w:b/>
        </w:rPr>
        <w:t>Децентрализиране на изпълнението</w:t>
      </w:r>
      <w:r w:rsidRPr="00BC513A">
        <w:rPr>
          <w:rFonts w:ascii="Arial" w:eastAsia="Calibri" w:hAnsi="Arial" w:cs="Arial"/>
        </w:rPr>
        <w:t xml:space="preserve"> и изнасяне на значителна част от административните процедури на областно ниво.</w:t>
      </w:r>
    </w:p>
    <w:p w14:paraId="5023AE7C" w14:textId="77777777" w:rsidR="00E8617E" w:rsidRPr="00BC513A" w:rsidRDefault="00E8617E" w:rsidP="00E8617E">
      <w:pPr>
        <w:spacing w:after="120" w:line="300" w:lineRule="atLeast"/>
        <w:ind w:firstLine="708"/>
        <w:jc w:val="both"/>
        <w:rPr>
          <w:rFonts w:ascii="Arial" w:eastAsia="Calibri" w:hAnsi="Arial" w:cs="Arial"/>
        </w:rPr>
      </w:pPr>
      <w:r w:rsidRPr="00BC513A">
        <w:rPr>
          <w:rFonts w:ascii="Arial" w:eastAsia="Calibri" w:hAnsi="Arial" w:cs="Arial"/>
        </w:rPr>
        <w:t xml:space="preserve">Осигуряване на </w:t>
      </w:r>
      <w:r w:rsidRPr="00BC513A">
        <w:rPr>
          <w:rFonts w:ascii="Arial" w:eastAsia="Calibri" w:hAnsi="Arial" w:cs="Arial"/>
          <w:b/>
        </w:rPr>
        <w:t>тясно сътрудничество между Управляващия орган (УО) и Разплащателната агенция</w:t>
      </w:r>
      <w:r w:rsidRPr="00BC513A">
        <w:rPr>
          <w:rFonts w:ascii="Arial" w:eastAsia="Calibri" w:hAnsi="Arial" w:cs="Arial"/>
        </w:rPr>
        <w:t xml:space="preserve">. </w:t>
      </w:r>
    </w:p>
    <w:p w14:paraId="03E9BBD1" w14:textId="77777777" w:rsidR="00E8617E" w:rsidRPr="00BC513A" w:rsidRDefault="00E8617E" w:rsidP="00E8617E">
      <w:pPr>
        <w:spacing w:after="120" w:line="300" w:lineRule="atLeast"/>
        <w:ind w:firstLine="708"/>
        <w:jc w:val="both"/>
        <w:rPr>
          <w:rFonts w:ascii="Arial" w:eastAsia="Calibri" w:hAnsi="Arial" w:cs="Arial"/>
        </w:rPr>
      </w:pPr>
      <w:r w:rsidRPr="00BC513A">
        <w:rPr>
          <w:rFonts w:ascii="Arial" w:eastAsia="Calibri" w:hAnsi="Arial" w:cs="Arial"/>
        </w:rPr>
        <w:t xml:space="preserve">Гарантиране на по-лесен достъп за бенефициентите до </w:t>
      </w:r>
      <w:r w:rsidRPr="00BC513A">
        <w:rPr>
          <w:rFonts w:ascii="Arial" w:eastAsia="Calibri" w:hAnsi="Arial" w:cs="Arial"/>
          <w:b/>
        </w:rPr>
        <w:t>кредити за инвестициите</w:t>
      </w:r>
      <w:r w:rsidRPr="00BC513A">
        <w:rPr>
          <w:rFonts w:ascii="Arial" w:eastAsia="Calibri" w:hAnsi="Arial" w:cs="Arial"/>
        </w:rPr>
        <w:t xml:space="preserve"> по проектите (междинно финансиране).</w:t>
      </w:r>
    </w:p>
    <w:p w14:paraId="38D70290" w14:textId="77777777" w:rsidR="00E8617E" w:rsidRPr="00BC513A" w:rsidRDefault="00E8617E" w:rsidP="00E8617E">
      <w:pPr>
        <w:spacing w:after="120" w:line="300" w:lineRule="atLeast"/>
        <w:ind w:firstLine="708"/>
        <w:jc w:val="both"/>
        <w:rPr>
          <w:rFonts w:ascii="Arial" w:eastAsia="Calibri" w:hAnsi="Arial" w:cs="Arial"/>
        </w:rPr>
      </w:pPr>
      <w:r w:rsidRPr="00BC513A">
        <w:rPr>
          <w:rFonts w:ascii="Arial" w:eastAsia="Calibri" w:hAnsi="Arial" w:cs="Arial"/>
        </w:rPr>
        <w:t xml:space="preserve">Голяма част от горните препоръки не са отразени от самото начало на изпълнение на Програмата. Оценките по време на изпълнение на Програмата (текущите и междинни оценки) констатират проблеми с фокусиране на инвестициите, значително централизиране на изпълнението, делегиране на малко правомощия на регионалните офиси на Разплащателната агенция, неефективно сътрудничество между УО и разплащателната агенция (РА) и финансови затруднения на бенефициентите. </w:t>
      </w:r>
    </w:p>
    <w:p w14:paraId="2B8A2CA6" w14:textId="0B9288E6" w:rsidR="00E8617E" w:rsidRPr="00BC513A" w:rsidRDefault="00E8617E" w:rsidP="00E8617E">
      <w:pPr>
        <w:spacing w:after="120" w:line="300" w:lineRule="atLeast"/>
        <w:ind w:firstLine="708"/>
        <w:jc w:val="both"/>
        <w:rPr>
          <w:rFonts w:ascii="Arial" w:eastAsia="Calibri" w:hAnsi="Arial" w:cs="Arial"/>
        </w:rPr>
      </w:pPr>
      <w:r w:rsidRPr="00BC513A">
        <w:rPr>
          <w:rFonts w:ascii="Arial" w:eastAsia="Calibri" w:hAnsi="Arial" w:cs="Arial"/>
        </w:rPr>
        <w:t>В хода на изпълнение на Програмата с</w:t>
      </w:r>
      <w:r w:rsidR="00B82B5F">
        <w:rPr>
          <w:rFonts w:ascii="Arial" w:eastAsia="Calibri" w:hAnsi="Arial" w:cs="Arial"/>
        </w:rPr>
        <w:t>а</w:t>
      </w:r>
      <w:r w:rsidRPr="00BC513A">
        <w:rPr>
          <w:rFonts w:ascii="Arial" w:eastAsia="Calibri" w:hAnsi="Arial" w:cs="Arial"/>
        </w:rPr>
        <w:t xml:space="preserve"> предприети мерки за облекчаване на финансовите затруднения на бенефициентите. Авансовите плащания към бенефициенти са увеличени от 20% на 50% и е въведена възможност за гаранция чрез поръчителство. Разработени са схеми за предоставяне на безлихвени заеми за извършване на плащания, за мерките, по които кандидати са общини </w:t>
      </w:r>
      <w:r w:rsidR="00C54AE8">
        <w:rPr>
          <w:rFonts w:ascii="Arial" w:eastAsia="Calibri" w:hAnsi="Arial" w:cs="Arial"/>
        </w:rPr>
        <w:t>–</w:t>
      </w:r>
      <w:r w:rsidRPr="00BC513A">
        <w:rPr>
          <w:rFonts w:ascii="Arial" w:eastAsia="Calibri" w:hAnsi="Arial" w:cs="Arial"/>
        </w:rPr>
        <w:t xml:space="preserve"> М313, М321, М322, М223 и М226. Към края на изпълнение на Програмата (през 2012) е създаден Гаранционен фонд. Гаранционният фонд издава допълваща обезпечението гаранция в размер до 80 на сто от размера на заеми за проекти по мерки 121, 122 и 123 на Програмата за развитие на селските райони. </w:t>
      </w:r>
    </w:p>
    <w:p w14:paraId="6EDFAA14" w14:textId="0F9AA577" w:rsidR="00E8617E" w:rsidRPr="00BC513A" w:rsidRDefault="00E8617E" w:rsidP="00E8617E">
      <w:pPr>
        <w:spacing w:after="120" w:line="300" w:lineRule="atLeast"/>
        <w:ind w:firstLine="708"/>
        <w:jc w:val="both"/>
        <w:rPr>
          <w:rFonts w:ascii="Arial" w:eastAsia="Calibri" w:hAnsi="Arial" w:cs="Arial"/>
        </w:rPr>
      </w:pPr>
      <w:r w:rsidRPr="00BC513A">
        <w:rPr>
          <w:rFonts w:ascii="Arial" w:eastAsia="Calibri" w:hAnsi="Arial" w:cs="Arial"/>
        </w:rPr>
        <w:t xml:space="preserve">Изпълнението на Програмата като цяло остава силно централизирано, но с течение на изпълнение на Програмата процедурите се облекчават като при мерки 112, 114 и 141 изпълнението е децентрализирано </w:t>
      </w:r>
      <w:r w:rsidR="00C54AE8">
        <w:rPr>
          <w:rFonts w:ascii="Arial" w:eastAsia="Calibri" w:hAnsi="Arial" w:cs="Arial"/>
        </w:rPr>
        <w:t>–</w:t>
      </w:r>
      <w:r w:rsidRPr="00BC513A">
        <w:rPr>
          <w:rFonts w:ascii="Arial" w:eastAsia="Calibri" w:hAnsi="Arial" w:cs="Arial"/>
        </w:rPr>
        <w:t xml:space="preserve"> документите се подават в областните офиси на РА, а регионалните офиси на РА извършват проверка при осъществяване на плащанията. </w:t>
      </w:r>
    </w:p>
    <w:p w14:paraId="158CAFF0" w14:textId="77777777" w:rsidR="00E8617E" w:rsidRPr="00BC513A" w:rsidRDefault="00E8617E" w:rsidP="00E8617E">
      <w:pPr>
        <w:spacing w:after="120" w:line="300" w:lineRule="atLeast"/>
        <w:ind w:firstLine="708"/>
        <w:jc w:val="both"/>
        <w:rPr>
          <w:rFonts w:ascii="Arial" w:eastAsia="Calibri" w:hAnsi="Arial" w:cs="Arial"/>
        </w:rPr>
      </w:pPr>
      <w:r w:rsidRPr="00BC513A">
        <w:rPr>
          <w:rFonts w:ascii="Arial" w:eastAsia="Calibri" w:hAnsi="Arial" w:cs="Arial"/>
        </w:rPr>
        <w:lastRenderedPageBreak/>
        <w:t>Голяма част от промените на Програмата са свързани с необходимост от фокусиране на подкрепата и касаят промени в наредбите за прилагане или осигуряване на по-добра взаимовръзка между мерките. Фокусирането на мерките, като цяло е трудно в процеса на изпълнение. Опитът от прилагането на Програмата в това отношение основно е използван при програмиране на новата ПРСР 2014-2020.</w:t>
      </w:r>
    </w:p>
    <w:p w14:paraId="5146489A" w14:textId="7BE50F41"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Предварителната оценка също така препоръчва отпадане на мярка 131, </w:t>
      </w:r>
      <w:r w:rsidRPr="00BC513A">
        <w:rPr>
          <w:i/>
          <w:sz w:val="22"/>
          <w:szCs w:val="22"/>
          <w:lang w:val="bg-BG"/>
        </w:rPr>
        <w:t>Подпомагане приспособяването на фермери към нарастващите изисквания по стандартите на Общността</w:t>
      </w:r>
      <w:r w:rsidRPr="00BC513A">
        <w:rPr>
          <w:sz w:val="22"/>
          <w:szCs w:val="22"/>
          <w:lang w:val="bg-BG"/>
        </w:rPr>
        <w:t xml:space="preserve">, мярка 132 </w:t>
      </w:r>
      <w:r w:rsidRPr="00BC513A">
        <w:rPr>
          <w:i/>
          <w:sz w:val="22"/>
          <w:szCs w:val="22"/>
          <w:lang w:val="bg-BG"/>
        </w:rPr>
        <w:t>Подпомагане на фермери, участващи в схеми за качество на храните</w:t>
      </w:r>
      <w:r w:rsidRPr="00BC513A">
        <w:rPr>
          <w:sz w:val="22"/>
          <w:szCs w:val="22"/>
          <w:lang w:val="bg-BG"/>
        </w:rPr>
        <w:t xml:space="preserve">, мярка 133 </w:t>
      </w:r>
      <w:r w:rsidRPr="00BC513A">
        <w:rPr>
          <w:i/>
          <w:sz w:val="22"/>
          <w:szCs w:val="22"/>
          <w:lang w:val="bg-BG"/>
        </w:rPr>
        <w:t>Подпомагане групи производители за информационни схеми, промоциращи качество на храните</w:t>
      </w:r>
      <w:r w:rsidRPr="00BC513A">
        <w:rPr>
          <w:sz w:val="22"/>
          <w:szCs w:val="22"/>
          <w:lang w:val="bg-BG"/>
        </w:rPr>
        <w:t xml:space="preserve"> и мярка 216 </w:t>
      </w:r>
      <w:r w:rsidRPr="00BC513A">
        <w:rPr>
          <w:i/>
          <w:sz w:val="22"/>
          <w:szCs w:val="22"/>
          <w:lang w:val="bg-BG"/>
        </w:rPr>
        <w:t>Подкрепа за непроизводствени инвестиции в земеделски земи</w:t>
      </w:r>
      <w:r w:rsidRPr="00BC513A">
        <w:rPr>
          <w:sz w:val="22"/>
          <w:szCs w:val="22"/>
          <w:lang w:val="bg-BG"/>
        </w:rPr>
        <w:t>, което е взето предвид. В настоящата ПРСР 2014</w:t>
      </w:r>
      <w:r w:rsidR="00C54AE8">
        <w:rPr>
          <w:sz w:val="22"/>
          <w:szCs w:val="22"/>
          <w:lang w:val="bg-BG"/>
        </w:rPr>
        <w:t>-</w:t>
      </w:r>
      <w:r w:rsidRPr="00BC513A">
        <w:rPr>
          <w:sz w:val="22"/>
          <w:szCs w:val="22"/>
          <w:lang w:val="bg-BG"/>
        </w:rPr>
        <w:t>2020 са предвидени инвестиции в непроизводствени дейности чрез подмярка 4.4 „Инвестиции в непроизводствени дейности“ от мярка 4 „Инвестиции в материални активи“.</w:t>
      </w:r>
    </w:p>
    <w:p w14:paraId="105C218D" w14:textId="352B046E" w:rsidR="00E8617E" w:rsidRPr="00BC513A" w:rsidRDefault="00E8617E" w:rsidP="00E8617E">
      <w:pPr>
        <w:pStyle w:val="Heading3"/>
        <w:spacing w:line="300" w:lineRule="atLeast"/>
        <w:ind w:left="1560" w:hanging="851"/>
      </w:pPr>
      <w:bookmarkStart w:id="30" w:name="_Toc504136130"/>
      <w:r w:rsidRPr="00BC513A">
        <w:t>Текуща и междинна оценка на изпълнението на ПРСР в периода 2008</w:t>
      </w:r>
      <w:r w:rsidR="00C54AE8">
        <w:t>-</w:t>
      </w:r>
      <w:r w:rsidRPr="00BC513A">
        <w:t>2010 г:</w:t>
      </w:r>
      <w:bookmarkEnd w:id="30"/>
    </w:p>
    <w:p w14:paraId="397FDD63" w14:textId="650BF2A6" w:rsidR="00E8617E" w:rsidRPr="00BC513A" w:rsidRDefault="00E8617E" w:rsidP="00E8617E">
      <w:pPr>
        <w:spacing w:after="120" w:line="300" w:lineRule="atLeast"/>
        <w:ind w:firstLine="709"/>
        <w:jc w:val="both"/>
        <w:rPr>
          <w:rFonts w:ascii="Arial" w:eastAsia="Calibri" w:hAnsi="Arial" w:cs="Arial"/>
        </w:rPr>
      </w:pPr>
      <w:r w:rsidRPr="00BC513A">
        <w:rPr>
          <w:rFonts w:ascii="Arial" w:eastAsia="Calibri" w:hAnsi="Arial" w:cs="Arial"/>
        </w:rPr>
        <w:t xml:space="preserve">Оценката е осъществена в периода 2007-2010 г. от екип на AGROTEC S.p.A. </w:t>
      </w:r>
      <w:r w:rsidR="00CD7112">
        <w:rPr>
          <w:rFonts w:ascii="Arial" w:eastAsia="Calibri" w:hAnsi="Arial" w:cs="Arial"/>
        </w:rPr>
        <w:t xml:space="preserve">В обхвата на работа са включени и </w:t>
      </w:r>
      <w:r w:rsidRPr="00BC513A">
        <w:rPr>
          <w:rFonts w:ascii="Arial" w:eastAsia="Calibri" w:hAnsi="Arial" w:cs="Arial"/>
        </w:rPr>
        <w:t xml:space="preserve">тематични </w:t>
      </w:r>
      <w:r w:rsidRPr="00CD7112">
        <w:rPr>
          <w:rFonts w:ascii="Arial" w:eastAsia="Calibri" w:hAnsi="Arial" w:cs="Arial"/>
        </w:rPr>
        <w:t>оценки относно</w:t>
      </w:r>
      <w:r w:rsidRPr="00BC513A">
        <w:rPr>
          <w:rFonts w:ascii="Arial" w:eastAsia="Calibri" w:hAnsi="Arial" w:cs="Arial"/>
        </w:rPr>
        <w:t xml:space="preserve">: </w:t>
      </w:r>
    </w:p>
    <w:p w14:paraId="795CFD85" w14:textId="77777777" w:rsidR="00E8617E" w:rsidRPr="00BC513A" w:rsidRDefault="00E8617E" w:rsidP="00E8617E">
      <w:pPr>
        <w:pStyle w:val="ListParagraph"/>
        <w:numPr>
          <w:ilvl w:val="0"/>
          <w:numId w:val="26"/>
        </w:numPr>
        <w:spacing w:after="120" w:line="240" w:lineRule="auto"/>
        <w:ind w:left="714" w:hanging="357"/>
        <w:contextualSpacing w:val="0"/>
        <w:rPr>
          <w:rFonts w:ascii="Arial" w:eastAsia="Times New Roman" w:hAnsi="Arial" w:cs="Times New Roman"/>
          <w:lang w:eastAsia="nl-NL"/>
        </w:rPr>
      </w:pPr>
      <w:r w:rsidRPr="00BC513A">
        <w:rPr>
          <w:rFonts w:ascii="Arial" w:eastAsia="Times New Roman" w:hAnsi="Arial" w:cs="Times New Roman"/>
          <w:lang w:eastAsia="nl-NL"/>
        </w:rPr>
        <w:t>Оценка на контекста на Програмата;</w:t>
      </w:r>
    </w:p>
    <w:p w14:paraId="7F76E05B" w14:textId="77777777" w:rsidR="00E8617E" w:rsidRPr="00BC513A" w:rsidRDefault="00E8617E" w:rsidP="00E8617E">
      <w:pPr>
        <w:pStyle w:val="ListParagraph"/>
        <w:numPr>
          <w:ilvl w:val="0"/>
          <w:numId w:val="26"/>
        </w:numPr>
        <w:spacing w:after="120" w:line="240" w:lineRule="auto"/>
        <w:ind w:left="714" w:hanging="357"/>
        <w:contextualSpacing w:val="0"/>
        <w:rPr>
          <w:rFonts w:ascii="Arial" w:eastAsia="Times New Roman" w:hAnsi="Arial" w:cs="Times New Roman"/>
          <w:lang w:eastAsia="nl-NL"/>
        </w:rPr>
      </w:pPr>
      <w:r w:rsidRPr="00BC513A">
        <w:rPr>
          <w:rFonts w:ascii="Arial" w:eastAsia="Times New Roman" w:hAnsi="Arial" w:cs="Times New Roman"/>
          <w:lang w:eastAsia="nl-NL"/>
        </w:rPr>
        <w:t>Проучване на сектора за производство на мляко;</w:t>
      </w:r>
    </w:p>
    <w:p w14:paraId="0E8A0BCE" w14:textId="77777777" w:rsidR="00E8617E" w:rsidRPr="00BC513A" w:rsidRDefault="00E8617E" w:rsidP="00E8617E">
      <w:pPr>
        <w:pStyle w:val="ListParagraph"/>
        <w:numPr>
          <w:ilvl w:val="0"/>
          <w:numId w:val="26"/>
        </w:numPr>
        <w:spacing w:after="120" w:line="240" w:lineRule="auto"/>
        <w:ind w:left="714" w:hanging="357"/>
        <w:contextualSpacing w:val="0"/>
        <w:rPr>
          <w:rFonts w:ascii="Arial" w:eastAsia="Times New Roman" w:hAnsi="Arial" w:cs="Times New Roman"/>
          <w:lang w:eastAsia="nl-NL"/>
        </w:rPr>
      </w:pPr>
      <w:r w:rsidRPr="00BC513A">
        <w:rPr>
          <w:rFonts w:ascii="Arial" w:eastAsia="Times New Roman" w:hAnsi="Arial" w:cs="Times New Roman"/>
          <w:lang w:eastAsia="nl-NL"/>
        </w:rPr>
        <w:t xml:space="preserve">Преглед на базовите индикатори; </w:t>
      </w:r>
    </w:p>
    <w:p w14:paraId="60F3A457" w14:textId="77777777" w:rsidR="00E8617E" w:rsidRPr="00BC513A" w:rsidRDefault="00E8617E" w:rsidP="00E8617E">
      <w:pPr>
        <w:pStyle w:val="ListParagraph"/>
        <w:numPr>
          <w:ilvl w:val="0"/>
          <w:numId w:val="26"/>
        </w:numPr>
        <w:spacing w:after="120" w:line="240" w:lineRule="auto"/>
        <w:ind w:left="714" w:hanging="357"/>
        <w:contextualSpacing w:val="0"/>
        <w:rPr>
          <w:rFonts w:ascii="Arial" w:eastAsia="Times New Roman" w:hAnsi="Arial" w:cs="Times New Roman"/>
          <w:lang w:eastAsia="nl-NL"/>
        </w:rPr>
      </w:pPr>
      <w:bookmarkStart w:id="31" w:name="_Toc274206626"/>
      <w:r w:rsidRPr="00BC513A">
        <w:rPr>
          <w:rFonts w:ascii="Arial" w:eastAsia="Times New Roman" w:hAnsi="Arial" w:cs="Times New Roman"/>
          <w:lang w:eastAsia="nl-NL"/>
        </w:rPr>
        <w:t>Преоценка на интервенционната логика на ПРСР и оценка на въздействието от преразпределението на средства между мерките от ПРСР</w:t>
      </w:r>
      <w:bookmarkEnd w:id="31"/>
      <w:r w:rsidRPr="00BC513A">
        <w:rPr>
          <w:rFonts w:ascii="Arial" w:eastAsia="Times New Roman" w:hAnsi="Arial" w:cs="Times New Roman"/>
          <w:lang w:eastAsia="nl-NL"/>
        </w:rPr>
        <w:t xml:space="preserve">; </w:t>
      </w:r>
    </w:p>
    <w:p w14:paraId="7DF49AE2" w14:textId="77777777" w:rsidR="00E8617E" w:rsidRPr="00BC513A" w:rsidRDefault="00E8617E" w:rsidP="00E8617E">
      <w:pPr>
        <w:pStyle w:val="ListParagraph"/>
        <w:numPr>
          <w:ilvl w:val="0"/>
          <w:numId w:val="26"/>
        </w:numPr>
        <w:spacing w:after="120" w:line="240" w:lineRule="auto"/>
        <w:ind w:left="714" w:hanging="357"/>
        <w:contextualSpacing w:val="0"/>
        <w:rPr>
          <w:rFonts w:ascii="Arial" w:eastAsia="Times New Roman" w:hAnsi="Arial" w:cs="Times New Roman"/>
          <w:lang w:eastAsia="nl-NL"/>
        </w:rPr>
      </w:pPr>
      <w:r w:rsidRPr="00BC513A">
        <w:rPr>
          <w:rFonts w:ascii="Arial" w:eastAsia="Times New Roman" w:hAnsi="Arial" w:cs="Times New Roman"/>
          <w:lang w:eastAsia="nl-NL"/>
        </w:rPr>
        <w:t>Тематично проучване на административните процедури;</w:t>
      </w:r>
    </w:p>
    <w:p w14:paraId="2BE6C4EB" w14:textId="77777777" w:rsidR="00E8617E" w:rsidRPr="00BC513A" w:rsidRDefault="00E8617E" w:rsidP="00E8617E">
      <w:pPr>
        <w:pStyle w:val="ListParagraph"/>
        <w:numPr>
          <w:ilvl w:val="0"/>
          <w:numId w:val="26"/>
        </w:numPr>
        <w:spacing w:after="120" w:line="240" w:lineRule="auto"/>
        <w:ind w:left="714" w:hanging="357"/>
        <w:contextualSpacing w:val="0"/>
        <w:rPr>
          <w:rFonts w:ascii="Arial" w:eastAsia="Times New Roman" w:hAnsi="Arial" w:cs="Times New Roman"/>
          <w:lang w:eastAsia="nl-NL"/>
        </w:rPr>
      </w:pPr>
      <w:r w:rsidRPr="00BC513A">
        <w:rPr>
          <w:rFonts w:ascii="Arial" w:eastAsia="Times New Roman" w:hAnsi="Arial" w:cs="Times New Roman"/>
          <w:lang w:eastAsia="nl-NL"/>
        </w:rPr>
        <w:t>Преглед на мярката и анализ на местната инициатива за разработване на проекти, финансирани по ПРСР.</w:t>
      </w:r>
    </w:p>
    <w:p w14:paraId="4F1D25BD" w14:textId="77777777" w:rsidR="00E8617E" w:rsidRPr="00BC513A" w:rsidRDefault="00E8617E" w:rsidP="00E8617E">
      <w:pPr>
        <w:spacing w:after="120" w:line="300" w:lineRule="atLeast"/>
        <w:ind w:firstLine="709"/>
        <w:jc w:val="both"/>
        <w:rPr>
          <w:rFonts w:ascii="Arial" w:eastAsia="Calibri" w:hAnsi="Arial" w:cs="Arial"/>
        </w:rPr>
      </w:pPr>
      <w:r w:rsidRPr="00BC513A">
        <w:rPr>
          <w:rFonts w:ascii="Arial" w:eastAsia="Calibri" w:hAnsi="Arial" w:cs="Arial"/>
        </w:rPr>
        <w:t>Основните констатации на оценките са обобщени в доклада за междинна оценка и са както следва:</w:t>
      </w:r>
    </w:p>
    <w:p w14:paraId="2C3DB09C"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Констатирано е, че Програмата е </w:t>
      </w:r>
      <w:r w:rsidRPr="00BC513A">
        <w:rPr>
          <w:b/>
          <w:sz w:val="22"/>
          <w:szCs w:val="22"/>
          <w:lang w:val="bg-BG"/>
        </w:rPr>
        <w:t>много уместна</w:t>
      </w:r>
      <w:r w:rsidRPr="00BC513A">
        <w:rPr>
          <w:sz w:val="22"/>
          <w:szCs w:val="22"/>
          <w:lang w:val="bg-BG"/>
        </w:rPr>
        <w:t xml:space="preserve"> за развитие и модернизиране и селското стопанство и развитие на селските райони.</w:t>
      </w:r>
    </w:p>
    <w:p w14:paraId="55AD0831" w14:textId="587E423C" w:rsidR="00E8617E" w:rsidRPr="00BC513A" w:rsidRDefault="00E8617E" w:rsidP="00E8617E">
      <w:pPr>
        <w:pStyle w:val="DefaultText"/>
        <w:spacing w:after="120" w:line="300" w:lineRule="atLeast"/>
        <w:ind w:firstLine="708"/>
        <w:rPr>
          <w:sz w:val="22"/>
          <w:szCs w:val="22"/>
          <w:lang w:val="bg-BG"/>
        </w:rPr>
      </w:pPr>
      <w:r w:rsidRPr="00BC513A">
        <w:rPr>
          <w:b/>
          <w:sz w:val="22"/>
          <w:szCs w:val="22"/>
          <w:lang w:val="bg-BG"/>
        </w:rPr>
        <w:t>По отношение на ефективността</w:t>
      </w:r>
      <w:r w:rsidRPr="00BC513A">
        <w:rPr>
          <w:sz w:val="22"/>
          <w:szCs w:val="22"/>
          <w:lang w:val="bg-BG"/>
        </w:rPr>
        <w:t xml:space="preserve"> е установено забавяне в изпълнението на някои мерки и неравномерно усвояване на средствата по отделните мерки. Като цяло са установени положителни ефекти по отношение на създаване или запазване на работни места, повишаване на икономическата активност; повишаване на производителността на труда и модернизация на стопанствата. Също така са отбелязани положителни ефекти по отношение на околната среда, макар да се отбелязва, че те са по-скромни предвид слабото усвояване на средства, особено по отношение на мерките, свързани с горите. Положителни ефекти са отбелязани и по отношение на подкрепата за селските райони, основно в изграждане на инфраструктура (водо</w:t>
      </w:r>
      <w:r w:rsidR="00C54AE8">
        <w:rPr>
          <w:sz w:val="22"/>
          <w:szCs w:val="22"/>
          <w:lang w:val="bg-BG"/>
        </w:rPr>
        <w:t>снабдяване</w:t>
      </w:r>
      <w:r w:rsidRPr="00BC513A">
        <w:rPr>
          <w:sz w:val="22"/>
          <w:szCs w:val="22"/>
          <w:lang w:val="bg-BG"/>
        </w:rPr>
        <w:t xml:space="preserve"> и канализация, пътища, осветление и паркове).</w:t>
      </w:r>
    </w:p>
    <w:p w14:paraId="6A20307E" w14:textId="7DD121E3"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lastRenderedPageBreak/>
        <w:t xml:space="preserve">По отношение </w:t>
      </w:r>
      <w:r w:rsidRPr="00BC513A">
        <w:rPr>
          <w:b/>
          <w:sz w:val="22"/>
          <w:szCs w:val="22"/>
          <w:lang w:val="bg-BG"/>
        </w:rPr>
        <w:t>системата за мониторинг</w:t>
      </w:r>
      <w:r w:rsidRPr="00BC513A">
        <w:rPr>
          <w:sz w:val="22"/>
          <w:szCs w:val="22"/>
          <w:lang w:val="bg-BG"/>
        </w:rPr>
        <w:t>, докладът заключава, че последната не работи така добре</w:t>
      </w:r>
      <w:r w:rsidR="007C594C">
        <w:rPr>
          <w:sz w:val="22"/>
          <w:szCs w:val="22"/>
          <w:lang w:val="bg-BG"/>
        </w:rPr>
        <w:t>,</w:t>
      </w:r>
      <w:r w:rsidRPr="00BC513A">
        <w:rPr>
          <w:sz w:val="22"/>
          <w:szCs w:val="22"/>
          <w:lang w:val="bg-BG"/>
        </w:rPr>
        <w:t xml:space="preserve"> както би трябвало. Не се събират всички необходими данни, а ако се събират, не винаги се въвеждат в електронната система. Отбелязват се трудности за изв</w:t>
      </w:r>
      <w:r w:rsidR="007C594C">
        <w:rPr>
          <w:sz w:val="22"/>
          <w:szCs w:val="22"/>
          <w:lang w:val="bg-BG"/>
        </w:rPr>
        <w:t>е</w:t>
      </w:r>
      <w:r w:rsidRPr="00BC513A">
        <w:rPr>
          <w:sz w:val="22"/>
          <w:szCs w:val="22"/>
          <w:lang w:val="bg-BG"/>
        </w:rPr>
        <w:t>ждане на справки от електронната система. Констатирано е, че информацията по наблюдение на прилагането на ПРСР, достигаща до УО</w:t>
      </w:r>
      <w:r w:rsidR="007C594C">
        <w:rPr>
          <w:sz w:val="22"/>
          <w:szCs w:val="22"/>
          <w:lang w:val="bg-BG"/>
        </w:rPr>
        <w:t>,</w:t>
      </w:r>
      <w:r w:rsidRPr="00BC513A">
        <w:rPr>
          <w:sz w:val="22"/>
          <w:szCs w:val="22"/>
          <w:lang w:val="bg-BG"/>
        </w:rPr>
        <w:t xml:space="preserve"> не винаги е с добро качество, което препятства работата на УО.</w:t>
      </w:r>
    </w:p>
    <w:p w14:paraId="6FF132CE" w14:textId="77777777" w:rsidR="00E8617E" w:rsidRPr="00BC513A" w:rsidRDefault="00E8617E" w:rsidP="00E8617E">
      <w:pPr>
        <w:pStyle w:val="DefaultText"/>
        <w:spacing w:after="120" w:line="300" w:lineRule="atLeast"/>
        <w:ind w:firstLine="567"/>
        <w:rPr>
          <w:sz w:val="22"/>
          <w:szCs w:val="22"/>
          <w:lang w:val="bg-BG"/>
        </w:rPr>
      </w:pPr>
      <w:r w:rsidRPr="00BC513A">
        <w:rPr>
          <w:sz w:val="22"/>
          <w:szCs w:val="22"/>
          <w:lang w:val="bg-BG"/>
        </w:rPr>
        <w:t>По отношение на</w:t>
      </w:r>
      <w:r w:rsidRPr="00BC513A">
        <w:rPr>
          <w:b/>
          <w:sz w:val="22"/>
          <w:szCs w:val="22"/>
          <w:lang w:val="bg-BG"/>
        </w:rPr>
        <w:t xml:space="preserve"> публичност и прозрачност </w:t>
      </w:r>
      <w:r w:rsidRPr="00BC513A">
        <w:rPr>
          <w:sz w:val="22"/>
          <w:szCs w:val="22"/>
          <w:lang w:val="bg-BG"/>
        </w:rPr>
        <w:t xml:space="preserve">се отбелязва, че са провеждани комуникационни кампании. Въпреки това някои потенциални бенефициенти не са добре информирани относно възможностите за кандидатстване и най-вече за целите на подкрепата, предоставяна по програмата. По отношение на прозрачността се констатира, че формално на страниците на МЗХГ и на ДФЗ е налична информация относно програмата и мерките, но няма информация относно сключените договори, бенефициентите, стойността на договорите и тяхното териториално разпределение. Това силно ограничава прозрачността и затруднява мониторинга, включително от страна на КН. </w:t>
      </w:r>
    </w:p>
    <w:p w14:paraId="1336EB4B" w14:textId="77777777" w:rsidR="00E8617E" w:rsidRPr="00BC513A" w:rsidRDefault="00E8617E" w:rsidP="00E8617E">
      <w:pPr>
        <w:shd w:val="clear" w:color="auto" w:fill="FFFFFF"/>
        <w:spacing w:after="120" w:line="300" w:lineRule="atLeast"/>
        <w:ind w:firstLine="567"/>
        <w:jc w:val="both"/>
        <w:rPr>
          <w:rFonts w:ascii="Arial" w:hAnsi="Arial" w:cs="Arial"/>
          <w:color w:val="000000"/>
        </w:rPr>
      </w:pPr>
      <w:r w:rsidRPr="00BC513A">
        <w:rPr>
          <w:rFonts w:ascii="Arial" w:hAnsi="Arial" w:cs="Arial"/>
          <w:color w:val="000000"/>
        </w:rPr>
        <w:t xml:space="preserve">Основните </w:t>
      </w:r>
      <w:r w:rsidRPr="00BC513A">
        <w:rPr>
          <w:rFonts w:ascii="Arial" w:hAnsi="Arial" w:cs="Arial"/>
          <w:b/>
          <w:color w:val="000000"/>
        </w:rPr>
        <w:t>препоръки</w:t>
      </w:r>
      <w:r w:rsidRPr="00BC513A">
        <w:rPr>
          <w:rFonts w:ascii="Arial" w:hAnsi="Arial" w:cs="Arial"/>
          <w:color w:val="000000"/>
        </w:rPr>
        <w:t xml:space="preserve"> касаят:</w:t>
      </w:r>
    </w:p>
    <w:p w14:paraId="3CED69CC" w14:textId="5B0DEB1D" w:rsidR="00E8617E" w:rsidRPr="00BC513A" w:rsidRDefault="00E8617E" w:rsidP="00E8617E">
      <w:pPr>
        <w:shd w:val="clear" w:color="auto" w:fill="FFFFFF"/>
        <w:spacing w:after="120" w:line="300" w:lineRule="atLeast"/>
        <w:ind w:firstLine="567"/>
        <w:jc w:val="both"/>
        <w:rPr>
          <w:rFonts w:ascii="Arial" w:hAnsi="Arial" w:cs="Arial"/>
          <w:color w:val="000000"/>
        </w:rPr>
      </w:pPr>
      <w:r w:rsidRPr="00BC513A">
        <w:rPr>
          <w:rFonts w:ascii="Arial" w:hAnsi="Arial" w:cs="Arial"/>
          <w:b/>
          <w:color w:val="000000"/>
        </w:rPr>
        <w:t>Преразпределение на средства</w:t>
      </w:r>
      <w:r w:rsidRPr="00BC513A">
        <w:rPr>
          <w:rFonts w:ascii="Arial" w:hAnsi="Arial" w:cs="Arial"/>
          <w:color w:val="000000"/>
        </w:rPr>
        <w:t xml:space="preserve"> между мерките поради големия риск, значителна част от бюджета да бъде освободен през 2011 г, както и отпадане на мерки </w:t>
      </w:r>
      <w:r w:rsidRPr="00BC513A">
        <w:rPr>
          <w:rFonts w:ascii="Arial" w:eastAsia="Calibri" w:hAnsi="Arial" w:cs="Arial"/>
        </w:rPr>
        <w:t xml:space="preserve">126 и 341. Препоръката е взета предвид. Направено е преразпределение на бюджета между мерките чрез шестото и седмо изменение на Програмата. Преразпределение на средства между отделните мерки е правено и </w:t>
      </w:r>
      <w:r w:rsidR="007C594C">
        <w:rPr>
          <w:rFonts w:ascii="Arial" w:eastAsia="Calibri" w:hAnsi="Arial" w:cs="Arial"/>
        </w:rPr>
        <w:t>през</w:t>
      </w:r>
      <w:r w:rsidR="007C594C" w:rsidRPr="00BC513A">
        <w:rPr>
          <w:rFonts w:ascii="Arial" w:eastAsia="Calibri" w:hAnsi="Arial" w:cs="Arial"/>
        </w:rPr>
        <w:t xml:space="preserve"> </w:t>
      </w:r>
      <w:r w:rsidRPr="00BC513A">
        <w:rPr>
          <w:rFonts w:ascii="Arial" w:eastAsia="Calibri" w:hAnsi="Arial" w:cs="Arial"/>
        </w:rPr>
        <w:t>следващите години с цел по-рационално използване и усвояване.</w:t>
      </w:r>
    </w:p>
    <w:p w14:paraId="7B0090DF" w14:textId="17DF59CA" w:rsidR="00E8617E" w:rsidRPr="00BC513A" w:rsidRDefault="00E8617E" w:rsidP="00E8617E">
      <w:pPr>
        <w:pStyle w:val="DefaultText"/>
        <w:spacing w:after="120" w:line="300" w:lineRule="atLeast"/>
        <w:ind w:firstLine="567"/>
        <w:rPr>
          <w:sz w:val="22"/>
          <w:szCs w:val="22"/>
          <w:lang w:val="bg-BG"/>
        </w:rPr>
      </w:pPr>
      <w:r w:rsidRPr="00BC513A">
        <w:rPr>
          <w:sz w:val="22"/>
          <w:szCs w:val="22"/>
          <w:lang w:val="bg-BG"/>
        </w:rPr>
        <w:t xml:space="preserve">Подобряване на </w:t>
      </w:r>
      <w:r w:rsidRPr="00BC513A">
        <w:rPr>
          <w:b/>
          <w:sz w:val="22"/>
          <w:szCs w:val="22"/>
          <w:lang w:val="bg-BG"/>
        </w:rPr>
        <w:t>общата среда за изпълнение</w:t>
      </w:r>
      <w:r w:rsidRPr="00BC513A">
        <w:rPr>
          <w:sz w:val="22"/>
          <w:szCs w:val="22"/>
          <w:lang w:val="bg-BG"/>
        </w:rPr>
        <w:t xml:space="preserve"> на Програмата чрез осигуряване на повече информация/ориентация и консултации и по-лесен достъп до мостов капитал.</w:t>
      </w:r>
      <w:r w:rsidRPr="00BC513A">
        <w:rPr>
          <w:rFonts w:cs="Arial"/>
          <w:color w:val="000000"/>
          <w:lang w:val="bg-BG"/>
        </w:rPr>
        <w:t xml:space="preserve"> </w:t>
      </w:r>
      <w:r w:rsidRPr="00BC513A">
        <w:rPr>
          <w:sz w:val="22"/>
          <w:szCs w:val="22"/>
          <w:lang w:val="bg-BG"/>
        </w:rPr>
        <w:t>Препоръката е взета предвид. Що се отнася до предоставяне на достъп до финансиране, с осмото изменение на ПРСР 2007-2013 е създаден Гаранционен фонд за предоставяне на финансови гаранции на ползватели на помощта от малки и средни предприятия по мерки 121,122 и 123. Общата среда за изпълнение е подобрявана в хода на изпълнение на Програмата, но особено голям напредък по отношение на предоставянето на повече и лесно достъпна информация не може да бъде отчетен предвид на незадоволителното ниво на информация, предоставян</w:t>
      </w:r>
      <w:r w:rsidR="007C594C">
        <w:rPr>
          <w:sz w:val="22"/>
          <w:szCs w:val="22"/>
          <w:lang w:val="bg-BG"/>
        </w:rPr>
        <w:t>а</w:t>
      </w:r>
      <w:r w:rsidRPr="00BC513A">
        <w:rPr>
          <w:sz w:val="22"/>
          <w:szCs w:val="22"/>
          <w:lang w:val="bg-BG"/>
        </w:rPr>
        <w:t xml:space="preserve"> на страницата на УО и РА.</w:t>
      </w:r>
    </w:p>
    <w:p w14:paraId="5FC2AC14" w14:textId="77777777" w:rsidR="00E8617E" w:rsidRPr="00BC513A" w:rsidRDefault="00E8617E" w:rsidP="00E8617E">
      <w:pPr>
        <w:pStyle w:val="DefaultText"/>
        <w:spacing w:after="120" w:line="300" w:lineRule="atLeast"/>
        <w:ind w:firstLine="567"/>
        <w:rPr>
          <w:sz w:val="22"/>
          <w:szCs w:val="22"/>
          <w:lang w:val="bg-BG"/>
        </w:rPr>
      </w:pPr>
      <w:r w:rsidRPr="00BC513A">
        <w:rPr>
          <w:sz w:val="22"/>
          <w:szCs w:val="22"/>
          <w:lang w:val="bg-BG"/>
        </w:rPr>
        <w:t xml:space="preserve">Подобряване на </w:t>
      </w:r>
      <w:r w:rsidRPr="00BC513A">
        <w:rPr>
          <w:b/>
          <w:sz w:val="22"/>
          <w:szCs w:val="22"/>
          <w:lang w:val="bg-BG"/>
        </w:rPr>
        <w:t>синергията</w:t>
      </w:r>
      <w:r w:rsidRPr="00BC513A">
        <w:rPr>
          <w:sz w:val="22"/>
          <w:szCs w:val="22"/>
          <w:lang w:val="bg-BG"/>
        </w:rPr>
        <w:t xml:space="preserve"> на програмата чрез интегриране на мерки 124 и 121 и установяване на силна взаимосвързаност между мерки 112, 141, 142 и общия бюджет за конкурентоспособност по мярка 121. Препоръката е взета предвид. Мярка 124 е интегрирана в мярка 121. Чрез седмото изменение на Програмата по мярка 121 се дава приоритет на кандидати, които са одобрени по мерки 112, 141, 142.</w:t>
      </w:r>
    </w:p>
    <w:p w14:paraId="4A5058DA" w14:textId="77777777" w:rsidR="00E8617E" w:rsidRPr="00BC513A" w:rsidRDefault="00E8617E" w:rsidP="00E8617E">
      <w:pPr>
        <w:pStyle w:val="DefaultText"/>
        <w:spacing w:after="120" w:line="300" w:lineRule="atLeast"/>
        <w:ind w:firstLine="567"/>
        <w:rPr>
          <w:sz w:val="22"/>
          <w:szCs w:val="22"/>
          <w:lang w:val="bg-BG"/>
        </w:rPr>
      </w:pPr>
      <w:r w:rsidRPr="00BC513A">
        <w:rPr>
          <w:sz w:val="22"/>
          <w:szCs w:val="22"/>
          <w:lang w:val="bg-BG"/>
        </w:rPr>
        <w:t xml:space="preserve">Увеличаване на инвестициите по </w:t>
      </w:r>
      <w:r w:rsidRPr="00BC513A">
        <w:rPr>
          <w:b/>
          <w:sz w:val="22"/>
          <w:szCs w:val="22"/>
          <w:lang w:val="bg-BG"/>
        </w:rPr>
        <w:t>приоритети на ЕС</w:t>
      </w:r>
      <w:r w:rsidRPr="00BC513A">
        <w:rPr>
          <w:sz w:val="22"/>
          <w:szCs w:val="22"/>
          <w:lang w:val="bg-BG"/>
        </w:rPr>
        <w:t xml:space="preserve"> (иновации, спестяване на енергия и вода, използване на ИКТ, качествени храни, биологични храни, туризъм). Препоръката е взета предвид и е отразена в седмото изменение на Програмата.</w:t>
      </w:r>
    </w:p>
    <w:p w14:paraId="076D7805" w14:textId="77777777" w:rsidR="00E8617E" w:rsidRPr="00BC513A" w:rsidRDefault="00E8617E" w:rsidP="00E8617E">
      <w:pPr>
        <w:pStyle w:val="DefaultText"/>
        <w:spacing w:after="120" w:line="300" w:lineRule="atLeast"/>
        <w:ind w:firstLine="567"/>
        <w:rPr>
          <w:sz w:val="22"/>
          <w:szCs w:val="22"/>
          <w:lang w:val="bg-BG"/>
        </w:rPr>
      </w:pPr>
      <w:r w:rsidRPr="00BC513A">
        <w:rPr>
          <w:sz w:val="22"/>
          <w:szCs w:val="22"/>
          <w:lang w:val="bg-BG"/>
        </w:rPr>
        <w:t xml:space="preserve">Регионално пренасочване на средствата по мерки 112, 121, 141, 311, 312, за да се подпомогне социално-икономическото преструктуриране в приоритетните </w:t>
      </w:r>
      <w:r w:rsidRPr="00BC513A">
        <w:rPr>
          <w:b/>
          <w:sz w:val="22"/>
          <w:szCs w:val="22"/>
          <w:lang w:val="bg-BG"/>
        </w:rPr>
        <w:t>райони с най-затруднени перспективи за развитие</w:t>
      </w:r>
      <w:r w:rsidRPr="00BC513A">
        <w:rPr>
          <w:sz w:val="22"/>
          <w:szCs w:val="22"/>
          <w:lang w:val="bg-BG"/>
        </w:rPr>
        <w:t xml:space="preserve">. Чрез седмо изменение на ПРСР по мярка </w:t>
      </w:r>
      <w:r w:rsidRPr="00BC513A">
        <w:rPr>
          <w:sz w:val="22"/>
          <w:szCs w:val="22"/>
          <w:lang w:val="bg-BG"/>
        </w:rPr>
        <w:lastRenderedPageBreak/>
        <w:t>121 и мярка 112 се дава  приоритет на инвестиционни проекти, които се реализират на територията на области с по-слаба реализация на инвестиционни проекти по Програмата.</w:t>
      </w:r>
    </w:p>
    <w:p w14:paraId="0DA1FC9C" w14:textId="77777777" w:rsidR="00E8617E" w:rsidRPr="00BC513A" w:rsidRDefault="00E8617E" w:rsidP="00E8617E">
      <w:pPr>
        <w:pStyle w:val="DefaultText"/>
        <w:spacing w:after="120" w:line="300" w:lineRule="atLeast"/>
        <w:ind w:firstLine="567"/>
        <w:rPr>
          <w:sz w:val="22"/>
          <w:szCs w:val="22"/>
          <w:lang w:val="bg-BG"/>
        </w:rPr>
      </w:pPr>
      <w:r w:rsidRPr="00BC513A">
        <w:rPr>
          <w:sz w:val="22"/>
          <w:szCs w:val="22"/>
          <w:lang w:val="bg-BG"/>
        </w:rPr>
        <w:t xml:space="preserve">Подобряване на </w:t>
      </w:r>
      <w:r w:rsidRPr="00BC513A">
        <w:rPr>
          <w:b/>
          <w:sz w:val="22"/>
          <w:szCs w:val="22"/>
          <w:lang w:val="bg-BG"/>
        </w:rPr>
        <w:t>системата за мониторинг</w:t>
      </w:r>
      <w:r w:rsidRPr="00BC513A">
        <w:rPr>
          <w:sz w:val="22"/>
          <w:szCs w:val="22"/>
          <w:lang w:val="bg-BG"/>
        </w:rPr>
        <w:t>. Препоръчва се предоставяне на КН на информация за ефектите и резултатите, а не само информация за броя обработени проекти. Препоръчва се да бъде осигурен достъп в реално време до електронната система за управление. Препоръката като цяло не е изпълнена. Само отделни служители на УО са имали достъп до ограничена информация от ИСАК</w:t>
      </w:r>
      <w:r>
        <w:rPr>
          <w:sz w:val="22"/>
          <w:szCs w:val="22"/>
          <w:lang w:val="bg-BG"/>
        </w:rPr>
        <w:t>, а УО не разполага със собствена информационна система</w:t>
      </w:r>
      <w:r w:rsidRPr="00BC513A">
        <w:rPr>
          <w:rStyle w:val="FootnoteReference"/>
          <w:sz w:val="22"/>
          <w:szCs w:val="22"/>
          <w:lang w:val="bg-BG"/>
        </w:rPr>
        <w:footnoteReference w:id="5"/>
      </w:r>
      <w:r w:rsidRPr="00BC513A">
        <w:rPr>
          <w:sz w:val="22"/>
          <w:szCs w:val="22"/>
          <w:lang w:val="bg-BG"/>
        </w:rPr>
        <w:t>. В текущия доклад за оценка за 2011</w:t>
      </w:r>
      <w:r>
        <w:rPr>
          <w:sz w:val="22"/>
          <w:szCs w:val="22"/>
          <w:lang w:val="bg-BG"/>
        </w:rPr>
        <w:t> </w:t>
      </w:r>
      <w:r w:rsidRPr="00BC513A">
        <w:rPr>
          <w:sz w:val="22"/>
          <w:szCs w:val="22"/>
          <w:lang w:val="bg-BG"/>
        </w:rPr>
        <w:t>г</w:t>
      </w:r>
      <w:r>
        <w:rPr>
          <w:sz w:val="22"/>
          <w:szCs w:val="22"/>
          <w:lang w:val="bg-BG"/>
        </w:rPr>
        <w:t>.</w:t>
      </w:r>
      <w:r w:rsidRPr="00BC513A">
        <w:rPr>
          <w:sz w:val="22"/>
          <w:szCs w:val="22"/>
          <w:lang w:val="bg-BG"/>
        </w:rPr>
        <w:t xml:space="preserve"> е отбелязан напредък, свързан с подобрената електронна система на ДФЗ за  генерирането на различни видове справки. В същото време се констатира, че на КН информация се предоставя само за нивата на договориране и разплащане и то обикновено в неконсолидиран вид.</w:t>
      </w:r>
    </w:p>
    <w:p w14:paraId="1A64A745" w14:textId="77777777" w:rsidR="00E8617E" w:rsidRPr="00BC513A" w:rsidRDefault="00E8617E" w:rsidP="00E8617E">
      <w:pPr>
        <w:pStyle w:val="DefaultText"/>
        <w:spacing w:after="120" w:line="300" w:lineRule="atLeast"/>
        <w:ind w:firstLine="567"/>
        <w:rPr>
          <w:sz w:val="22"/>
          <w:szCs w:val="22"/>
          <w:lang w:val="bg-BG"/>
        </w:rPr>
      </w:pPr>
      <w:r w:rsidRPr="00BC513A">
        <w:rPr>
          <w:sz w:val="22"/>
          <w:szCs w:val="22"/>
          <w:lang w:val="bg-BG"/>
        </w:rPr>
        <w:t xml:space="preserve">По отношение на </w:t>
      </w:r>
      <w:r w:rsidRPr="00BC513A">
        <w:rPr>
          <w:b/>
          <w:sz w:val="22"/>
          <w:szCs w:val="22"/>
          <w:lang w:val="bg-BG"/>
        </w:rPr>
        <w:t>прозрачността</w:t>
      </w:r>
      <w:r w:rsidRPr="00BC513A">
        <w:rPr>
          <w:sz w:val="22"/>
          <w:szCs w:val="22"/>
          <w:lang w:val="bg-BG"/>
        </w:rPr>
        <w:t xml:space="preserve"> и предоставянето на достатъчно информация за програмата информационната система на ПРСР 2007-2013 ИСАК няма публичен модул, както е при информационната система за оперативните програми, финансирани от Европейския фонд за регионално развитие, Европейския социален фон и Кохезионния фонд (ИСУН).</w:t>
      </w:r>
    </w:p>
    <w:p w14:paraId="2271B731" w14:textId="77777777" w:rsidR="00E8617E" w:rsidRPr="00BC513A" w:rsidRDefault="00E8617E" w:rsidP="00E8617E">
      <w:pPr>
        <w:pStyle w:val="DefaultText"/>
        <w:spacing w:after="120" w:line="300" w:lineRule="atLeast"/>
        <w:ind w:firstLine="567"/>
        <w:rPr>
          <w:sz w:val="22"/>
          <w:szCs w:val="22"/>
          <w:lang w:val="bg-BG"/>
        </w:rPr>
      </w:pPr>
      <w:r w:rsidRPr="00BC513A">
        <w:rPr>
          <w:sz w:val="22"/>
          <w:szCs w:val="22"/>
          <w:lang w:val="bg-BG"/>
        </w:rPr>
        <w:t xml:space="preserve">Укрепване на </w:t>
      </w:r>
      <w:r w:rsidRPr="00BC513A">
        <w:rPr>
          <w:b/>
          <w:sz w:val="22"/>
          <w:szCs w:val="22"/>
          <w:lang w:val="bg-BG"/>
        </w:rPr>
        <w:t>капацитета на УО</w:t>
      </w:r>
      <w:r w:rsidRPr="00BC513A">
        <w:rPr>
          <w:sz w:val="22"/>
          <w:szCs w:val="22"/>
          <w:lang w:val="bg-BG"/>
        </w:rPr>
        <w:t xml:space="preserve"> да осъществява различни видове анализи за осигуряване на ефективно управление на мерките и Програмата. Препоръката е взета предвид чрез провеждане на обучения и набавяне на липсващия аналитичен капацитет по линия на техническата помощ.</w:t>
      </w:r>
    </w:p>
    <w:p w14:paraId="7F8DA452" w14:textId="77777777" w:rsidR="00E8617E" w:rsidRPr="00BC513A" w:rsidRDefault="00E8617E" w:rsidP="00E8617E">
      <w:pPr>
        <w:pStyle w:val="DefaultText"/>
        <w:spacing w:after="120" w:line="300" w:lineRule="atLeast"/>
        <w:ind w:firstLine="567"/>
        <w:rPr>
          <w:sz w:val="22"/>
          <w:szCs w:val="22"/>
          <w:lang w:val="bg-BG"/>
        </w:rPr>
      </w:pPr>
      <w:r w:rsidRPr="00BC513A">
        <w:rPr>
          <w:b/>
          <w:sz w:val="22"/>
          <w:szCs w:val="22"/>
          <w:lang w:val="bg-BG"/>
        </w:rPr>
        <w:t>Делегиране на някои дейности</w:t>
      </w:r>
      <w:r w:rsidRPr="00BC513A">
        <w:rPr>
          <w:sz w:val="22"/>
          <w:szCs w:val="22"/>
          <w:lang w:val="bg-BG"/>
        </w:rPr>
        <w:t xml:space="preserve"> по оценка и информация на трети страни като Агенцията по горите</w:t>
      </w:r>
      <w:r w:rsidR="000E2335">
        <w:rPr>
          <w:sz w:val="22"/>
          <w:szCs w:val="22"/>
          <w:lang w:val="bg-BG"/>
        </w:rPr>
        <w:t>,</w:t>
      </w:r>
      <w:r w:rsidRPr="00BC513A">
        <w:rPr>
          <w:sz w:val="22"/>
          <w:szCs w:val="22"/>
          <w:lang w:val="bg-BG"/>
        </w:rPr>
        <w:t xml:space="preserve"> браншови организации. Препоръката частично е взета предвид като е предвидена възможност за включване на външни експерти в оценителните комисии. </w:t>
      </w:r>
    </w:p>
    <w:p w14:paraId="77E5CF9A" w14:textId="77777777" w:rsidR="00E8617E" w:rsidRPr="00BC513A" w:rsidRDefault="00E8617E" w:rsidP="00E8617E">
      <w:pPr>
        <w:pStyle w:val="Heading3"/>
        <w:ind w:left="709" w:firstLine="0"/>
      </w:pPr>
      <w:bookmarkStart w:id="32" w:name="_Toc504136131"/>
      <w:r w:rsidRPr="00BC513A">
        <w:t>Текуща оценка на изпълнението на ПРСР за 2011, 2012 и 2013 г.</w:t>
      </w:r>
      <w:bookmarkEnd w:id="32"/>
    </w:p>
    <w:p w14:paraId="465A43DA" w14:textId="77777777" w:rsidR="00E8617E" w:rsidRPr="00BC513A" w:rsidRDefault="00E8617E" w:rsidP="00E8617E">
      <w:pPr>
        <w:shd w:val="clear" w:color="auto" w:fill="FFFFFF"/>
        <w:spacing w:after="120" w:line="300" w:lineRule="atLeast"/>
        <w:ind w:firstLine="709"/>
        <w:jc w:val="both"/>
        <w:rPr>
          <w:rFonts w:ascii="Arial" w:eastAsia="Times New Roman" w:hAnsi="Arial" w:cs="Arial"/>
          <w:color w:val="000000"/>
        </w:rPr>
      </w:pPr>
      <w:r w:rsidRPr="00BC513A">
        <w:rPr>
          <w:rFonts w:ascii="Arial" w:eastAsia="Times New Roman" w:hAnsi="Arial" w:cs="Arial"/>
          <w:color w:val="000000"/>
        </w:rPr>
        <w:t xml:space="preserve">Текущата оценка на ПРСР 2007-2013 за 2011, 2012 и 2103 е осъществявана от Консорциум „Агриконсулт“. </w:t>
      </w:r>
    </w:p>
    <w:p w14:paraId="0FE9D43F" w14:textId="6E8462B0" w:rsidR="00E8617E" w:rsidRPr="00BC513A" w:rsidRDefault="00E8617E" w:rsidP="00E8617E">
      <w:pPr>
        <w:shd w:val="clear" w:color="auto" w:fill="FFFFFF"/>
        <w:spacing w:after="120" w:line="300" w:lineRule="atLeast"/>
        <w:ind w:firstLine="709"/>
        <w:jc w:val="both"/>
        <w:rPr>
          <w:rFonts w:ascii="Arial" w:eastAsia="Times New Roman" w:hAnsi="Arial" w:cs="Arial"/>
          <w:color w:val="000000"/>
        </w:rPr>
      </w:pPr>
      <w:r w:rsidRPr="00BC513A">
        <w:rPr>
          <w:rFonts w:ascii="Arial" w:eastAsia="Times New Roman" w:hAnsi="Arial" w:cs="Arial"/>
          <w:color w:val="000000"/>
        </w:rPr>
        <w:t xml:space="preserve">Докладите за всяка от годините представят напредъка на Програмата по оси и мерки. Отправени са специфични препоръки по съответните оси, които оперативно са отразявани в процеса на изпълнение на Програмата. Препоръките като цяло касаят преразпределение на средства между мерки и оси с цел по-ефективно усвояване на средствата; ревизиране на целевите стойности на някои индикатори; подобряване на планирането и приема на проекти, навременно одобрение на проектите; популяризиране на създадения Гаранционен фонд и на мерки, към които има слаб интерес от страна на потенциални бенефициенти; подобряване на системата за мониторинг и набиране на данни, с които могат да се проследят ефектите от изпълнените мерки; оптимизиране на действията и координацията между УО и Разплащателната агенция. </w:t>
      </w:r>
    </w:p>
    <w:p w14:paraId="18802465" w14:textId="2CAE9B62" w:rsidR="00E8617E" w:rsidRPr="00BC513A" w:rsidRDefault="00E8617E" w:rsidP="00E8617E">
      <w:pPr>
        <w:shd w:val="clear" w:color="auto" w:fill="FFFFFF"/>
        <w:spacing w:after="120" w:line="300" w:lineRule="atLeast"/>
        <w:ind w:firstLine="709"/>
        <w:jc w:val="both"/>
        <w:rPr>
          <w:rFonts w:ascii="Arial" w:eastAsia="Times New Roman" w:hAnsi="Arial" w:cs="Arial"/>
          <w:color w:val="000000"/>
        </w:rPr>
      </w:pPr>
      <w:r w:rsidRPr="00BC513A">
        <w:rPr>
          <w:rFonts w:ascii="Arial" w:eastAsia="Times New Roman" w:hAnsi="Arial" w:cs="Arial"/>
          <w:color w:val="000000"/>
        </w:rPr>
        <w:lastRenderedPageBreak/>
        <w:t>В последния доклад за текуща оценка (2013) са отправени препоръки</w:t>
      </w:r>
      <w:r w:rsidR="000E2335">
        <w:rPr>
          <w:rFonts w:ascii="Arial" w:eastAsia="Times New Roman" w:hAnsi="Arial" w:cs="Arial"/>
          <w:color w:val="000000"/>
        </w:rPr>
        <w:t>,</w:t>
      </w:r>
      <w:r w:rsidRPr="00BC513A">
        <w:rPr>
          <w:rFonts w:ascii="Arial" w:eastAsia="Times New Roman" w:hAnsi="Arial" w:cs="Arial"/>
          <w:color w:val="000000"/>
        </w:rPr>
        <w:t xml:space="preserve"> касаещи програмирането на ПРСР 2014-2020</w:t>
      </w:r>
      <w:r w:rsidR="000E2335">
        <w:rPr>
          <w:rFonts w:ascii="Arial" w:eastAsia="Times New Roman" w:hAnsi="Arial" w:cs="Arial"/>
          <w:color w:val="000000"/>
        </w:rPr>
        <w:t>,</w:t>
      </w:r>
      <w:r w:rsidRPr="00BC513A">
        <w:rPr>
          <w:rFonts w:ascii="Arial" w:eastAsia="Times New Roman" w:hAnsi="Arial" w:cs="Arial"/>
          <w:color w:val="000000"/>
        </w:rPr>
        <w:t xml:space="preserve"> включително увеличаване на ресурса за ЛИДЕР; ранно стартиране на информационна кампания към потенциалните бенефициенти; подобряване на прозрачността на процеса на кандидатстване и насърчаване на иновациите като се използва наличния научен капацитет в Селскостопанска академия.</w:t>
      </w:r>
    </w:p>
    <w:p w14:paraId="0700F051" w14:textId="77777777" w:rsidR="00E8617E" w:rsidRPr="00BC513A" w:rsidRDefault="00E8617E" w:rsidP="00E8617E">
      <w:pPr>
        <w:pStyle w:val="Heading1"/>
        <w:numPr>
          <w:ilvl w:val="0"/>
          <w:numId w:val="0"/>
        </w:numPr>
        <w:spacing w:after="480"/>
        <w:rPr>
          <w:lang w:val="bg-BG"/>
        </w:rPr>
      </w:pPr>
      <w:bookmarkStart w:id="33" w:name="_Toc504136132"/>
      <w:r w:rsidRPr="00BC513A">
        <w:rPr>
          <w:lang w:val="bg-BG"/>
        </w:rPr>
        <w:lastRenderedPageBreak/>
        <w:t>Раздел III.</w:t>
      </w:r>
      <w:r w:rsidRPr="00BC513A">
        <w:rPr>
          <w:lang w:val="bg-BG"/>
        </w:rPr>
        <w:tab/>
        <w:t>Методологически подход</w:t>
      </w:r>
      <w:bookmarkEnd w:id="33"/>
      <w:r w:rsidRPr="00BC513A">
        <w:rPr>
          <w:lang w:val="bg-BG"/>
        </w:rPr>
        <w:t xml:space="preserve"> </w:t>
      </w:r>
    </w:p>
    <w:p w14:paraId="4A0FFAB0" w14:textId="77777777" w:rsidR="00E8617E" w:rsidRPr="00BC513A" w:rsidRDefault="00E8617E" w:rsidP="00E8617E">
      <w:pPr>
        <w:pStyle w:val="Heading2"/>
        <w:numPr>
          <w:ilvl w:val="1"/>
          <w:numId w:val="5"/>
        </w:numPr>
      </w:pPr>
      <w:bookmarkStart w:id="34" w:name="_Toc504136133"/>
      <w:r w:rsidRPr="00BC513A">
        <w:t>Дизайн на оценката и използвани методи</w:t>
      </w:r>
      <w:bookmarkEnd w:id="34"/>
    </w:p>
    <w:p w14:paraId="621112AB"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Подходите за осъществяване на оценката са съобразени с изискванията на Възложителя, изложени в техническата спецификация, с насоките на ЕК за осъществяване на последващи оценки на програмите за развитие на селските райони в периода 2007-2013</w:t>
      </w:r>
      <w:r w:rsidRPr="00BC513A">
        <w:rPr>
          <w:rStyle w:val="FootnoteReference"/>
          <w:sz w:val="22"/>
          <w:szCs w:val="22"/>
          <w:lang w:val="bg-BG"/>
        </w:rPr>
        <w:footnoteReference w:id="6"/>
      </w:r>
      <w:r w:rsidRPr="00BC513A">
        <w:rPr>
          <w:sz w:val="22"/>
          <w:szCs w:val="22"/>
          <w:lang w:val="bg-BG"/>
        </w:rPr>
        <w:t xml:space="preserve"> и с финансовите и времеви ограничения, както и с наличната информация и възможностите за набавяне на допълнителна такава за целите на оценката.</w:t>
      </w:r>
    </w:p>
    <w:p w14:paraId="44061711"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Предвид на естеството на оценката основният фокус на анализите е насочен към постигнатите резултати и въздействия, като въпроси</w:t>
      </w:r>
      <w:r w:rsidR="000E2335">
        <w:rPr>
          <w:sz w:val="22"/>
          <w:szCs w:val="22"/>
          <w:lang w:val="bg-BG"/>
        </w:rPr>
        <w:t>,</w:t>
      </w:r>
      <w:r w:rsidRPr="00BC513A">
        <w:rPr>
          <w:sz w:val="22"/>
          <w:szCs w:val="22"/>
          <w:lang w:val="bg-BG"/>
        </w:rPr>
        <w:t xml:space="preserve"> свързани с релевантността на мерките и изпълнението</w:t>
      </w:r>
      <w:r w:rsidR="000E2335">
        <w:rPr>
          <w:sz w:val="22"/>
          <w:szCs w:val="22"/>
          <w:lang w:val="bg-BG"/>
        </w:rPr>
        <w:t>,</w:t>
      </w:r>
      <w:r w:rsidRPr="00BC513A">
        <w:rPr>
          <w:sz w:val="22"/>
          <w:szCs w:val="22"/>
          <w:lang w:val="bg-BG"/>
        </w:rPr>
        <w:t xml:space="preserve"> са коментирани от гледна точка на това доколко са били п</w:t>
      </w:r>
      <w:r w:rsidR="005319DE">
        <w:rPr>
          <w:sz w:val="22"/>
          <w:szCs w:val="22"/>
          <w:lang w:val="bg-BG"/>
        </w:rPr>
        <w:t>редпоставка за постигане или не</w:t>
      </w:r>
      <w:r w:rsidRPr="00BC513A">
        <w:rPr>
          <w:sz w:val="22"/>
          <w:szCs w:val="22"/>
          <w:lang w:val="bg-BG"/>
        </w:rPr>
        <w:t xml:space="preserve">постигане на планираните цели. </w:t>
      </w:r>
    </w:p>
    <w:p w14:paraId="38AFC510"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Изключително кратките срокове за осъществяване на оценката в голяма степен предопределиха възможните подходи по отношение на преглед на наличната и набиране на допълнителна информация</w:t>
      </w:r>
      <w:r w:rsidRPr="00BC513A">
        <w:rPr>
          <w:rStyle w:val="FootnoteReference"/>
          <w:sz w:val="22"/>
          <w:szCs w:val="22"/>
          <w:lang w:val="bg-BG"/>
        </w:rPr>
        <w:footnoteReference w:id="7"/>
      </w:r>
      <w:r w:rsidRPr="00BC513A">
        <w:rPr>
          <w:sz w:val="22"/>
          <w:szCs w:val="22"/>
          <w:lang w:val="bg-BG"/>
        </w:rPr>
        <w:t xml:space="preserve">. </w:t>
      </w:r>
    </w:p>
    <w:p w14:paraId="4A27C124" w14:textId="3C5A45A9"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Оценката е осъществена предимно на базата </w:t>
      </w:r>
      <w:r w:rsidR="009D0C37" w:rsidRPr="009D0C37">
        <w:rPr>
          <w:b/>
          <w:sz w:val="22"/>
          <w:szCs w:val="22"/>
          <w:lang w:val="bg-BG"/>
        </w:rPr>
        <w:t>кабинетно проучване</w:t>
      </w:r>
      <w:r w:rsidR="009D0C37">
        <w:rPr>
          <w:sz w:val="22"/>
          <w:szCs w:val="22"/>
          <w:lang w:val="bg-BG"/>
        </w:rPr>
        <w:t xml:space="preserve"> </w:t>
      </w:r>
      <w:r w:rsidRPr="00BC513A">
        <w:rPr>
          <w:sz w:val="22"/>
          <w:szCs w:val="22"/>
          <w:lang w:val="bg-BG"/>
        </w:rPr>
        <w:t>на наличната информация в УО и ДФЗ</w:t>
      </w:r>
      <w:r>
        <w:rPr>
          <w:sz w:val="22"/>
          <w:szCs w:val="22"/>
          <w:lang w:val="bg-BG"/>
        </w:rPr>
        <w:t>,</w:t>
      </w:r>
      <w:r w:rsidRPr="00BC513A">
        <w:rPr>
          <w:sz w:val="22"/>
          <w:szCs w:val="22"/>
          <w:lang w:val="bg-BG"/>
        </w:rPr>
        <w:t xml:space="preserve"> събирана като част от системата за мониторинг и изложена в годишните доклади за изпълнение на </w:t>
      </w:r>
      <w:r w:rsidR="00755DB0">
        <w:rPr>
          <w:sz w:val="22"/>
          <w:szCs w:val="22"/>
          <w:lang w:val="bg-BG"/>
        </w:rPr>
        <w:t>п</w:t>
      </w:r>
      <w:r w:rsidRPr="00BC513A">
        <w:rPr>
          <w:sz w:val="22"/>
          <w:szCs w:val="22"/>
          <w:lang w:val="bg-BG"/>
        </w:rPr>
        <w:t>рограмата</w:t>
      </w:r>
      <w:r w:rsidR="000E2335">
        <w:rPr>
          <w:sz w:val="22"/>
          <w:szCs w:val="22"/>
          <w:lang w:val="bg-BG"/>
        </w:rPr>
        <w:t>,</w:t>
      </w:r>
      <w:r w:rsidRPr="00BC513A">
        <w:rPr>
          <w:sz w:val="22"/>
          <w:szCs w:val="22"/>
          <w:lang w:val="bg-BG"/>
        </w:rPr>
        <w:t xml:space="preserve"> както и </w:t>
      </w:r>
      <w:r>
        <w:rPr>
          <w:sz w:val="22"/>
          <w:szCs w:val="22"/>
          <w:lang w:val="bg-BG"/>
        </w:rPr>
        <w:t xml:space="preserve">на база на </w:t>
      </w:r>
      <w:r w:rsidRPr="00BC513A">
        <w:rPr>
          <w:sz w:val="22"/>
          <w:szCs w:val="22"/>
          <w:lang w:val="bg-BG"/>
        </w:rPr>
        <w:t>данните за постигнатите стойности на индикаторите</w:t>
      </w:r>
      <w:r>
        <w:rPr>
          <w:sz w:val="22"/>
          <w:szCs w:val="22"/>
          <w:lang w:val="bg-BG"/>
        </w:rPr>
        <w:t>,</w:t>
      </w:r>
      <w:r w:rsidRPr="00BC513A">
        <w:rPr>
          <w:sz w:val="22"/>
          <w:szCs w:val="22"/>
          <w:lang w:val="bg-BG"/>
        </w:rPr>
        <w:t xml:space="preserve"> предоставени от ДФЗ. Аналитична информация е черпена от докладите за оценка, ка</w:t>
      </w:r>
      <w:r w:rsidR="0076196A">
        <w:rPr>
          <w:sz w:val="22"/>
          <w:szCs w:val="22"/>
          <w:lang w:val="bg-BG"/>
        </w:rPr>
        <w:t>к</w:t>
      </w:r>
      <w:r w:rsidRPr="00BC513A">
        <w:rPr>
          <w:sz w:val="22"/>
          <w:szCs w:val="22"/>
          <w:lang w:val="bg-BG"/>
        </w:rPr>
        <w:t xml:space="preserve">то и от доклади на бенефициенти по ос 4 ЛИДЕР, доклади и анализи, изработени в рамките на НСМ и по техническа помощ, включително тригодишните доклади за въздействие на Програмата върху околната среда. В допълнение е ползвана публично-налична информация относно европейски, национални, регионални и общински планове за развитие и стратегиите за местно развитие на МИГ, </w:t>
      </w:r>
      <w:r w:rsidR="00AB618B">
        <w:rPr>
          <w:sz w:val="22"/>
          <w:szCs w:val="22"/>
          <w:lang w:val="bg-BG"/>
        </w:rPr>
        <w:t xml:space="preserve">данни от </w:t>
      </w:r>
      <w:r w:rsidR="000E2335">
        <w:rPr>
          <w:sz w:val="22"/>
          <w:szCs w:val="22"/>
          <w:lang w:val="bg-BG"/>
        </w:rPr>
        <w:t>Националния статистически институт</w:t>
      </w:r>
      <w:r w:rsidR="00AB618B">
        <w:rPr>
          <w:sz w:val="22"/>
          <w:szCs w:val="22"/>
          <w:lang w:val="bg-BG"/>
        </w:rPr>
        <w:t xml:space="preserve">, </w:t>
      </w:r>
      <w:r w:rsidR="000E2335">
        <w:rPr>
          <w:sz w:val="22"/>
          <w:szCs w:val="22"/>
          <w:lang w:val="bg-BG"/>
        </w:rPr>
        <w:t>отдел „А</w:t>
      </w:r>
      <w:r w:rsidR="00AB618B">
        <w:rPr>
          <w:sz w:val="22"/>
          <w:szCs w:val="22"/>
          <w:lang w:val="bg-BG"/>
        </w:rPr>
        <w:t>гростатистика</w:t>
      </w:r>
      <w:r w:rsidR="000E2335">
        <w:rPr>
          <w:sz w:val="22"/>
          <w:szCs w:val="22"/>
          <w:lang w:val="bg-BG"/>
        </w:rPr>
        <w:t>“ на МЗХГ</w:t>
      </w:r>
      <w:r w:rsidR="00AB618B">
        <w:rPr>
          <w:sz w:val="22"/>
          <w:szCs w:val="22"/>
          <w:lang w:val="bg-BG"/>
        </w:rPr>
        <w:t xml:space="preserve"> и Евростат, </w:t>
      </w:r>
      <w:r w:rsidRPr="00BC513A">
        <w:rPr>
          <w:sz w:val="22"/>
          <w:szCs w:val="22"/>
          <w:lang w:val="bg-BG"/>
        </w:rPr>
        <w:t>както и одитни доклади на Сметната палата.</w:t>
      </w:r>
    </w:p>
    <w:p w14:paraId="7229631C"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Допълнителна информация е набавена по време на оценката чрез провеждане на </w:t>
      </w:r>
      <w:r w:rsidRPr="009D0C37">
        <w:rPr>
          <w:b/>
          <w:sz w:val="22"/>
          <w:szCs w:val="22"/>
          <w:lang w:val="bg-BG"/>
        </w:rPr>
        <w:t>срещи/интервюта</w:t>
      </w:r>
      <w:r w:rsidRPr="00BC513A">
        <w:rPr>
          <w:sz w:val="22"/>
          <w:szCs w:val="22"/>
          <w:lang w:val="bg-BG"/>
        </w:rPr>
        <w:t xml:space="preserve"> с представители на УО, ДФЗ</w:t>
      </w:r>
      <w:r w:rsidR="00052EFC">
        <w:rPr>
          <w:sz w:val="22"/>
          <w:szCs w:val="22"/>
          <w:lang w:val="bg-BG"/>
        </w:rPr>
        <w:t>,</w:t>
      </w:r>
      <w:r w:rsidRPr="00BC513A">
        <w:rPr>
          <w:sz w:val="22"/>
          <w:szCs w:val="22"/>
          <w:lang w:val="bg-BG"/>
        </w:rPr>
        <w:t xml:space="preserve"> чл</w:t>
      </w:r>
      <w:r w:rsidR="00052EFC">
        <w:rPr>
          <w:sz w:val="22"/>
          <w:szCs w:val="22"/>
          <w:lang w:val="bg-BG"/>
        </w:rPr>
        <w:t>енове на Комитета за наблюдение и Национално</w:t>
      </w:r>
      <w:r w:rsidR="00AB618B">
        <w:rPr>
          <w:sz w:val="22"/>
          <w:szCs w:val="22"/>
          <w:lang w:val="bg-BG"/>
        </w:rPr>
        <w:t>то</w:t>
      </w:r>
      <w:r w:rsidR="00052EFC">
        <w:rPr>
          <w:sz w:val="22"/>
          <w:szCs w:val="22"/>
          <w:lang w:val="bg-BG"/>
        </w:rPr>
        <w:t xml:space="preserve"> сдружение на общините в България.</w:t>
      </w:r>
      <w:r w:rsidRPr="00BC513A">
        <w:rPr>
          <w:sz w:val="22"/>
          <w:szCs w:val="22"/>
          <w:lang w:val="bg-BG"/>
        </w:rPr>
        <w:t xml:space="preserve">  </w:t>
      </w:r>
    </w:p>
    <w:p w14:paraId="38CC0BA1" w14:textId="77777777" w:rsidR="00E8617E" w:rsidRDefault="00E8617E" w:rsidP="00E8617E">
      <w:pPr>
        <w:pStyle w:val="DefaultText"/>
        <w:spacing w:after="120" w:line="300" w:lineRule="atLeast"/>
        <w:ind w:firstLine="709"/>
        <w:rPr>
          <w:sz w:val="22"/>
          <w:szCs w:val="22"/>
          <w:lang w:val="bg-BG"/>
        </w:rPr>
      </w:pPr>
      <w:r w:rsidRPr="00BC513A">
        <w:rPr>
          <w:sz w:val="22"/>
          <w:szCs w:val="22"/>
          <w:lang w:val="bg-BG"/>
        </w:rPr>
        <w:t xml:space="preserve">Като част от анализите по ос 1 и ос 4 са проведени две </w:t>
      </w:r>
      <w:r w:rsidRPr="009D0C37">
        <w:rPr>
          <w:b/>
          <w:sz w:val="22"/>
          <w:szCs w:val="22"/>
          <w:lang w:val="bg-BG"/>
        </w:rPr>
        <w:t>фокус групи</w:t>
      </w:r>
      <w:r w:rsidRPr="00BC513A">
        <w:rPr>
          <w:sz w:val="22"/>
          <w:szCs w:val="22"/>
          <w:lang w:val="bg-BG"/>
        </w:rPr>
        <w:t xml:space="preserve"> с представители на браншови организации (по ос 1) и представители на МИГ (ос 4).</w:t>
      </w:r>
    </w:p>
    <w:p w14:paraId="06E6ED0B" w14:textId="77777777" w:rsidR="00E8617E" w:rsidRDefault="00E8617E" w:rsidP="00E8617E">
      <w:pPr>
        <w:pStyle w:val="DefaultText"/>
        <w:spacing w:after="120" w:line="300" w:lineRule="atLeast"/>
        <w:ind w:firstLine="709"/>
        <w:rPr>
          <w:sz w:val="22"/>
          <w:szCs w:val="22"/>
          <w:lang w:val="bg-BG"/>
        </w:rPr>
      </w:pPr>
      <w:r w:rsidRPr="00BC513A">
        <w:rPr>
          <w:sz w:val="22"/>
          <w:szCs w:val="22"/>
          <w:lang w:val="bg-BG"/>
        </w:rPr>
        <w:t xml:space="preserve">Анализите по ос 3 са подкрепени с информацията, получена от </w:t>
      </w:r>
      <w:r w:rsidRPr="009D0C37">
        <w:rPr>
          <w:b/>
          <w:sz w:val="22"/>
          <w:szCs w:val="22"/>
          <w:lang w:val="bg-BG"/>
        </w:rPr>
        <w:t>онлайн проучване</w:t>
      </w:r>
      <w:r w:rsidRPr="00BC513A">
        <w:rPr>
          <w:sz w:val="22"/>
          <w:szCs w:val="22"/>
          <w:lang w:val="bg-BG"/>
        </w:rPr>
        <w:t xml:space="preserve"> сред селски общини, бенефициенти по мерки 313, 321 и 322. Във въпросника са включени и въпроси относно ефектите от изпълнението на мерките по ос 4 ЛИДЕР. Въпросникът е разпратен до 231 общини, от които са отговорили 47 </w:t>
      </w:r>
      <w:r w:rsidRPr="00BC513A">
        <w:rPr>
          <w:sz w:val="22"/>
          <w:szCs w:val="22"/>
          <w:lang w:val="bg-BG"/>
        </w:rPr>
        <w:lastRenderedPageBreak/>
        <w:t>общини (20% от респондентите).</w:t>
      </w:r>
      <w:r>
        <w:rPr>
          <w:sz w:val="22"/>
          <w:szCs w:val="22"/>
          <w:lang w:val="bg-BG"/>
        </w:rPr>
        <w:t xml:space="preserve"> Информацията, набрана чрез онлайн проучването</w:t>
      </w:r>
      <w:r w:rsidR="00EC3B9C">
        <w:rPr>
          <w:sz w:val="22"/>
          <w:szCs w:val="22"/>
          <w:lang w:val="bg-BG"/>
        </w:rPr>
        <w:t>,</w:t>
      </w:r>
      <w:r>
        <w:rPr>
          <w:sz w:val="22"/>
          <w:szCs w:val="22"/>
          <w:lang w:val="bg-BG"/>
        </w:rPr>
        <w:t xml:space="preserve"> е представена в Приложение </w:t>
      </w:r>
      <w:r w:rsidR="009D0C37">
        <w:rPr>
          <w:sz w:val="22"/>
          <w:szCs w:val="22"/>
          <w:lang w:val="bg-BG"/>
        </w:rPr>
        <w:t>5</w:t>
      </w:r>
      <w:r>
        <w:rPr>
          <w:sz w:val="22"/>
          <w:szCs w:val="22"/>
          <w:lang w:val="bg-BG"/>
        </w:rPr>
        <w:t>.</w:t>
      </w:r>
    </w:p>
    <w:p w14:paraId="64207265" w14:textId="30AE5A3F" w:rsidR="00AB618B" w:rsidRDefault="00AB618B" w:rsidP="00AB618B">
      <w:pPr>
        <w:pStyle w:val="DefaultText"/>
        <w:spacing w:after="120" w:line="300" w:lineRule="atLeast"/>
        <w:ind w:firstLine="709"/>
        <w:rPr>
          <w:sz w:val="22"/>
          <w:szCs w:val="22"/>
          <w:lang w:val="bg-BG"/>
        </w:rPr>
      </w:pPr>
      <w:r>
        <w:rPr>
          <w:sz w:val="22"/>
          <w:szCs w:val="22"/>
          <w:lang w:val="bg-BG"/>
        </w:rPr>
        <w:t xml:space="preserve">Допълнително през м. януари 2018 г. са проведени </w:t>
      </w:r>
      <w:r w:rsidRPr="00AB618B">
        <w:rPr>
          <w:b/>
          <w:sz w:val="22"/>
          <w:szCs w:val="22"/>
          <w:lang w:val="bg-BG"/>
        </w:rPr>
        <w:t>теренни проучвания</w:t>
      </w:r>
      <w:r>
        <w:rPr>
          <w:sz w:val="22"/>
          <w:szCs w:val="22"/>
          <w:lang w:val="bg-BG"/>
        </w:rPr>
        <w:t xml:space="preserve"> сред бенефициенти по ос 2 и по мерки 311 и 312</w:t>
      </w:r>
      <w:r w:rsidR="00B4490C">
        <w:rPr>
          <w:sz w:val="22"/>
          <w:szCs w:val="22"/>
          <w:lang w:val="bg-BG"/>
        </w:rPr>
        <w:t xml:space="preserve"> на ос 3</w:t>
      </w:r>
      <w:r>
        <w:rPr>
          <w:sz w:val="22"/>
          <w:szCs w:val="22"/>
          <w:lang w:val="bg-BG"/>
        </w:rPr>
        <w:t xml:space="preserve">. </w:t>
      </w:r>
      <w:r w:rsidR="00625062">
        <w:rPr>
          <w:sz w:val="22"/>
          <w:szCs w:val="22"/>
          <w:lang w:val="bg-BG"/>
        </w:rPr>
        <w:t>Посетени бяха 19 проекта по мерки 311 и 312 и 41 проект</w:t>
      </w:r>
      <w:r w:rsidR="00EC3B9C">
        <w:rPr>
          <w:sz w:val="22"/>
          <w:szCs w:val="22"/>
          <w:lang w:val="bg-BG"/>
        </w:rPr>
        <w:t>а</w:t>
      </w:r>
      <w:r w:rsidR="00625062">
        <w:rPr>
          <w:sz w:val="22"/>
          <w:szCs w:val="22"/>
          <w:lang w:val="bg-BG"/>
        </w:rPr>
        <w:t xml:space="preserve"> по мерките от ос 2 на територията на цялата страна, както следва:</w:t>
      </w:r>
    </w:p>
    <w:tbl>
      <w:tblPr>
        <w:tblW w:w="8214"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59"/>
        <w:gridCol w:w="1499"/>
        <w:gridCol w:w="524"/>
        <w:gridCol w:w="3222"/>
        <w:gridCol w:w="1410"/>
      </w:tblGrid>
      <w:tr w:rsidR="00B4490C" w:rsidRPr="00B4490C" w14:paraId="39C8C5E9" w14:textId="77777777" w:rsidTr="00B4490C">
        <w:trPr>
          <w:trHeight w:val="300"/>
        </w:trPr>
        <w:tc>
          <w:tcPr>
            <w:tcW w:w="1559" w:type="dxa"/>
            <w:shd w:val="clear" w:color="auto" w:fill="1F4E79" w:themeFill="accent1" w:themeFillShade="80"/>
            <w:vAlign w:val="center"/>
          </w:tcPr>
          <w:p w14:paraId="4BD17DC2" w14:textId="77777777" w:rsidR="00B4490C" w:rsidRPr="00B4490C" w:rsidRDefault="00B4490C" w:rsidP="00205C7B">
            <w:pPr>
              <w:spacing w:after="0" w:line="240" w:lineRule="auto"/>
              <w:rPr>
                <w:rFonts w:ascii="Arial" w:eastAsia="Times New Roman" w:hAnsi="Arial" w:cs="Arial"/>
                <w:b/>
                <w:color w:val="FFFFFF" w:themeColor="background1"/>
                <w:sz w:val="20"/>
                <w:szCs w:val="20"/>
                <w:lang w:eastAsia="bg-BG"/>
              </w:rPr>
            </w:pPr>
            <w:r w:rsidRPr="00B4490C">
              <w:rPr>
                <w:rFonts w:ascii="Arial" w:eastAsia="Times New Roman" w:hAnsi="Arial" w:cs="Arial"/>
                <w:b/>
                <w:color w:val="FFFFFF" w:themeColor="background1"/>
                <w:sz w:val="20"/>
                <w:szCs w:val="20"/>
                <w:lang w:eastAsia="bg-BG"/>
              </w:rPr>
              <w:t>Мярка по ос 2</w:t>
            </w:r>
          </w:p>
        </w:tc>
        <w:tc>
          <w:tcPr>
            <w:tcW w:w="1499" w:type="dxa"/>
            <w:tcBorders>
              <w:right w:val="single" w:sz="4" w:space="0" w:color="auto"/>
            </w:tcBorders>
            <w:shd w:val="clear" w:color="auto" w:fill="1F4E79" w:themeFill="accent1" w:themeFillShade="80"/>
            <w:noWrap/>
            <w:vAlign w:val="center"/>
          </w:tcPr>
          <w:p w14:paraId="3ED258FD" w14:textId="77777777" w:rsidR="00B4490C" w:rsidRPr="00B4490C" w:rsidRDefault="00B4490C" w:rsidP="00205C7B">
            <w:pPr>
              <w:spacing w:after="0" w:line="240" w:lineRule="auto"/>
              <w:rPr>
                <w:rFonts w:ascii="Arial" w:eastAsia="Times New Roman" w:hAnsi="Arial" w:cs="Arial"/>
                <w:b/>
                <w:color w:val="FFFFFF" w:themeColor="background1"/>
                <w:sz w:val="20"/>
                <w:szCs w:val="20"/>
                <w:lang w:eastAsia="bg-BG"/>
              </w:rPr>
            </w:pPr>
            <w:r w:rsidRPr="00B4490C">
              <w:rPr>
                <w:rFonts w:ascii="Arial" w:eastAsia="Times New Roman" w:hAnsi="Arial" w:cs="Arial"/>
                <w:b/>
                <w:color w:val="FFFFFF" w:themeColor="background1"/>
                <w:sz w:val="20"/>
                <w:szCs w:val="20"/>
                <w:lang w:eastAsia="bg-BG"/>
              </w:rPr>
              <w:t>Брой проекти</w:t>
            </w:r>
          </w:p>
        </w:tc>
        <w:tc>
          <w:tcPr>
            <w:tcW w:w="524" w:type="dxa"/>
            <w:tcBorders>
              <w:top w:val="nil"/>
              <w:left w:val="single" w:sz="4" w:space="0" w:color="auto"/>
              <w:bottom w:val="nil"/>
              <w:right w:val="single" w:sz="4" w:space="0" w:color="auto"/>
            </w:tcBorders>
            <w:shd w:val="clear" w:color="auto" w:fill="auto"/>
            <w:vAlign w:val="center"/>
          </w:tcPr>
          <w:p w14:paraId="26ACAFC3" w14:textId="77777777" w:rsidR="00B4490C" w:rsidRPr="00B4490C" w:rsidRDefault="00B4490C" w:rsidP="00205C7B">
            <w:pPr>
              <w:spacing w:after="0" w:line="240" w:lineRule="auto"/>
              <w:rPr>
                <w:rFonts w:ascii="Arial" w:eastAsia="Times New Roman" w:hAnsi="Arial" w:cs="Arial"/>
                <w:b/>
                <w:color w:val="FFFFFF" w:themeColor="background1"/>
                <w:sz w:val="20"/>
                <w:szCs w:val="20"/>
                <w:lang w:eastAsia="bg-BG"/>
              </w:rPr>
            </w:pPr>
          </w:p>
        </w:tc>
        <w:tc>
          <w:tcPr>
            <w:tcW w:w="3222" w:type="dxa"/>
            <w:tcBorders>
              <w:left w:val="single" w:sz="4" w:space="0" w:color="auto"/>
            </w:tcBorders>
            <w:shd w:val="clear" w:color="auto" w:fill="1F4E79" w:themeFill="accent1" w:themeFillShade="80"/>
            <w:vAlign w:val="center"/>
          </w:tcPr>
          <w:p w14:paraId="49DF9B1D" w14:textId="77777777" w:rsidR="00B4490C" w:rsidRPr="00B4490C" w:rsidRDefault="00B4490C" w:rsidP="00205C7B">
            <w:pPr>
              <w:spacing w:after="0" w:line="240" w:lineRule="auto"/>
              <w:rPr>
                <w:rFonts w:ascii="Arial" w:eastAsia="Times New Roman" w:hAnsi="Arial" w:cs="Arial"/>
                <w:b/>
                <w:color w:val="FFFFFF" w:themeColor="background1"/>
                <w:sz w:val="20"/>
                <w:szCs w:val="20"/>
                <w:lang w:eastAsia="bg-BG"/>
              </w:rPr>
            </w:pPr>
            <w:r w:rsidRPr="00B4490C">
              <w:rPr>
                <w:rFonts w:ascii="Arial" w:eastAsia="Times New Roman" w:hAnsi="Arial" w:cs="Arial"/>
                <w:b/>
                <w:color w:val="FFFFFF" w:themeColor="background1"/>
                <w:sz w:val="20"/>
                <w:szCs w:val="20"/>
                <w:lang w:eastAsia="bg-BG"/>
              </w:rPr>
              <w:t>Основн</w:t>
            </w:r>
            <w:r>
              <w:rPr>
                <w:rFonts w:ascii="Arial" w:eastAsia="Times New Roman" w:hAnsi="Arial" w:cs="Arial"/>
                <w:b/>
                <w:color w:val="FFFFFF" w:themeColor="background1"/>
                <w:sz w:val="20"/>
                <w:szCs w:val="20"/>
                <w:lang w:eastAsia="bg-BG"/>
              </w:rPr>
              <w:t>о</w:t>
            </w:r>
            <w:r w:rsidRPr="00B4490C">
              <w:rPr>
                <w:rFonts w:ascii="Arial" w:eastAsia="Times New Roman" w:hAnsi="Arial" w:cs="Arial"/>
                <w:b/>
                <w:color w:val="FFFFFF" w:themeColor="background1"/>
                <w:sz w:val="20"/>
                <w:szCs w:val="20"/>
                <w:lang w:eastAsia="bg-BG"/>
              </w:rPr>
              <w:t xml:space="preserve"> производств</w:t>
            </w:r>
            <w:r>
              <w:rPr>
                <w:rFonts w:ascii="Arial" w:eastAsia="Times New Roman" w:hAnsi="Arial" w:cs="Arial"/>
                <w:b/>
                <w:color w:val="FFFFFF" w:themeColor="background1"/>
                <w:sz w:val="20"/>
                <w:szCs w:val="20"/>
                <w:lang w:eastAsia="bg-BG"/>
              </w:rPr>
              <w:t>о</w:t>
            </w:r>
          </w:p>
        </w:tc>
        <w:tc>
          <w:tcPr>
            <w:tcW w:w="1410" w:type="dxa"/>
            <w:shd w:val="clear" w:color="auto" w:fill="1F4E79" w:themeFill="accent1" w:themeFillShade="80"/>
            <w:vAlign w:val="center"/>
          </w:tcPr>
          <w:p w14:paraId="224E881F" w14:textId="77777777" w:rsidR="00B4490C" w:rsidRPr="00B4490C" w:rsidRDefault="00B4490C" w:rsidP="00205C7B">
            <w:pPr>
              <w:spacing w:after="0" w:line="240" w:lineRule="auto"/>
              <w:rPr>
                <w:rFonts w:ascii="Arial" w:eastAsia="Times New Roman" w:hAnsi="Arial" w:cs="Arial"/>
                <w:b/>
                <w:color w:val="FFFFFF" w:themeColor="background1"/>
                <w:sz w:val="20"/>
                <w:szCs w:val="20"/>
                <w:lang w:eastAsia="bg-BG"/>
              </w:rPr>
            </w:pPr>
            <w:r w:rsidRPr="00B4490C">
              <w:rPr>
                <w:rFonts w:ascii="Arial" w:eastAsia="Times New Roman" w:hAnsi="Arial" w:cs="Arial"/>
                <w:b/>
                <w:color w:val="FFFFFF" w:themeColor="background1"/>
                <w:sz w:val="20"/>
                <w:szCs w:val="20"/>
                <w:lang w:eastAsia="bg-BG"/>
              </w:rPr>
              <w:t>Брой проекти</w:t>
            </w:r>
          </w:p>
        </w:tc>
      </w:tr>
      <w:tr w:rsidR="00B4490C" w:rsidRPr="00B4490C" w14:paraId="57D0355C" w14:textId="77777777" w:rsidTr="00B4490C">
        <w:trPr>
          <w:trHeight w:val="300"/>
        </w:trPr>
        <w:tc>
          <w:tcPr>
            <w:tcW w:w="1559" w:type="dxa"/>
            <w:shd w:val="clear" w:color="auto" w:fill="auto"/>
            <w:vAlign w:val="center"/>
            <w:hideMark/>
          </w:tcPr>
          <w:p w14:paraId="665D3B68"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211</w:t>
            </w:r>
          </w:p>
        </w:tc>
        <w:tc>
          <w:tcPr>
            <w:tcW w:w="1499" w:type="dxa"/>
            <w:tcBorders>
              <w:right w:val="single" w:sz="4" w:space="0" w:color="auto"/>
            </w:tcBorders>
            <w:shd w:val="clear" w:color="auto" w:fill="auto"/>
            <w:noWrap/>
            <w:vAlign w:val="center"/>
            <w:hideMark/>
          </w:tcPr>
          <w:p w14:paraId="21BCF4BA"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9</w:t>
            </w:r>
          </w:p>
        </w:tc>
        <w:tc>
          <w:tcPr>
            <w:tcW w:w="524" w:type="dxa"/>
            <w:tcBorders>
              <w:top w:val="nil"/>
              <w:left w:val="single" w:sz="4" w:space="0" w:color="auto"/>
              <w:bottom w:val="nil"/>
              <w:right w:val="single" w:sz="4" w:space="0" w:color="auto"/>
            </w:tcBorders>
            <w:vAlign w:val="center"/>
          </w:tcPr>
          <w:p w14:paraId="69054548"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vAlign w:val="center"/>
          </w:tcPr>
          <w:p w14:paraId="0A3FC077"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полски култури</w:t>
            </w:r>
          </w:p>
        </w:tc>
        <w:tc>
          <w:tcPr>
            <w:tcW w:w="1410" w:type="dxa"/>
            <w:vAlign w:val="center"/>
          </w:tcPr>
          <w:p w14:paraId="4AC73885" w14:textId="77777777" w:rsidR="00B4490C" w:rsidRPr="00B4490C" w:rsidRDefault="00B4490C" w:rsidP="00205C7B">
            <w:pPr>
              <w:spacing w:after="0" w:line="240" w:lineRule="auto"/>
              <w:jc w:val="right"/>
              <w:rPr>
                <w:rFonts w:ascii="Arial" w:hAnsi="Arial" w:cs="Arial"/>
                <w:color w:val="000000"/>
                <w:sz w:val="20"/>
                <w:szCs w:val="20"/>
              </w:rPr>
            </w:pPr>
            <w:r w:rsidRPr="00B4490C">
              <w:rPr>
                <w:rFonts w:ascii="Arial" w:hAnsi="Arial" w:cs="Arial"/>
                <w:color w:val="000000"/>
                <w:sz w:val="20"/>
                <w:szCs w:val="20"/>
              </w:rPr>
              <w:t>5</w:t>
            </w:r>
          </w:p>
        </w:tc>
      </w:tr>
      <w:tr w:rsidR="00B4490C" w:rsidRPr="00B4490C" w14:paraId="7DFF17DC" w14:textId="77777777" w:rsidTr="00B4490C">
        <w:trPr>
          <w:trHeight w:val="300"/>
        </w:trPr>
        <w:tc>
          <w:tcPr>
            <w:tcW w:w="1559" w:type="dxa"/>
            <w:shd w:val="clear" w:color="auto" w:fill="auto"/>
            <w:vAlign w:val="center"/>
            <w:hideMark/>
          </w:tcPr>
          <w:p w14:paraId="699BEB9A"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212</w:t>
            </w:r>
          </w:p>
        </w:tc>
        <w:tc>
          <w:tcPr>
            <w:tcW w:w="1499" w:type="dxa"/>
            <w:tcBorders>
              <w:right w:val="single" w:sz="4" w:space="0" w:color="auto"/>
            </w:tcBorders>
            <w:shd w:val="clear" w:color="auto" w:fill="auto"/>
            <w:noWrap/>
            <w:vAlign w:val="center"/>
            <w:hideMark/>
          </w:tcPr>
          <w:p w14:paraId="1DAA6357"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8</w:t>
            </w:r>
          </w:p>
        </w:tc>
        <w:tc>
          <w:tcPr>
            <w:tcW w:w="524" w:type="dxa"/>
            <w:tcBorders>
              <w:top w:val="nil"/>
              <w:left w:val="single" w:sz="4" w:space="0" w:color="auto"/>
              <w:bottom w:val="nil"/>
              <w:right w:val="single" w:sz="4" w:space="0" w:color="auto"/>
            </w:tcBorders>
            <w:vAlign w:val="center"/>
          </w:tcPr>
          <w:p w14:paraId="2CB1C5C4"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vAlign w:val="center"/>
          </w:tcPr>
          <w:p w14:paraId="3AFCBCC8"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трайни насаждения</w:t>
            </w:r>
          </w:p>
        </w:tc>
        <w:tc>
          <w:tcPr>
            <w:tcW w:w="1410" w:type="dxa"/>
            <w:vAlign w:val="center"/>
          </w:tcPr>
          <w:p w14:paraId="0CE31090" w14:textId="77777777" w:rsidR="00B4490C" w:rsidRPr="00B4490C" w:rsidRDefault="00B4490C" w:rsidP="00205C7B">
            <w:pPr>
              <w:spacing w:after="0" w:line="240" w:lineRule="auto"/>
              <w:jc w:val="right"/>
              <w:rPr>
                <w:rFonts w:ascii="Arial" w:hAnsi="Arial" w:cs="Arial"/>
                <w:color w:val="000000"/>
                <w:sz w:val="20"/>
                <w:szCs w:val="20"/>
              </w:rPr>
            </w:pPr>
            <w:r w:rsidRPr="00B4490C">
              <w:rPr>
                <w:rFonts w:ascii="Arial" w:hAnsi="Arial" w:cs="Arial"/>
                <w:color w:val="000000"/>
                <w:sz w:val="20"/>
                <w:szCs w:val="20"/>
              </w:rPr>
              <w:t>5</w:t>
            </w:r>
          </w:p>
        </w:tc>
      </w:tr>
      <w:tr w:rsidR="00B4490C" w:rsidRPr="00B4490C" w14:paraId="12B81280" w14:textId="77777777" w:rsidTr="00B4490C">
        <w:trPr>
          <w:trHeight w:val="300"/>
        </w:trPr>
        <w:tc>
          <w:tcPr>
            <w:tcW w:w="1559" w:type="dxa"/>
            <w:shd w:val="clear" w:color="auto" w:fill="auto"/>
            <w:vAlign w:val="center"/>
            <w:hideMark/>
          </w:tcPr>
          <w:p w14:paraId="3E4351ED"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213</w:t>
            </w:r>
          </w:p>
        </w:tc>
        <w:tc>
          <w:tcPr>
            <w:tcW w:w="1499" w:type="dxa"/>
            <w:tcBorders>
              <w:right w:val="single" w:sz="4" w:space="0" w:color="auto"/>
            </w:tcBorders>
            <w:shd w:val="clear" w:color="auto" w:fill="auto"/>
            <w:noWrap/>
            <w:vAlign w:val="center"/>
            <w:hideMark/>
          </w:tcPr>
          <w:p w14:paraId="37AAC671"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4</w:t>
            </w:r>
          </w:p>
        </w:tc>
        <w:tc>
          <w:tcPr>
            <w:tcW w:w="524" w:type="dxa"/>
            <w:tcBorders>
              <w:top w:val="nil"/>
              <w:left w:val="single" w:sz="4" w:space="0" w:color="auto"/>
              <w:bottom w:val="nil"/>
              <w:right w:val="single" w:sz="4" w:space="0" w:color="auto"/>
            </w:tcBorders>
            <w:vAlign w:val="center"/>
          </w:tcPr>
          <w:p w14:paraId="2D8BB29F"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vAlign w:val="center"/>
          </w:tcPr>
          <w:p w14:paraId="635041DF"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лозя за вино</w:t>
            </w:r>
          </w:p>
        </w:tc>
        <w:tc>
          <w:tcPr>
            <w:tcW w:w="1410" w:type="dxa"/>
            <w:vAlign w:val="center"/>
          </w:tcPr>
          <w:p w14:paraId="18FBE620" w14:textId="77777777" w:rsidR="00B4490C" w:rsidRPr="00B4490C" w:rsidRDefault="00B4490C" w:rsidP="00205C7B">
            <w:pPr>
              <w:spacing w:after="0" w:line="240" w:lineRule="auto"/>
              <w:jc w:val="right"/>
              <w:rPr>
                <w:rFonts w:ascii="Arial" w:hAnsi="Arial" w:cs="Arial"/>
                <w:color w:val="000000"/>
                <w:sz w:val="20"/>
                <w:szCs w:val="20"/>
              </w:rPr>
            </w:pPr>
            <w:r w:rsidRPr="00B4490C">
              <w:rPr>
                <w:rFonts w:ascii="Arial" w:hAnsi="Arial" w:cs="Arial"/>
                <w:color w:val="000000"/>
                <w:sz w:val="20"/>
                <w:szCs w:val="20"/>
              </w:rPr>
              <w:t>3</w:t>
            </w:r>
          </w:p>
        </w:tc>
      </w:tr>
      <w:tr w:rsidR="00B4490C" w:rsidRPr="00B4490C" w14:paraId="2ECC5ADA" w14:textId="77777777" w:rsidTr="00B4490C">
        <w:trPr>
          <w:trHeight w:val="300"/>
        </w:trPr>
        <w:tc>
          <w:tcPr>
            <w:tcW w:w="1559" w:type="dxa"/>
            <w:shd w:val="clear" w:color="auto" w:fill="auto"/>
            <w:vAlign w:val="center"/>
            <w:hideMark/>
          </w:tcPr>
          <w:p w14:paraId="3AAA66CE"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214</w:t>
            </w:r>
          </w:p>
        </w:tc>
        <w:tc>
          <w:tcPr>
            <w:tcW w:w="1499" w:type="dxa"/>
            <w:tcBorders>
              <w:right w:val="single" w:sz="4" w:space="0" w:color="auto"/>
            </w:tcBorders>
            <w:shd w:val="clear" w:color="auto" w:fill="auto"/>
            <w:noWrap/>
            <w:vAlign w:val="center"/>
            <w:hideMark/>
          </w:tcPr>
          <w:p w14:paraId="3636D06B"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8</w:t>
            </w:r>
          </w:p>
        </w:tc>
        <w:tc>
          <w:tcPr>
            <w:tcW w:w="524" w:type="dxa"/>
            <w:tcBorders>
              <w:top w:val="nil"/>
              <w:left w:val="single" w:sz="4" w:space="0" w:color="auto"/>
              <w:bottom w:val="nil"/>
              <w:right w:val="single" w:sz="4" w:space="0" w:color="auto"/>
            </w:tcBorders>
            <w:vAlign w:val="center"/>
          </w:tcPr>
          <w:p w14:paraId="6FE65BB4"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vAlign w:val="center"/>
          </w:tcPr>
          <w:p w14:paraId="7359097D"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млечни крави/ биволи</w:t>
            </w:r>
          </w:p>
        </w:tc>
        <w:tc>
          <w:tcPr>
            <w:tcW w:w="1410" w:type="dxa"/>
            <w:vAlign w:val="center"/>
          </w:tcPr>
          <w:p w14:paraId="39CDFF6A" w14:textId="77777777" w:rsidR="00B4490C" w:rsidRPr="00B4490C" w:rsidRDefault="00B4490C" w:rsidP="00205C7B">
            <w:pPr>
              <w:spacing w:after="0" w:line="240" w:lineRule="auto"/>
              <w:jc w:val="right"/>
              <w:rPr>
                <w:rFonts w:ascii="Arial" w:hAnsi="Arial" w:cs="Arial"/>
                <w:color w:val="000000"/>
                <w:sz w:val="20"/>
                <w:szCs w:val="20"/>
              </w:rPr>
            </w:pPr>
            <w:r w:rsidRPr="00B4490C">
              <w:rPr>
                <w:rFonts w:ascii="Arial" w:hAnsi="Arial" w:cs="Arial"/>
                <w:color w:val="000000"/>
                <w:sz w:val="20"/>
                <w:szCs w:val="20"/>
              </w:rPr>
              <w:t>3</w:t>
            </w:r>
          </w:p>
        </w:tc>
      </w:tr>
      <w:tr w:rsidR="00B4490C" w:rsidRPr="00B4490C" w14:paraId="593358C3" w14:textId="77777777" w:rsidTr="00B4490C">
        <w:trPr>
          <w:trHeight w:val="300"/>
        </w:trPr>
        <w:tc>
          <w:tcPr>
            <w:tcW w:w="1559" w:type="dxa"/>
            <w:shd w:val="clear" w:color="auto" w:fill="auto"/>
            <w:vAlign w:val="center"/>
            <w:hideMark/>
          </w:tcPr>
          <w:p w14:paraId="70C632C3"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223</w:t>
            </w:r>
          </w:p>
        </w:tc>
        <w:tc>
          <w:tcPr>
            <w:tcW w:w="1499" w:type="dxa"/>
            <w:tcBorders>
              <w:right w:val="single" w:sz="4" w:space="0" w:color="auto"/>
            </w:tcBorders>
            <w:shd w:val="clear" w:color="auto" w:fill="auto"/>
            <w:noWrap/>
            <w:vAlign w:val="center"/>
            <w:hideMark/>
          </w:tcPr>
          <w:p w14:paraId="7E964D4F"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5</w:t>
            </w:r>
          </w:p>
        </w:tc>
        <w:tc>
          <w:tcPr>
            <w:tcW w:w="524" w:type="dxa"/>
            <w:tcBorders>
              <w:top w:val="nil"/>
              <w:left w:val="single" w:sz="4" w:space="0" w:color="auto"/>
              <w:bottom w:val="nil"/>
              <w:right w:val="single" w:sz="4" w:space="0" w:color="auto"/>
            </w:tcBorders>
            <w:vAlign w:val="center"/>
          </w:tcPr>
          <w:p w14:paraId="6720D43F"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vAlign w:val="center"/>
          </w:tcPr>
          <w:p w14:paraId="717B5B29"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градинарство</w:t>
            </w:r>
          </w:p>
        </w:tc>
        <w:tc>
          <w:tcPr>
            <w:tcW w:w="1410" w:type="dxa"/>
            <w:vAlign w:val="center"/>
          </w:tcPr>
          <w:p w14:paraId="246531C7" w14:textId="77777777" w:rsidR="00B4490C" w:rsidRPr="00B4490C" w:rsidRDefault="00B4490C" w:rsidP="00205C7B">
            <w:pPr>
              <w:spacing w:after="0" w:line="240" w:lineRule="auto"/>
              <w:jc w:val="right"/>
              <w:rPr>
                <w:rFonts w:ascii="Arial" w:hAnsi="Arial" w:cs="Arial"/>
                <w:color w:val="000000"/>
                <w:sz w:val="20"/>
                <w:szCs w:val="20"/>
              </w:rPr>
            </w:pPr>
            <w:r w:rsidRPr="00B4490C">
              <w:rPr>
                <w:rFonts w:ascii="Arial" w:hAnsi="Arial" w:cs="Arial"/>
                <w:color w:val="000000"/>
                <w:sz w:val="20"/>
                <w:szCs w:val="20"/>
              </w:rPr>
              <w:t>1</w:t>
            </w:r>
          </w:p>
        </w:tc>
      </w:tr>
      <w:tr w:rsidR="00B4490C" w:rsidRPr="00B4490C" w14:paraId="07EB39D8" w14:textId="77777777" w:rsidTr="00B4490C">
        <w:trPr>
          <w:trHeight w:val="300"/>
        </w:trPr>
        <w:tc>
          <w:tcPr>
            <w:tcW w:w="1559" w:type="dxa"/>
            <w:tcBorders>
              <w:bottom w:val="single" w:sz="4" w:space="0" w:color="auto"/>
            </w:tcBorders>
            <w:shd w:val="clear" w:color="auto" w:fill="auto"/>
            <w:vAlign w:val="center"/>
            <w:hideMark/>
          </w:tcPr>
          <w:p w14:paraId="21E116E5"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226</w:t>
            </w:r>
          </w:p>
        </w:tc>
        <w:tc>
          <w:tcPr>
            <w:tcW w:w="1499" w:type="dxa"/>
            <w:tcBorders>
              <w:bottom w:val="single" w:sz="4" w:space="0" w:color="auto"/>
              <w:right w:val="single" w:sz="4" w:space="0" w:color="auto"/>
            </w:tcBorders>
            <w:shd w:val="clear" w:color="auto" w:fill="auto"/>
            <w:noWrap/>
            <w:vAlign w:val="center"/>
            <w:hideMark/>
          </w:tcPr>
          <w:p w14:paraId="533811CD" w14:textId="77777777" w:rsidR="00B4490C" w:rsidRPr="00625062" w:rsidRDefault="00B4490C" w:rsidP="00205C7B">
            <w:pPr>
              <w:spacing w:after="0" w:line="240" w:lineRule="auto"/>
              <w:jc w:val="right"/>
              <w:rPr>
                <w:rFonts w:ascii="Arial" w:eastAsia="Times New Roman" w:hAnsi="Arial" w:cs="Arial"/>
                <w:color w:val="000000"/>
                <w:sz w:val="20"/>
                <w:szCs w:val="20"/>
                <w:lang w:eastAsia="bg-BG"/>
              </w:rPr>
            </w:pPr>
            <w:r w:rsidRPr="00625062">
              <w:rPr>
                <w:rFonts w:ascii="Arial" w:eastAsia="Times New Roman" w:hAnsi="Arial" w:cs="Arial"/>
                <w:color w:val="000000"/>
                <w:sz w:val="20"/>
                <w:szCs w:val="20"/>
                <w:lang w:eastAsia="bg-BG"/>
              </w:rPr>
              <w:t>7</w:t>
            </w:r>
          </w:p>
        </w:tc>
        <w:tc>
          <w:tcPr>
            <w:tcW w:w="524" w:type="dxa"/>
            <w:tcBorders>
              <w:top w:val="nil"/>
              <w:left w:val="single" w:sz="4" w:space="0" w:color="auto"/>
              <w:bottom w:val="nil"/>
              <w:right w:val="single" w:sz="4" w:space="0" w:color="auto"/>
            </w:tcBorders>
            <w:vAlign w:val="center"/>
          </w:tcPr>
          <w:p w14:paraId="290FD1AC"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vAlign w:val="center"/>
          </w:tcPr>
          <w:p w14:paraId="5EEB720C"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овци/кози</w:t>
            </w:r>
          </w:p>
        </w:tc>
        <w:tc>
          <w:tcPr>
            <w:tcW w:w="1410" w:type="dxa"/>
            <w:vAlign w:val="center"/>
          </w:tcPr>
          <w:p w14:paraId="098329E7" w14:textId="77777777" w:rsidR="00B4490C" w:rsidRPr="00B4490C" w:rsidRDefault="00B4490C" w:rsidP="00205C7B">
            <w:pPr>
              <w:spacing w:after="0" w:line="240" w:lineRule="auto"/>
              <w:jc w:val="right"/>
              <w:rPr>
                <w:rFonts w:ascii="Arial" w:hAnsi="Arial" w:cs="Arial"/>
                <w:color w:val="000000"/>
                <w:sz w:val="20"/>
                <w:szCs w:val="20"/>
              </w:rPr>
            </w:pPr>
            <w:r w:rsidRPr="00B4490C">
              <w:rPr>
                <w:rFonts w:ascii="Arial" w:hAnsi="Arial" w:cs="Arial"/>
                <w:color w:val="000000"/>
                <w:sz w:val="20"/>
                <w:szCs w:val="20"/>
              </w:rPr>
              <w:t>6</w:t>
            </w:r>
          </w:p>
        </w:tc>
      </w:tr>
      <w:tr w:rsidR="00B4490C" w:rsidRPr="00B4490C" w14:paraId="6A30EF36" w14:textId="77777777" w:rsidTr="00B4490C">
        <w:trPr>
          <w:trHeight w:val="300"/>
        </w:trPr>
        <w:tc>
          <w:tcPr>
            <w:tcW w:w="1559" w:type="dxa"/>
            <w:tcBorders>
              <w:bottom w:val="single" w:sz="4" w:space="0" w:color="auto"/>
            </w:tcBorders>
            <w:shd w:val="clear" w:color="auto" w:fill="DEEAF6" w:themeFill="accent1" w:themeFillTint="33"/>
            <w:vAlign w:val="center"/>
          </w:tcPr>
          <w:p w14:paraId="6616CC6A"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Общо по ос 2</w:t>
            </w:r>
          </w:p>
        </w:tc>
        <w:tc>
          <w:tcPr>
            <w:tcW w:w="1499" w:type="dxa"/>
            <w:tcBorders>
              <w:bottom w:val="single" w:sz="4" w:space="0" w:color="auto"/>
              <w:right w:val="single" w:sz="4" w:space="0" w:color="auto"/>
            </w:tcBorders>
            <w:shd w:val="clear" w:color="auto" w:fill="DEEAF6" w:themeFill="accent1" w:themeFillTint="33"/>
            <w:noWrap/>
            <w:vAlign w:val="center"/>
          </w:tcPr>
          <w:p w14:paraId="13ACDA26"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41</w:t>
            </w:r>
          </w:p>
        </w:tc>
        <w:tc>
          <w:tcPr>
            <w:tcW w:w="524" w:type="dxa"/>
            <w:tcBorders>
              <w:top w:val="nil"/>
              <w:left w:val="single" w:sz="4" w:space="0" w:color="auto"/>
              <w:bottom w:val="nil"/>
              <w:right w:val="single" w:sz="4" w:space="0" w:color="auto"/>
            </w:tcBorders>
            <w:vAlign w:val="center"/>
          </w:tcPr>
          <w:p w14:paraId="69399CE6"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vAlign w:val="center"/>
          </w:tcPr>
          <w:p w14:paraId="62450D20"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едър рогат добитък за месо</w:t>
            </w:r>
          </w:p>
        </w:tc>
        <w:tc>
          <w:tcPr>
            <w:tcW w:w="1410" w:type="dxa"/>
            <w:vAlign w:val="center"/>
          </w:tcPr>
          <w:p w14:paraId="0E158235" w14:textId="77777777" w:rsidR="00B4490C" w:rsidRPr="00B4490C" w:rsidRDefault="00B4490C" w:rsidP="00205C7B">
            <w:pPr>
              <w:spacing w:after="0" w:line="240" w:lineRule="auto"/>
              <w:jc w:val="right"/>
              <w:rPr>
                <w:rFonts w:ascii="Arial" w:hAnsi="Arial" w:cs="Arial"/>
                <w:color w:val="000000"/>
                <w:sz w:val="20"/>
                <w:szCs w:val="20"/>
              </w:rPr>
            </w:pPr>
            <w:r w:rsidRPr="00B4490C">
              <w:rPr>
                <w:rFonts w:ascii="Arial" w:hAnsi="Arial" w:cs="Arial"/>
                <w:color w:val="000000"/>
                <w:sz w:val="20"/>
                <w:szCs w:val="20"/>
              </w:rPr>
              <w:t>4</w:t>
            </w:r>
          </w:p>
        </w:tc>
      </w:tr>
      <w:tr w:rsidR="00B4490C" w:rsidRPr="00B4490C" w14:paraId="43D92AC4" w14:textId="77777777" w:rsidTr="00B4490C">
        <w:trPr>
          <w:trHeight w:val="300"/>
        </w:trPr>
        <w:tc>
          <w:tcPr>
            <w:tcW w:w="1559" w:type="dxa"/>
            <w:tcBorders>
              <w:top w:val="single" w:sz="4" w:space="0" w:color="auto"/>
              <w:left w:val="nil"/>
              <w:bottom w:val="nil"/>
              <w:right w:val="nil"/>
            </w:tcBorders>
            <w:shd w:val="clear" w:color="auto" w:fill="auto"/>
            <w:vAlign w:val="center"/>
          </w:tcPr>
          <w:p w14:paraId="7255E127"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1499" w:type="dxa"/>
            <w:tcBorders>
              <w:top w:val="single" w:sz="4" w:space="0" w:color="auto"/>
              <w:left w:val="nil"/>
              <w:bottom w:val="nil"/>
              <w:right w:val="nil"/>
            </w:tcBorders>
            <w:shd w:val="clear" w:color="auto" w:fill="auto"/>
            <w:noWrap/>
            <w:vAlign w:val="center"/>
          </w:tcPr>
          <w:p w14:paraId="63AB7CA4"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524" w:type="dxa"/>
            <w:tcBorders>
              <w:top w:val="nil"/>
              <w:left w:val="nil"/>
              <w:bottom w:val="nil"/>
              <w:right w:val="single" w:sz="4" w:space="0" w:color="auto"/>
            </w:tcBorders>
            <w:vAlign w:val="center"/>
          </w:tcPr>
          <w:p w14:paraId="44D999F0"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vAlign w:val="center"/>
          </w:tcPr>
          <w:p w14:paraId="6AF3576A"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пчели</w:t>
            </w:r>
          </w:p>
        </w:tc>
        <w:tc>
          <w:tcPr>
            <w:tcW w:w="1410" w:type="dxa"/>
            <w:vAlign w:val="center"/>
          </w:tcPr>
          <w:p w14:paraId="146D6570" w14:textId="77777777" w:rsidR="00B4490C" w:rsidRPr="00B4490C" w:rsidRDefault="00B4490C" w:rsidP="00205C7B">
            <w:pPr>
              <w:spacing w:after="0" w:line="240" w:lineRule="auto"/>
              <w:jc w:val="right"/>
              <w:rPr>
                <w:rFonts w:ascii="Arial" w:hAnsi="Arial" w:cs="Arial"/>
                <w:color w:val="000000"/>
                <w:sz w:val="20"/>
                <w:szCs w:val="20"/>
              </w:rPr>
            </w:pPr>
            <w:r w:rsidRPr="00B4490C">
              <w:rPr>
                <w:rFonts w:ascii="Arial" w:hAnsi="Arial" w:cs="Arial"/>
                <w:color w:val="000000"/>
                <w:sz w:val="20"/>
                <w:szCs w:val="20"/>
              </w:rPr>
              <w:t>2</w:t>
            </w:r>
          </w:p>
        </w:tc>
      </w:tr>
      <w:tr w:rsidR="00B4490C" w:rsidRPr="00B4490C" w14:paraId="5040DC9B" w14:textId="77777777" w:rsidTr="00B4490C">
        <w:trPr>
          <w:trHeight w:val="300"/>
        </w:trPr>
        <w:tc>
          <w:tcPr>
            <w:tcW w:w="1559" w:type="dxa"/>
            <w:tcBorders>
              <w:top w:val="nil"/>
              <w:left w:val="nil"/>
              <w:bottom w:val="nil"/>
              <w:right w:val="nil"/>
            </w:tcBorders>
            <w:shd w:val="clear" w:color="auto" w:fill="auto"/>
            <w:vAlign w:val="center"/>
          </w:tcPr>
          <w:p w14:paraId="7D4A7A11"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1499" w:type="dxa"/>
            <w:tcBorders>
              <w:top w:val="nil"/>
              <w:left w:val="nil"/>
              <w:bottom w:val="nil"/>
              <w:right w:val="nil"/>
            </w:tcBorders>
            <w:shd w:val="clear" w:color="auto" w:fill="auto"/>
            <w:noWrap/>
            <w:vAlign w:val="center"/>
          </w:tcPr>
          <w:p w14:paraId="2D39C85A"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524" w:type="dxa"/>
            <w:tcBorders>
              <w:top w:val="nil"/>
              <w:left w:val="nil"/>
              <w:bottom w:val="nil"/>
              <w:right w:val="single" w:sz="4" w:space="0" w:color="auto"/>
            </w:tcBorders>
            <w:vAlign w:val="center"/>
          </w:tcPr>
          <w:p w14:paraId="1CC7E702"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vAlign w:val="center"/>
          </w:tcPr>
          <w:p w14:paraId="3BF6080D"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пасища</w:t>
            </w:r>
          </w:p>
        </w:tc>
        <w:tc>
          <w:tcPr>
            <w:tcW w:w="1410" w:type="dxa"/>
            <w:vAlign w:val="center"/>
          </w:tcPr>
          <w:p w14:paraId="689FA9C5" w14:textId="77777777" w:rsidR="00B4490C" w:rsidRPr="00B4490C" w:rsidRDefault="00B4490C" w:rsidP="00205C7B">
            <w:pPr>
              <w:spacing w:after="0" w:line="240" w:lineRule="auto"/>
              <w:jc w:val="right"/>
              <w:rPr>
                <w:rFonts w:ascii="Arial" w:hAnsi="Arial" w:cs="Arial"/>
                <w:color w:val="000000"/>
                <w:sz w:val="20"/>
                <w:szCs w:val="20"/>
              </w:rPr>
            </w:pPr>
            <w:r w:rsidRPr="00B4490C">
              <w:rPr>
                <w:rFonts w:ascii="Arial" w:hAnsi="Arial" w:cs="Arial"/>
                <w:color w:val="000000"/>
                <w:sz w:val="20"/>
                <w:szCs w:val="20"/>
              </w:rPr>
              <w:t>1</w:t>
            </w:r>
          </w:p>
        </w:tc>
      </w:tr>
      <w:tr w:rsidR="00B4490C" w:rsidRPr="00B4490C" w14:paraId="56F6E808" w14:textId="77777777" w:rsidTr="00B4490C">
        <w:trPr>
          <w:trHeight w:val="300"/>
        </w:trPr>
        <w:tc>
          <w:tcPr>
            <w:tcW w:w="1559" w:type="dxa"/>
            <w:tcBorders>
              <w:top w:val="nil"/>
              <w:left w:val="nil"/>
              <w:bottom w:val="nil"/>
              <w:right w:val="nil"/>
            </w:tcBorders>
            <w:shd w:val="clear" w:color="auto" w:fill="auto"/>
            <w:vAlign w:val="center"/>
          </w:tcPr>
          <w:p w14:paraId="635C11AE"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1499" w:type="dxa"/>
            <w:tcBorders>
              <w:top w:val="nil"/>
              <w:left w:val="nil"/>
              <w:bottom w:val="nil"/>
              <w:right w:val="nil"/>
            </w:tcBorders>
            <w:shd w:val="clear" w:color="auto" w:fill="auto"/>
            <w:noWrap/>
            <w:vAlign w:val="center"/>
          </w:tcPr>
          <w:p w14:paraId="5E1F2536"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524" w:type="dxa"/>
            <w:tcBorders>
              <w:top w:val="nil"/>
              <w:left w:val="nil"/>
              <w:bottom w:val="nil"/>
              <w:right w:val="single" w:sz="4" w:space="0" w:color="auto"/>
            </w:tcBorders>
            <w:vAlign w:val="center"/>
          </w:tcPr>
          <w:p w14:paraId="6BE3831F"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vAlign w:val="center"/>
          </w:tcPr>
          <w:p w14:paraId="122A3BCB"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гори</w:t>
            </w:r>
          </w:p>
        </w:tc>
        <w:tc>
          <w:tcPr>
            <w:tcW w:w="1410" w:type="dxa"/>
            <w:vAlign w:val="center"/>
          </w:tcPr>
          <w:p w14:paraId="79449437" w14:textId="77777777" w:rsidR="00B4490C" w:rsidRPr="00B4490C" w:rsidRDefault="00B4490C" w:rsidP="00205C7B">
            <w:pPr>
              <w:spacing w:after="0" w:line="240" w:lineRule="auto"/>
              <w:jc w:val="right"/>
              <w:rPr>
                <w:rFonts w:ascii="Arial" w:hAnsi="Arial" w:cs="Arial"/>
                <w:color w:val="000000"/>
                <w:sz w:val="20"/>
                <w:szCs w:val="20"/>
              </w:rPr>
            </w:pPr>
            <w:r w:rsidRPr="00B4490C">
              <w:rPr>
                <w:rFonts w:ascii="Arial" w:hAnsi="Arial" w:cs="Arial"/>
                <w:color w:val="000000"/>
                <w:sz w:val="20"/>
                <w:szCs w:val="20"/>
              </w:rPr>
              <w:t>11</w:t>
            </w:r>
          </w:p>
        </w:tc>
      </w:tr>
      <w:tr w:rsidR="00B4490C" w:rsidRPr="00B4490C" w14:paraId="37A5FEBE" w14:textId="77777777" w:rsidTr="00B4490C">
        <w:trPr>
          <w:trHeight w:val="300"/>
        </w:trPr>
        <w:tc>
          <w:tcPr>
            <w:tcW w:w="1559" w:type="dxa"/>
            <w:tcBorders>
              <w:top w:val="nil"/>
              <w:left w:val="nil"/>
              <w:bottom w:val="nil"/>
              <w:right w:val="nil"/>
            </w:tcBorders>
            <w:shd w:val="clear" w:color="auto" w:fill="auto"/>
            <w:vAlign w:val="center"/>
          </w:tcPr>
          <w:p w14:paraId="59306408"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1499" w:type="dxa"/>
            <w:tcBorders>
              <w:top w:val="nil"/>
              <w:left w:val="nil"/>
              <w:bottom w:val="nil"/>
              <w:right w:val="nil"/>
            </w:tcBorders>
            <w:shd w:val="clear" w:color="auto" w:fill="auto"/>
            <w:noWrap/>
            <w:vAlign w:val="center"/>
          </w:tcPr>
          <w:p w14:paraId="307A5AAD"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524" w:type="dxa"/>
            <w:tcBorders>
              <w:top w:val="nil"/>
              <w:left w:val="nil"/>
              <w:bottom w:val="nil"/>
              <w:right w:val="single" w:sz="4" w:space="0" w:color="auto"/>
            </w:tcBorders>
            <w:vAlign w:val="center"/>
          </w:tcPr>
          <w:p w14:paraId="60F57B88" w14:textId="77777777" w:rsidR="00B4490C" w:rsidRPr="00B4490C" w:rsidRDefault="00B4490C" w:rsidP="00205C7B">
            <w:pPr>
              <w:spacing w:after="0" w:line="240" w:lineRule="auto"/>
              <w:jc w:val="right"/>
              <w:rPr>
                <w:rFonts w:ascii="Arial" w:eastAsia="Times New Roman" w:hAnsi="Arial" w:cs="Arial"/>
                <w:color w:val="000000"/>
                <w:sz w:val="20"/>
                <w:szCs w:val="20"/>
                <w:lang w:eastAsia="bg-BG"/>
              </w:rPr>
            </w:pPr>
          </w:p>
        </w:tc>
        <w:tc>
          <w:tcPr>
            <w:tcW w:w="3222" w:type="dxa"/>
            <w:tcBorders>
              <w:left w:val="single" w:sz="4" w:space="0" w:color="auto"/>
            </w:tcBorders>
            <w:shd w:val="clear" w:color="auto" w:fill="DEEAF6" w:themeFill="accent1" w:themeFillTint="33"/>
            <w:vAlign w:val="center"/>
          </w:tcPr>
          <w:p w14:paraId="449104B2" w14:textId="77777777" w:rsidR="00B4490C" w:rsidRPr="00B4490C" w:rsidRDefault="00B4490C" w:rsidP="00205C7B">
            <w:pPr>
              <w:spacing w:after="0" w:line="240" w:lineRule="auto"/>
              <w:jc w:val="right"/>
              <w:rPr>
                <w:rFonts w:ascii="Arial" w:hAnsi="Arial" w:cs="Arial"/>
                <w:sz w:val="20"/>
                <w:szCs w:val="20"/>
              </w:rPr>
            </w:pPr>
            <w:r w:rsidRPr="00B4490C">
              <w:rPr>
                <w:rFonts w:ascii="Arial" w:hAnsi="Arial" w:cs="Arial"/>
                <w:sz w:val="20"/>
                <w:szCs w:val="20"/>
              </w:rPr>
              <w:t xml:space="preserve">Общо </w:t>
            </w:r>
          </w:p>
        </w:tc>
        <w:tc>
          <w:tcPr>
            <w:tcW w:w="1410" w:type="dxa"/>
            <w:shd w:val="clear" w:color="auto" w:fill="DEEAF6" w:themeFill="accent1" w:themeFillTint="33"/>
            <w:vAlign w:val="center"/>
          </w:tcPr>
          <w:p w14:paraId="0A6DF6E9" w14:textId="77777777" w:rsidR="00B4490C" w:rsidRPr="00B4490C" w:rsidRDefault="00B4490C" w:rsidP="00205C7B">
            <w:pPr>
              <w:spacing w:after="0" w:line="240" w:lineRule="auto"/>
              <w:jc w:val="right"/>
              <w:rPr>
                <w:rFonts w:ascii="Arial" w:hAnsi="Arial" w:cs="Arial"/>
                <w:color w:val="0070C0"/>
                <w:sz w:val="20"/>
                <w:szCs w:val="20"/>
              </w:rPr>
            </w:pPr>
            <w:r w:rsidRPr="00B4490C">
              <w:rPr>
                <w:rFonts w:ascii="Arial" w:hAnsi="Arial" w:cs="Arial"/>
                <w:sz w:val="20"/>
                <w:szCs w:val="20"/>
              </w:rPr>
              <w:t>41</w:t>
            </w:r>
          </w:p>
        </w:tc>
      </w:tr>
    </w:tbl>
    <w:p w14:paraId="762A9E67" w14:textId="77777777" w:rsidR="00625062" w:rsidRPr="00B4490C" w:rsidRDefault="00625062" w:rsidP="00205C7B">
      <w:pPr>
        <w:pStyle w:val="DefaultText"/>
        <w:spacing w:line="240" w:lineRule="auto"/>
        <w:ind w:firstLine="709"/>
        <w:rPr>
          <w:rFonts w:cs="Arial"/>
          <w:sz w:val="20"/>
          <w:szCs w:val="20"/>
          <w:lang w:val="bg-BG"/>
        </w:rPr>
      </w:pPr>
    </w:p>
    <w:tbl>
      <w:tblPr>
        <w:tblW w:w="8167"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59"/>
        <w:gridCol w:w="1652"/>
        <w:gridCol w:w="191"/>
        <w:gridCol w:w="3113"/>
        <w:gridCol w:w="1652"/>
      </w:tblGrid>
      <w:tr w:rsidR="007F3B56" w:rsidRPr="00B4490C" w14:paraId="6D001141" w14:textId="77777777" w:rsidTr="00B4490C">
        <w:trPr>
          <w:trHeight w:val="300"/>
        </w:trPr>
        <w:tc>
          <w:tcPr>
            <w:tcW w:w="1559" w:type="dxa"/>
            <w:shd w:val="clear" w:color="auto" w:fill="1F4E79" w:themeFill="accent1" w:themeFillShade="80"/>
            <w:vAlign w:val="center"/>
          </w:tcPr>
          <w:p w14:paraId="5C0BDE63" w14:textId="77777777" w:rsidR="007F3B56" w:rsidRPr="00B4490C" w:rsidRDefault="007F3B56" w:rsidP="00205C7B">
            <w:pPr>
              <w:spacing w:after="0" w:line="240" w:lineRule="auto"/>
              <w:rPr>
                <w:rFonts w:ascii="Arial" w:eastAsia="Times New Roman" w:hAnsi="Arial" w:cs="Arial"/>
                <w:b/>
                <w:color w:val="FFFFFF" w:themeColor="background1"/>
                <w:sz w:val="20"/>
                <w:szCs w:val="20"/>
                <w:lang w:eastAsia="bg-BG"/>
              </w:rPr>
            </w:pPr>
            <w:r w:rsidRPr="00B4490C">
              <w:rPr>
                <w:rFonts w:ascii="Arial" w:eastAsia="Times New Roman" w:hAnsi="Arial" w:cs="Arial"/>
                <w:b/>
                <w:color w:val="FFFFFF" w:themeColor="background1"/>
                <w:sz w:val="20"/>
                <w:szCs w:val="20"/>
                <w:lang w:eastAsia="bg-BG"/>
              </w:rPr>
              <w:t>Мярка</w:t>
            </w:r>
            <w:r w:rsidR="00B4490C" w:rsidRPr="00B4490C">
              <w:rPr>
                <w:rFonts w:ascii="Arial" w:eastAsia="Times New Roman" w:hAnsi="Arial" w:cs="Arial"/>
                <w:b/>
                <w:color w:val="FFFFFF" w:themeColor="background1"/>
                <w:sz w:val="20"/>
                <w:szCs w:val="20"/>
                <w:lang w:eastAsia="bg-BG"/>
              </w:rPr>
              <w:t xml:space="preserve"> по ос 3</w:t>
            </w:r>
          </w:p>
        </w:tc>
        <w:tc>
          <w:tcPr>
            <w:tcW w:w="1652" w:type="dxa"/>
            <w:tcBorders>
              <w:right w:val="single" w:sz="4" w:space="0" w:color="auto"/>
            </w:tcBorders>
            <w:shd w:val="clear" w:color="auto" w:fill="1F4E79" w:themeFill="accent1" w:themeFillShade="80"/>
            <w:noWrap/>
            <w:vAlign w:val="center"/>
          </w:tcPr>
          <w:p w14:paraId="4E5F574D" w14:textId="77777777" w:rsidR="007F3B56" w:rsidRPr="00B4490C" w:rsidRDefault="007F3B56" w:rsidP="00205C7B">
            <w:pPr>
              <w:spacing w:after="0" w:line="240" w:lineRule="auto"/>
              <w:rPr>
                <w:rFonts w:ascii="Arial" w:eastAsia="Times New Roman" w:hAnsi="Arial" w:cs="Arial"/>
                <w:b/>
                <w:color w:val="FFFFFF" w:themeColor="background1"/>
                <w:sz w:val="20"/>
                <w:szCs w:val="20"/>
                <w:lang w:eastAsia="bg-BG"/>
              </w:rPr>
            </w:pPr>
            <w:r w:rsidRPr="00B4490C">
              <w:rPr>
                <w:rFonts w:ascii="Arial" w:eastAsia="Times New Roman" w:hAnsi="Arial" w:cs="Arial"/>
                <w:b/>
                <w:color w:val="FFFFFF" w:themeColor="background1"/>
                <w:sz w:val="20"/>
                <w:szCs w:val="20"/>
                <w:lang w:eastAsia="bg-BG"/>
              </w:rPr>
              <w:t>Брой проекти</w:t>
            </w:r>
          </w:p>
        </w:tc>
        <w:tc>
          <w:tcPr>
            <w:tcW w:w="191" w:type="dxa"/>
            <w:tcBorders>
              <w:top w:val="nil"/>
              <w:left w:val="single" w:sz="4" w:space="0" w:color="auto"/>
              <w:bottom w:val="nil"/>
              <w:right w:val="single" w:sz="4" w:space="0" w:color="auto"/>
            </w:tcBorders>
            <w:shd w:val="clear" w:color="auto" w:fill="auto"/>
            <w:vAlign w:val="center"/>
          </w:tcPr>
          <w:p w14:paraId="3AA50EEC" w14:textId="77777777" w:rsidR="007F3B56" w:rsidRPr="00B4490C" w:rsidRDefault="007F3B56" w:rsidP="00205C7B">
            <w:pPr>
              <w:spacing w:after="0" w:line="240" w:lineRule="auto"/>
              <w:rPr>
                <w:rFonts w:ascii="Arial" w:eastAsia="Times New Roman" w:hAnsi="Arial" w:cs="Arial"/>
                <w:b/>
                <w:color w:val="FFFFFF" w:themeColor="background1"/>
                <w:sz w:val="20"/>
                <w:szCs w:val="20"/>
                <w:lang w:eastAsia="bg-BG"/>
              </w:rPr>
            </w:pPr>
          </w:p>
        </w:tc>
        <w:tc>
          <w:tcPr>
            <w:tcW w:w="3113" w:type="dxa"/>
            <w:tcBorders>
              <w:left w:val="single" w:sz="4" w:space="0" w:color="auto"/>
            </w:tcBorders>
            <w:shd w:val="clear" w:color="auto" w:fill="1F4E79" w:themeFill="accent1" w:themeFillShade="80"/>
            <w:vAlign w:val="center"/>
          </w:tcPr>
          <w:p w14:paraId="693A476D" w14:textId="77777777" w:rsidR="007F3B56" w:rsidRPr="00B4490C" w:rsidRDefault="007F3B56" w:rsidP="00205C7B">
            <w:pPr>
              <w:spacing w:after="0" w:line="240" w:lineRule="auto"/>
              <w:rPr>
                <w:rFonts w:ascii="Arial" w:eastAsia="Times New Roman" w:hAnsi="Arial" w:cs="Arial"/>
                <w:b/>
                <w:color w:val="FFFFFF" w:themeColor="background1"/>
                <w:sz w:val="20"/>
                <w:szCs w:val="20"/>
                <w:lang w:eastAsia="bg-BG"/>
              </w:rPr>
            </w:pPr>
            <w:r w:rsidRPr="00B4490C">
              <w:rPr>
                <w:rFonts w:ascii="Arial" w:eastAsia="Times New Roman" w:hAnsi="Arial" w:cs="Arial"/>
                <w:b/>
                <w:color w:val="FFFFFF" w:themeColor="background1"/>
                <w:sz w:val="20"/>
                <w:szCs w:val="20"/>
                <w:lang w:eastAsia="bg-BG"/>
              </w:rPr>
              <w:t>Насоченост на инвестициите</w:t>
            </w:r>
          </w:p>
        </w:tc>
        <w:tc>
          <w:tcPr>
            <w:tcW w:w="1652" w:type="dxa"/>
            <w:shd w:val="clear" w:color="auto" w:fill="1F4E79" w:themeFill="accent1" w:themeFillShade="80"/>
            <w:vAlign w:val="center"/>
          </w:tcPr>
          <w:p w14:paraId="7BD31CAD" w14:textId="77777777" w:rsidR="007F3B56" w:rsidRPr="00B4490C" w:rsidRDefault="007F3B56" w:rsidP="00205C7B">
            <w:pPr>
              <w:spacing w:after="0" w:line="240" w:lineRule="auto"/>
              <w:rPr>
                <w:rFonts w:ascii="Arial" w:eastAsia="Times New Roman" w:hAnsi="Arial" w:cs="Arial"/>
                <w:b/>
                <w:color w:val="FFFFFF" w:themeColor="background1"/>
                <w:sz w:val="20"/>
                <w:szCs w:val="20"/>
                <w:lang w:eastAsia="bg-BG"/>
              </w:rPr>
            </w:pPr>
            <w:r w:rsidRPr="00B4490C">
              <w:rPr>
                <w:rFonts w:ascii="Arial" w:eastAsia="Times New Roman" w:hAnsi="Arial" w:cs="Arial"/>
                <w:b/>
                <w:color w:val="FFFFFF" w:themeColor="background1"/>
                <w:sz w:val="20"/>
                <w:szCs w:val="20"/>
                <w:lang w:eastAsia="bg-BG"/>
              </w:rPr>
              <w:t>Брой проекти</w:t>
            </w:r>
          </w:p>
        </w:tc>
      </w:tr>
      <w:tr w:rsidR="007F3B56" w:rsidRPr="00B4490C" w14:paraId="138A14BB" w14:textId="77777777" w:rsidTr="00B4490C">
        <w:trPr>
          <w:trHeight w:val="300"/>
        </w:trPr>
        <w:tc>
          <w:tcPr>
            <w:tcW w:w="1559" w:type="dxa"/>
            <w:shd w:val="clear" w:color="auto" w:fill="auto"/>
            <w:vAlign w:val="center"/>
            <w:hideMark/>
          </w:tcPr>
          <w:p w14:paraId="36A2E6EC" w14:textId="77777777" w:rsidR="007F3B56" w:rsidRPr="00625062"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311</w:t>
            </w:r>
          </w:p>
        </w:tc>
        <w:tc>
          <w:tcPr>
            <w:tcW w:w="1652" w:type="dxa"/>
            <w:tcBorders>
              <w:right w:val="single" w:sz="4" w:space="0" w:color="auto"/>
            </w:tcBorders>
            <w:shd w:val="clear" w:color="auto" w:fill="auto"/>
            <w:noWrap/>
            <w:vAlign w:val="bottom"/>
          </w:tcPr>
          <w:p w14:paraId="2281AC66" w14:textId="77777777" w:rsidR="007F3B56" w:rsidRPr="00625062"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10</w:t>
            </w:r>
          </w:p>
        </w:tc>
        <w:tc>
          <w:tcPr>
            <w:tcW w:w="191" w:type="dxa"/>
            <w:tcBorders>
              <w:top w:val="nil"/>
              <w:left w:val="single" w:sz="4" w:space="0" w:color="auto"/>
              <w:bottom w:val="nil"/>
              <w:right w:val="single" w:sz="4" w:space="0" w:color="auto"/>
            </w:tcBorders>
            <w:shd w:val="clear" w:color="auto" w:fill="auto"/>
          </w:tcPr>
          <w:p w14:paraId="63BF9587"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p>
        </w:tc>
        <w:tc>
          <w:tcPr>
            <w:tcW w:w="3113" w:type="dxa"/>
            <w:tcBorders>
              <w:left w:val="single" w:sz="4" w:space="0" w:color="auto"/>
            </w:tcBorders>
          </w:tcPr>
          <w:p w14:paraId="47D83907"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Производство на мебели</w:t>
            </w:r>
          </w:p>
        </w:tc>
        <w:tc>
          <w:tcPr>
            <w:tcW w:w="1652" w:type="dxa"/>
          </w:tcPr>
          <w:p w14:paraId="4D10AB57"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1</w:t>
            </w:r>
          </w:p>
        </w:tc>
      </w:tr>
      <w:tr w:rsidR="007F3B56" w:rsidRPr="00B4490C" w14:paraId="234B0B11" w14:textId="77777777" w:rsidTr="00B4490C">
        <w:trPr>
          <w:trHeight w:val="300"/>
        </w:trPr>
        <w:tc>
          <w:tcPr>
            <w:tcW w:w="1559" w:type="dxa"/>
            <w:shd w:val="clear" w:color="auto" w:fill="auto"/>
            <w:vAlign w:val="center"/>
            <w:hideMark/>
          </w:tcPr>
          <w:p w14:paraId="334A0188" w14:textId="77777777" w:rsidR="007F3B56" w:rsidRPr="00625062"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312</w:t>
            </w:r>
          </w:p>
        </w:tc>
        <w:tc>
          <w:tcPr>
            <w:tcW w:w="1652" w:type="dxa"/>
            <w:tcBorders>
              <w:right w:val="single" w:sz="4" w:space="0" w:color="auto"/>
            </w:tcBorders>
            <w:shd w:val="clear" w:color="auto" w:fill="auto"/>
            <w:noWrap/>
            <w:vAlign w:val="bottom"/>
          </w:tcPr>
          <w:p w14:paraId="39298FB4" w14:textId="77777777" w:rsidR="007F3B56" w:rsidRPr="00625062"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9</w:t>
            </w:r>
          </w:p>
        </w:tc>
        <w:tc>
          <w:tcPr>
            <w:tcW w:w="191" w:type="dxa"/>
            <w:tcBorders>
              <w:top w:val="nil"/>
              <w:left w:val="single" w:sz="4" w:space="0" w:color="auto"/>
              <w:bottom w:val="nil"/>
              <w:right w:val="single" w:sz="4" w:space="0" w:color="auto"/>
            </w:tcBorders>
            <w:shd w:val="clear" w:color="auto" w:fill="auto"/>
          </w:tcPr>
          <w:p w14:paraId="0A7AC94E"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p>
        </w:tc>
        <w:tc>
          <w:tcPr>
            <w:tcW w:w="3113" w:type="dxa"/>
            <w:tcBorders>
              <w:left w:val="single" w:sz="4" w:space="0" w:color="auto"/>
            </w:tcBorders>
          </w:tcPr>
          <w:p w14:paraId="238971CE"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Туризъм</w:t>
            </w:r>
          </w:p>
        </w:tc>
        <w:tc>
          <w:tcPr>
            <w:tcW w:w="1652" w:type="dxa"/>
          </w:tcPr>
          <w:p w14:paraId="6ADFB5B7"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16</w:t>
            </w:r>
          </w:p>
        </w:tc>
      </w:tr>
      <w:tr w:rsidR="007F3B56" w:rsidRPr="00B4490C" w14:paraId="0C2729E3" w14:textId="77777777" w:rsidTr="00B4490C">
        <w:trPr>
          <w:trHeight w:val="300"/>
        </w:trPr>
        <w:tc>
          <w:tcPr>
            <w:tcW w:w="1559" w:type="dxa"/>
            <w:shd w:val="clear" w:color="auto" w:fill="DEEAF6" w:themeFill="accent1" w:themeFillTint="33"/>
            <w:vAlign w:val="center"/>
          </w:tcPr>
          <w:p w14:paraId="10F46013"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 xml:space="preserve">Общо </w:t>
            </w:r>
          </w:p>
        </w:tc>
        <w:tc>
          <w:tcPr>
            <w:tcW w:w="1652" w:type="dxa"/>
            <w:tcBorders>
              <w:right w:val="single" w:sz="4" w:space="0" w:color="auto"/>
            </w:tcBorders>
            <w:shd w:val="clear" w:color="auto" w:fill="DEEAF6" w:themeFill="accent1" w:themeFillTint="33"/>
            <w:noWrap/>
            <w:vAlign w:val="bottom"/>
          </w:tcPr>
          <w:p w14:paraId="0A1664AA"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19</w:t>
            </w:r>
          </w:p>
        </w:tc>
        <w:tc>
          <w:tcPr>
            <w:tcW w:w="191" w:type="dxa"/>
            <w:tcBorders>
              <w:top w:val="nil"/>
              <w:left w:val="single" w:sz="4" w:space="0" w:color="auto"/>
              <w:bottom w:val="nil"/>
              <w:right w:val="single" w:sz="4" w:space="0" w:color="auto"/>
            </w:tcBorders>
            <w:shd w:val="clear" w:color="auto" w:fill="auto"/>
          </w:tcPr>
          <w:p w14:paraId="1820843C"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p>
        </w:tc>
        <w:tc>
          <w:tcPr>
            <w:tcW w:w="3113" w:type="dxa"/>
            <w:tcBorders>
              <w:left w:val="single" w:sz="4" w:space="0" w:color="auto"/>
            </w:tcBorders>
          </w:tcPr>
          <w:p w14:paraId="327DA74C"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ВЕИ</w:t>
            </w:r>
          </w:p>
        </w:tc>
        <w:tc>
          <w:tcPr>
            <w:tcW w:w="1652" w:type="dxa"/>
          </w:tcPr>
          <w:p w14:paraId="1987DC9D" w14:textId="77777777" w:rsidR="007F3B56" w:rsidRPr="00B4490C" w:rsidRDefault="007F3B56" w:rsidP="00205C7B">
            <w:pPr>
              <w:spacing w:after="0" w:line="240" w:lineRule="auto"/>
              <w:jc w:val="right"/>
              <w:rPr>
                <w:rFonts w:ascii="Arial" w:eastAsia="Times New Roman" w:hAnsi="Arial" w:cs="Arial"/>
                <w:color w:val="000000"/>
                <w:sz w:val="20"/>
                <w:szCs w:val="20"/>
                <w:lang w:eastAsia="bg-BG"/>
              </w:rPr>
            </w:pPr>
            <w:r w:rsidRPr="00B4490C">
              <w:rPr>
                <w:rFonts w:ascii="Arial" w:eastAsia="Times New Roman" w:hAnsi="Arial" w:cs="Arial"/>
                <w:color w:val="000000"/>
                <w:sz w:val="20"/>
                <w:szCs w:val="20"/>
                <w:lang w:eastAsia="bg-BG"/>
              </w:rPr>
              <w:t>2</w:t>
            </w:r>
          </w:p>
        </w:tc>
      </w:tr>
    </w:tbl>
    <w:p w14:paraId="557E9B71" w14:textId="77777777" w:rsidR="00625062" w:rsidRDefault="00625062" w:rsidP="00AB618B">
      <w:pPr>
        <w:pStyle w:val="DefaultText"/>
        <w:spacing w:after="120" w:line="300" w:lineRule="atLeast"/>
        <w:ind w:firstLine="709"/>
        <w:rPr>
          <w:sz w:val="22"/>
          <w:szCs w:val="22"/>
          <w:lang w:val="bg-BG"/>
        </w:rPr>
      </w:pPr>
    </w:p>
    <w:p w14:paraId="751E1DCE"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Методите за анализ, които са използвани</w:t>
      </w:r>
      <w:r w:rsidR="00EC3B9C">
        <w:rPr>
          <w:sz w:val="22"/>
          <w:szCs w:val="22"/>
          <w:lang w:val="bg-BG"/>
        </w:rPr>
        <w:t>,</w:t>
      </w:r>
      <w:r w:rsidRPr="00BC513A">
        <w:rPr>
          <w:sz w:val="22"/>
          <w:szCs w:val="22"/>
          <w:lang w:val="bg-BG"/>
        </w:rPr>
        <w:t xml:space="preserve"> са продиктувани основно от наличната информация и цели на оценката и включват:</w:t>
      </w:r>
    </w:p>
    <w:p w14:paraId="1F6A6D49" w14:textId="77777777" w:rsidR="00E8617E" w:rsidRPr="00BC513A" w:rsidRDefault="00E8617E" w:rsidP="00E8617E">
      <w:pPr>
        <w:pStyle w:val="DefaultText"/>
        <w:numPr>
          <w:ilvl w:val="0"/>
          <w:numId w:val="33"/>
        </w:numPr>
        <w:spacing w:after="120" w:line="300" w:lineRule="atLeast"/>
        <w:ind w:firstLine="349"/>
        <w:rPr>
          <w:sz w:val="22"/>
          <w:szCs w:val="22"/>
          <w:lang w:val="bg-BG"/>
        </w:rPr>
      </w:pPr>
      <w:r w:rsidRPr="00BC513A">
        <w:rPr>
          <w:sz w:val="22"/>
          <w:szCs w:val="22"/>
          <w:lang w:val="bg-BG"/>
        </w:rPr>
        <w:t>Анализ на заинтересованите страни;</w:t>
      </w:r>
    </w:p>
    <w:p w14:paraId="50EF5053" w14:textId="77777777" w:rsidR="00E8617E" w:rsidRPr="00BC513A" w:rsidRDefault="00E8617E" w:rsidP="00E8617E">
      <w:pPr>
        <w:pStyle w:val="DefaultText"/>
        <w:numPr>
          <w:ilvl w:val="0"/>
          <w:numId w:val="33"/>
        </w:numPr>
        <w:spacing w:after="120" w:line="300" w:lineRule="atLeast"/>
        <w:ind w:firstLine="349"/>
        <w:rPr>
          <w:sz w:val="22"/>
          <w:szCs w:val="22"/>
          <w:lang w:val="bg-BG"/>
        </w:rPr>
      </w:pPr>
      <w:r w:rsidRPr="00BC513A">
        <w:rPr>
          <w:sz w:val="22"/>
          <w:szCs w:val="22"/>
          <w:lang w:val="bg-BG"/>
        </w:rPr>
        <w:t>Анализ на логиката на интервенция;</w:t>
      </w:r>
    </w:p>
    <w:p w14:paraId="07E972F2" w14:textId="77777777" w:rsidR="00E8617E" w:rsidRPr="00BC513A" w:rsidRDefault="00E8617E" w:rsidP="00E8617E">
      <w:pPr>
        <w:pStyle w:val="DefaultText"/>
        <w:numPr>
          <w:ilvl w:val="0"/>
          <w:numId w:val="33"/>
        </w:numPr>
        <w:spacing w:after="120" w:line="300" w:lineRule="atLeast"/>
        <w:ind w:firstLine="349"/>
        <w:rPr>
          <w:sz w:val="22"/>
          <w:szCs w:val="22"/>
          <w:lang w:val="bg-BG"/>
        </w:rPr>
      </w:pPr>
      <w:r w:rsidRPr="00BC513A">
        <w:rPr>
          <w:sz w:val="22"/>
          <w:szCs w:val="22"/>
          <w:lang w:val="bg-BG"/>
        </w:rPr>
        <w:t>Анализ на индикатори;</w:t>
      </w:r>
    </w:p>
    <w:p w14:paraId="21EB6BE2" w14:textId="77777777" w:rsidR="00E8617E" w:rsidRPr="00BC513A" w:rsidRDefault="00E8617E" w:rsidP="00E8617E">
      <w:pPr>
        <w:pStyle w:val="DefaultText"/>
        <w:numPr>
          <w:ilvl w:val="0"/>
          <w:numId w:val="33"/>
        </w:numPr>
        <w:spacing w:after="120" w:line="300" w:lineRule="atLeast"/>
        <w:ind w:firstLine="349"/>
        <w:rPr>
          <w:sz w:val="22"/>
          <w:szCs w:val="22"/>
          <w:lang w:val="bg-BG"/>
        </w:rPr>
      </w:pPr>
      <w:r w:rsidRPr="00BC513A">
        <w:rPr>
          <w:sz w:val="22"/>
          <w:szCs w:val="22"/>
          <w:lang w:val="bg-BG"/>
        </w:rPr>
        <w:t>Финансов анализ;</w:t>
      </w:r>
    </w:p>
    <w:p w14:paraId="5F9678E5" w14:textId="77777777" w:rsidR="00E8617E" w:rsidRPr="00BC513A" w:rsidRDefault="00E8617E" w:rsidP="00E8617E">
      <w:pPr>
        <w:pStyle w:val="DefaultText"/>
        <w:numPr>
          <w:ilvl w:val="0"/>
          <w:numId w:val="33"/>
        </w:numPr>
        <w:spacing w:after="120" w:line="300" w:lineRule="atLeast"/>
        <w:ind w:firstLine="349"/>
        <w:rPr>
          <w:sz w:val="22"/>
          <w:szCs w:val="22"/>
          <w:lang w:val="bg-BG"/>
        </w:rPr>
      </w:pPr>
      <w:r w:rsidRPr="00BC513A">
        <w:rPr>
          <w:sz w:val="22"/>
          <w:szCs w:val="22"/>
          <w:lang w:val="bg-BG"/>
        </w:rPr>
        <w:t>Анализ на приноса;</w:t>
      </w:r>
    </w:p>
    <w:p w14:paraId="2AA8C115" w14:textId="77777777" w:rsidR="00E8617E" w:rsidRPr="00BC513A" w:rsidRDefault="00E8617E" w:rsidP="00E8617E">
      <w:pPr>
        <w:pStyle w:val="DefaultText"/>
        <w:numPr>
          <w:ilvl w:val="0"/>
          <w:numId w:val="33"/>
        </w:numPr>
        <w:spacing w:after="120" w:line="300" w:lineRule="atLeast"/>
        <w:ind w:firstLine="349"/>
        <w:rPr>
          <w:sz w:val="22"/>
          <w:szCs w:val="22"/>
          <w:lang w:val="bg-BG"/>
        </w:rPr>
      </w:pPr>
      <w:r w:rsidRPr="00BC513A">
        <w:rPr>
          <w:sz w:val="22"/>
          <w:szCs w:val="22"/>
          <w:lang w:val="bg-BG"/>
        </w:rPr>
        <w:t>Експертен анализ на постигнатите въздействия.</w:t>
      </w:r>
    </w:p>
    <w:p w14:paraId="27041EF1" w14:textId="77777777" w:rsidR="00E8617E" w:rsidRPr="00BC513A" w:rsidRDefault="00E8617E" w:rsidP="00E8617E">
      <w:pPr>
        <w:pStyle w:val="Heading2"/>
        <w:numPr>
          <w:ilvl w:val="1"/>
          <w:numId w:val="5"/>
        </w:numPr>
      </w:pPr>
      <w:bookmarkStart w:id="35" w:name="_Toc504136134"/>
      <w:r w:rsidRPr="00BC513A">
        <w:t>Оценителни въпроси</w:t>
      </w:r>
      <w:bookmarkEnd w:id="35"/>
    </w:p>
    <w:p w14:paraId="6423D4FF" w14:textId="77777777" w:rsidR="00E8617E" w:rsidRDefault="00E8617E" w:rsidP="00E8617E">
      <w:pPr>
        <w:pStyle w:val="DefaultText"/>
        <w:spacing w:after="240" w:line="300" w:lineRule="atLeast"/>
        <w:ind w:firstLine="709"/>
        <w:rPr>
          <w:sz w:val="22"/>
          <w:szCs w:val="22"/>
          <w:lang w:val="bg-BG"/>
        </w:rPr>
      </w:pPr>
      <w:r w:rsidRPr="00BC513A">
        <w:rPr>
          <w:sz w:val="22"/>
          <w:szCs w:val="22"/>
          <w:lang w:val="bg-BG"/>
        </w:rPr>
        <w:t>Оценителните въпроси, на които оценката трябва да даде отговор</w:t>
      </w:r>
      <w:r w:rsidR="00EC3B9C">
        <w:rPr>
          <w:sz w:val="22"/>
          <w:szCs w:val="22"/>
          <w:lang w:val="bg-BG"/>
        </w:rPr>
        <w:t>,</w:t>
      </w:r>
      <w:r w:rsidRPr="00BC513A">
        <w:rPr>
          <w:sz w:val="22"/>
          <w:szCs w:val="22"/>
          <w:lang w:val="bg-BG"/>
        </w:rPr>
        <w:t xml:space="preserve"> са посочени в техническата спецификация на Възложителя. Те са групирани по приоритетни оси. В допълнение са посочени оценителни въпроси, касаещи националната селска мрежа, както и хоризонтални общи въпроси към оценката. Оценителните въпроси са</w:t>
      </w:r>
      <w:r w:rsidR="00EC3B9C">
        <w:rPr>
          <w:sz w:val="22"/>
          <w:szCs w:val="22"/>
          <w:lang w:val="bg-BG"/>
        </w:rPr>
        <w:t>,</w:t>
      </w:r>
      <w:r w:rsidRPr="00BC513A">
        <w:rPr>
          <w:sz w:val="22"/>
          <w:szCs w:val="22"/>
          <w:lang w:val="bg-BG"/>
        </w:rPr>
        <w:t xml:space="preserve"> както следва:</w:t>
      </w:r>
    </w:p>
    <w:p w14:paraId="4DAF257C" w14:textId="77777777" w:rsidR="00205C7B" w:rsidRPr="00BC513A" w:rsidRDefault="00205C7B" w:rsidP="00E8617E">
      <w:pPr>
        <w:pStyle w:val="DefaultText"/>
        <w:spacing w:after="240" w:line="300" w:lineRule="atLeast"/>
        <w:ind w:firstLine="709"/>
        <w:rPr>
          <w:sz w:val="22"/>
          <w:szCs w:val="22"/>
          <w:lang w:val="bg-BG"/>
        </w:rPr>
      </w:pPr>
    </w:p>
    <w:tbl>
      <w:tblPr>
        <w:tblW w:w="0" w:type="auto"/>
        <w:tblInd w:w="-5" w:type="dxa"/>
        <w:tblLook w:val="04A0" w:firstRow="1" w:lastRow="0" w:firstColumn="1" w:lastColumn="0" w:noHBand="0" w:noVBand="1"/>
      </w:tblPr>
      <w:tblGrid>
        <w:gridCol w:w="9060"/>
      </w:tblGrid>
      <w:tr w:rsidR="00E8617E" w:rsidRPr="00BC513A" w14:paraId="07DF97D9" w14:textId="77777777" w:rsidTr="00922731">
        <w:tc>
          <w:tcPr>
            <w:tcW w:w="9060" w:type="dxa"/>
            <w:tcBorders>
              <w:top w:val="single" w:sz="4" w:space="0" w:color="C45911" w:themeColor="accent2" w:themeShade="BF"/>
              <w:left w:val="single" w:sz="4" w:space="0" w:color="C45911" w:themeColor="accent2" w:themeShade="BF"/>
              <w:right w:val="single" w:sz="4" w:space="0" w:color="C45911" w:themeColor="accent2" w:themeShade="BF"/>
            </w:tcBorders>
            <w:shd w:val="clear" w:color="auto" w:fill="FDF0E7"/>
          </w:tcPr>
          <w:p w14:paraId="533DE0A2" w14:textId="77777777" w:rsidR="00E8617E" w:rsidRPr="00BC513A" w:rsidRDefault="00E8617E" w:rsidP="00922731">
            <w:pPr>
              <w:pStyle w:val="DefaultText"/>
              <w:shd w:val="clear" w:color="auto" w:fill="FDF0E7"/>
              <w:spacing w:after="120" w:line="300" w:lineRule="atLeast"/>
              <w:rPr>
                <w:sz w:val="20"/>
                <w:szCs w:val="20"/>
                <w:lang w:val="bg-BG"/>
              </w:rPr>
            </w:pPr>
            <w:r w:rsidRPr="00BC513A">
              <w:rPr>
                <w:rFonts w:cs="Arial"/>
                <w:b/>
                <w:color w:val="000000"/>
                <w:sz w:val="20"/>
                <w:szCs w:val="20"/>
                <w:shd w:val="clear" w:color="auto" w:fill="FDF0E7"/>
                <w:lang w:val="bg-BG"/>
              </w:rPr>
              <w:t>Ос 1: Подобряване на конкурентоспособността на земеделския и горския сектор</w:t>
            </w:r>
            <w:r w:rsidRPr="00BC513A">
              <w:rPr>
                <w:rFonts w:cs="Arial"/>
                <w:b/>
                <w:color w:val="000000"/>
                <w:sz w:val="20"/>
                <w:szCs w:val="20"/>
                <w:shd w:val="clear" w:color="auto" w:fill="FFFFFF"/>
                <w:lang w:val="bg-BG"/>
              </w:rPr>
              <w:t xml:space="preserve"> </w:t>
            </w:r>
          </w:p>
        </w:tc>
      </w:tr>
      <w:tr w:rsidR="00E8617E" w:rsidRPr="00BC513A" w14:paraId="43681FAA" w14:textId="77777777" w:rsidTr="00922731">
        <w:tc>
          <w:tcPr>
            <w:tcW w:w="9060" w:type="dxa"/>
            <w:tcBorders>
              <w:left w:val="single" w:sz="4" w:space="0" w:color="C45911" w:themeColor="accent2" w:themeShade="BF"/>
              <w:bottom w:val="single" w:sz="4" w:space="0" w:color="C45911" w:themeColor="accent2" w:themeShade="BF"/>
              <w:right w:val="single" w:sz="4" w:space="0" w:color="C45911" w:themeColor="accent2" w:themeShade="BF"/>
            </w:tcBorders>
            <w:shd w:val="clear" w:color="auto" w:fill="auto"/>
          </w:tcPr>
          <w:p w14:paraId="27D11003" w14:textId="77777777" w:rsidR="00E8617E" w:rsidRPr="00BC513A" w:rsidRDefault="00E8617E" w:rsidP="00922731">
            <w:pPr>
              <w:numPr>
                <w:ilvl w:val="0"/>
                <w:numId w:val="11"/>
              </w:numPr>
              <w:jc w:val="both"/>
              <w:rPr>
                <w:rFonts w:ascii="Arial" w:hAnsi="Arial" w:cs="Arial"/>
                <w:sz w:val="20"/>
                <w:szCs w:val="20"/>
              </w:rPr>
            </w:pPr>
            <w:r w:rsidRPr="00BC513A">
              <w:rPr>
                <w:rFonts w:ascii="Arial" w:hAnsi="Arial" w:cs="Arial"/>
                <w:sz w:val="20"/>
                <w:szCs w:val="20"/>
              </w:rPr>
              <w:t>До каква степен ПРСР е допринесла за подобряване на конкурентоспособността на земеделския и горския сектор? (</w:t>
            </w:r>
            <w:r w:rsidRPr="00BC513A">
              <w:rPr>
                <w:rFonts w:ascii="Arial" w:hAnsi="Arial" w:cs="Arial"/>
                <w:i/>
                <w:sz w:val="20"/>
                <w:szCs w:val="20"/>
              </w:rPr>
              <w:t>Стратегически приоритет на Общността</w:t>
            </w:r>
            <w:r w:rsidRPr="00BC513A">
              <w:rPr>
                <w:rFonts w:ascii="Arial" w:hAnsi="Arial" w:cs="Arial"/>
                <w:sz w:val="20"/>
                <w:szCs w:val="20"/>
              </w:rPr>
              <w:t>);</w:t>
            </w:r>
          </w:p>
          <w:p w14:paraId="1A601510" w14:textId="77777777" w:rsidR="00E8617E" w:rsidRPr="00BC513A" w:rsidRDefault="00E8617E" w:rsidP="00922731">
            <w:pPr>
              <w:numPr>
                <w:ilvl w:val="0"/>
                <w:numId w:val="11"/>
              </w:numPr>
              <w:jc w:val="both"/>
              <w:rPr>
                <w:rFonts w:ascii="Arial" w:hAnsi="Arial" w:cs="Arial"/>
                <w:sz w:val="20"/>
                <w:szCs w:val="20"/>
              </w:rPr>
            </w:pPr>
            <w:r w:rsidRPr="00BC513A">
              <w:rPr>
                <w:rFonts w:ascii="Arial" w:hAnsi="Arial" w:cs="Arial"/>
                <w:sz w:val="20"/>
                <w:szCs w:val="20"/>
              </w:rPr>
              <w:t xml:space="preserve"> До каква степен ПРСР съпътствала за преструктурирането на млечния сектор? (</w:t>
            </w:r>
            <w:r w:rsidRPr="00BC513A">
              <w:rPr>
                <w:rFonts w:ascii="Arial" w:hAnsi="Arial" w:cs="Arial"/>
                <w:i/>
                <w:sz w:val="20"/>
                <w:szCs w:val="20"/>
              </w:rPr>
              <w:t>Health Check objective</w:t>
            </w:r>
            <w:r w:rsidRPr="00BC513A">
              <w:rPr>
                <w:rFonts w:ascii="Arial" w:hAnsi="Arial" w:cs="Arial"/>
                <w:sz w:val="20"/>
                <w:szCs w:val="20"/>
              </w:rPr>
              <w:t>);</w:t>
            </w:r>
          </w:p>
          <w:p w14:paraId="7314D5B6" w14:textId="77777777" w:rsidR="00E8617E" w:rsidRPr="00BC513A" w:rsidRDefault="00E8617E" w:rsidP="00922731">
            <w:pPr>
              <w:jc w:val="both"/>
              <w:rPr>
                <w:rFonts w:ascii="Arial" w:hAnsi="Arial" w:cs="Arial"/>
                <w:sz w:val="20"/>
                <w:szCs w:val="20"/>
              </w:rPr>
            </w:pPr>
          </w:p>
          <w:p w14:paraId="01578B3A" w14:textId="77777777" w:rsidR="00E8617E" w:rsidRPr="00BC513A" w:rsidRDefault="00E8617E" w:rsidP="00922731">
            <w:pPr>
              <w:jc w:val="both"/>
              <w:rPr>
                <w:rFonts w:ascii="Arial" w:hAnsi="Arial" w:cs="Arial"/>
                <w:i/>
                <w:sz w:val="20"/>
                <w:szCs w:val="20"/>
              </w:rPr>
            </w:pPr>
            <w:r w:rsidRPr="00BC513A">
              <w:rPr>
                <w:rFonts w:ascii="Arial" w:hAnsi="Arial" w:cs="Arial"/>
                <w:i/>
                <w:sz w:val="20"/>
                <w:szCs w:val="20"/>
              </w:rPr>
              <w:t>За всяка от мерките по ос 1, включени в ПРСР:</w:t>
            </w:r>
          </w:p>
          <w:p w14:paraId="1684D6F6" w14:textId="77777777" w:rsidR="00E8617E" w:rsidRPr="00BC513A" w:rsidRDefault="00E8617E" w:rsidP="00922731">
            <w:pPr>
              <w:numPr>
                <w:ilvl w:val="0"/>
                <w:numId w:val="11"/>
              </w:numPr>
              <w:jc w:val="both"/>
              <w:rPr>
                <w:rFonts w:ascii="Arial" w:hAnsi="Arial" w:cs="Arial"/>
                <w:sz w:val="20"/>
                <w:szCs w:val="20"/>
              </w:rPr>
            </w:pPr>
            <w:r w:rsidRPr="00BC513A">
              <w:rPr>
                <w:rFonts w:ascii="Arial" w:hAnsi="Arial" w:cs="Arial"/>
                <w:sz w:val="20"/>
                <w:szCs w:val="20"/>
              </w:rPr>
              <w:t>Как и до каква степен съответната мярка е допринесла за подобряване на конкурентоспособността на бенефициентите?</w:t>
            </w:r>
          </w:p>
          <w:p w14:paraId="01375943" w14:textId="77777777" w:rsidR="00E8617E" w:rsidRPr="00BC513A" w:rsidRDefault="00E8617E" w:rsidP="00922731">
            <w:pPr>
              <w:numPr>
                <w:ilvl w:val="0"/>
                <w:numId w:val="11"/>
              </w:numPr>
              <w:jc w:val="both"/>
              <w:rPr>
                <w:rFonts w:ascii="Arial" w:hAnsi="Arial" w:cs="Arial"/>
                <w:sz w:val="20"/>
                <w:szCs w:val="20"/>
              </w:rPr>
            </w:pPr>
            <w:r w:rsidRPr="00BC513A">
              <w:rPr>
                <w:rFonts w:ascii="Arial" w:hAnsi="Arial" w:cs="Arial"/>
                <w:sz w:val="20"/>
                <w:szCs w:val="20"/>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 (</w:t>
            </w:r>
            <w:r w:rsidRPr="00BC513A">
              <w:rPr>
                <w:rFonts w:ascii="Arial" w:hAnsi="Arial" w:cs="Arial"/>
                <w:i/>
                <w:sz w:val="20"/>
                <w:szCs w:val="20"/>
              </w:rPr>
              <w:t>например екологични ползи от инвестициите в съхранение на оборски тор</w:t>
            </w:r>
            <w:r w:rsidRPr="00BC513A">
              <w:rPr>
                <w:rFonts w:ascii="Arial" w:hAnsi="Arial" w:cs="Arial"/>
                <w:sz w:val="20"/>
                <w:szCs w:val="20"/>
              </w:rPr>
              <w:t>);</w:t>
            </w:r>
          </w:p>
        </w:tc>
      </w:tr>
    </w:tbl>
    <w:p w14:paraId="0C93A76C" w14:textId="77777777" w:rsidR="00E8617E" w:rsidRPr="00BC513A" w:rsidRDefault="00E8617E" w:rsidP="00E8617E"/>
    <w:tbl>
      <w:tblPr>
        <w:tblW w:w="0" w:type="auto"/>
        <w:tblInd w:w="-5" w:type="dxa"/>
        <w:tblLook w:val="04A0" w:firstRow="1" w:lastRow="0" w:firstColumn="1" w:lastColumn="0" w:noHBand="0" w:noVBand="1"/>
      </w:tblPr>
      <w:tblGrid>
        <w:gridCol w:w="9060"/>
      </w:tblGrid>
      <w:tr w:rsidR="00E8617E" w:rsidRPr="00BC513A" w14:paraId="3B84D89B" w14:textId="77777777" w:rsidTr="00922731">
        <w:tc>
          <w:tcPr>
            <w:tcW w:w="9060" w:type="dxa"/>
            <w:tcBorders>
              <w:top w:val="single" w:sz="4" w:space="0" w:color="0070C0"/>
              <w:left w:val="single" w:sz="4" w:space="0" w:color="0070C0"/>
              <w:right w:val="single" w:sz="4" w:space="0" w:color="0070C0"/>
            </w:tcBorders>
            <w:shd w:val="clear" w:color="auto" w:fill="ECF3FA"/>
          </w:tcPr>
          <w:p w14:paraId="178A9BB9" w14:textId="22C316B6" w:rsidR="00E8617E" w:rsidRPr="00BC513A" w:rsidRDefault="00AB2B2B" w:rsidP="00922731">
            <w:pPr>
              <w:pStyle w:val="DefaultText"/>
              <w:keepNext/>
              <w:shd w:val="clear" w:color="auto" w:fill="ECF3FA"/>
              <w:spacing w:after="120" w:line="300" w:lineRule="atLeast"/>
              <w:rPr>
                <w:sz w:val="20"/>
                <w:szCs w:val="20"/>
                <w:lang w:val="bg-BG"/>
              </w:rPr>
            </w:pPr>
            <w:r>
              <w:rPr>
                <w:rFonts w:cs="Arial"/>
                <w:b/>
                <w:color w:val="000000"/>
                <w:sz w:val="20"/>
                <w:szCs w:val="20"/>
                <w:shd w:val="clear" w:color="auto" w:fill="ECF3FA"/>
                <w:lang w:val="bg-BG"/>
              </w:rPr>
              <w:t>Ос</w:t>
            </w:r>
            <w:r w:rsidR="00E8617E" w:rsidRPr="00BC513A">
              <w:rPr>
                <w:rFonts w:cs="Arial"/>
                <w:b/>
                <w:color w:val="000000"/>
                <w:sz w:val="20"/>
                <w:szCs w:val="20"/>
                <w:shd w:val="clear" w:color="auto" w:fill="ECF3FA"/>
                <w:lang w:val="bg-BG"/>
              </w:rPr>
              <w:t xml:space="preserve"> 2: Подобряване на околната среда и природата</w:t>
            </w:r>
            <w:r w:rsidR="00E8617E" w:rsidRPr="00BC513A">
              <w:rPr>
                <w:rFonts w:cs="Arial"/>
                <w:b/>
                <w:color w:val="000000"/>
                <w:sz w:val="20"/>
                <w:szCs w:val="20"/>
                <w:shd w:val="clear" w:color="auto" w:fill="FFFFFF"/>
                <w:lang w:val="bg-BG"/>
              </w:rPr>
              <w:t xml:space="preserve"> </w:t>
            </w:r>
          </w:p>
        </w:tc>
      </w:tr>
      <w:tr w:rsidR="00E8617E" w:rsidRPr="00BC513A" w14:paraId="62C89828" w14:textId="77777777" w:rsidTr="00922731">
        <w:tc>
          <w:tcPr>
            <w:tcW w:w="9060" w:type="dxa"/>
            <w:tcBorders>
              <w:left w:val="single" w:sz="4" w:space="0" w:color="0070C0"/>
              <w:bottom w:val="single" w:sz="4" w:space="0" w:color="0070C0"/>
              <w:right w:val="single" w:sz="4" w:space="0" w:color="0070C0"/>
            </w:tcBorders>
            <w:shd w:val="clear" w:color="auto" w:fill="auto"/>
          </w:tcPr>
          <w:p w14:paraId="72768853" w14:textId="77777777" w:rsidR="00E8617E" w:rsidRPr="00BC513A" w:rsidRDefault="00E8617E" w:rsidP="00922731">
            <w:pPr>
              <w:numPr>
                <w:ilvl w:val="0"/>
                <w:numId w:val="12"/>
              </w:numPr>
              <w:jc w:val="both"/>
              <w:rPr>
                <w:rFonts w:ascii="Arial" w:hAnsi="Arial" w:cs="Arial"/>
                <w:sz w:val="20"/>
                <w:szCs w:val="20"/>
              </w:rPr>
            </w:pPr>
            <w:r w:rsidRPr="00BC513A">
              <w:rPr>
                <w:rFonts w:ascii="Arial" w:hAnsi="Arial" w:cs="Arial"/>
                <w:sz w:val="20"/>
                <w:szCs w:val="20"/>
              </w:rPr>
              <w:t>До каква степен ПРСР е допринесла за защита и увеличаване на природните ресурси и на ландшафта, включително, биологичното разнообразие и висока природна стойност (ВПС) земеделие и горско стопанство? (</w:t>
            </w:r>
            <w:r w:rsidRPr="00BC513A">
              <w:rPr>
                <w:rFonts w:ascii="Arial" w:hAnsi="Arial" w:cs="Arial"/>
                <w:i/>
                <w:sz w:val="20"/>
                <w:szCs w:val="20"/>
              </w:rPr>
              <w:t>Стратегически приоритет на Общността</w:t>
            </w:r>
            <w:r w:rsidRPr="00BC513A">
              <w:rPr>
                <w:rFonts w:ascii="Arial" w:hAnsi="Arial" w:cs="Arial"/>
                <w:sz w:val="20"/>
                <w:szCs w:val="20"/>
              </w:rPr>
              <w:t xml:space="preserve">. Биологичното разнообразие също е </w:t>
            </w:r>
            <w:r w:rsidRPr="00BC513A">
              <w:rPr>
                <w:rFonts w:ascii="Arial" w:hAnsi="Arial" w:cs="Arial"/>
                <w:i/>
                <w:sz w:val="20"/>
                <w:szCs w:val="20"/>
              </w:rPr>
              <w:t>Health Check objective</w:t>
            </w:r>
            <w:r w:rsidRPr="00BC513A">
              <w:rPr>
                <w:rFonts w:ascii="Arial" w:hAnsi="Arial" w:cs="Arial"/>
                <w:sz w:val="20"/>
                <w:szCs w:val="20"/>
              </w:rPr>
              <w:t>);</w:t>
            </w:r>
          </w:p>
          <w:p w14:paraId="4858C612" w14:textId="77777777" w:rsidR="00E8617E" w:rsidRPr="00BC513A" w:rsidRDefault="00E8617E" w:rsidP="00922731">
            <w:pPr>
              <w:jc w:val="both"/>
              <w:rPr>
                <w:rFonts w:ascii="Arial" w:hAnsi="Arial" w:cs="Arial"/>
                <w:sz w:val="20"/>
                <w:szCs w:val="20"/>
              </w:rPr>
            </w:pPr>
          </w:p>
          <w:p w14:paraId="10B38C5D" w14:textId="77777777" w:rsidR="00E8617E" w:rsidRPr="00BC513A" w:rsidRDefault="00E8617E" w:rsidP="00922731">
            <w:pPr>
              <w:jc w:val="both"/>
              <w:rPr>
                <w:rFonts w:ascii="Arial" w:hAnsi="Arial" w:cs="Arial"/>
                <w:i/>
                <w:sz w:val="20"/>
                <w:szCs w:val="20"/>
              </w:rPr>
            </w:pPr>
            <w:r w:rsidRPr="00BC513A">
              <w:rPr>
                <w:rFonts w:ascii="Arial" w:hAnsi="Arial" w:cs="Arial"/>
                <w:i/>
                <w:sz w:val="20"/>
                <w:szCs w:val="20"/>
              </w:rPr>
              <w:t>За всяка от мерките от ос 2, включени в ПРСР:</w:t>
            </w:r>
          </w:p>
          <w:p w14:paraId="531C8DDF" w14:textId="77777777" w:rsidR="00E8617E" w:rsidRPr="00BC513A" w:rsidRDefault="00E8617E" w:rsidP="00922731">
            <w:pPr>
              <w:numPr>
                <w:ilvl w:val="0"/>
                <w:numId w:val="12"/>
              </w:numPr>
              <w:jc w:val="both"/>
              <w:rPr>
                <w:rFonts w:ascii="Arial" w:hAnsi="Arial" w:cs="Arial"/>
                <w:i/>
                <w:sz w:val="20"/>
                <w:szCs w:val="20"/>
              </w:rPr>
            </w:pPr>
            <w:r w:rsidRPr="00BC513A">
              <w:rPr>
                <w:rFonts w:ascii="Arial" w:hAnsi="Arial" w:cs="Arial"/>
                <w:sz w:val="20"/>
                <w:szCs w:val="20"/>
              </w:rPr>
              <w:t>Как и до каква степен съответната мярка е допринесла за подобряване на екологичното положение на бенефициентите и за местната околна среда?</w:t>
            </w:r>
          </w:p>
          <w:p w14:paraId="097B85CC" w14:textId="77777777" w:rsidR="00E8617E" w:rsidRPr="00BC513A" w:rsidRDefault="00E8617E" w:rsidP="00922731">
            <w:pPr>
              <w:numPr>
                <w:ilvl w:val="0"/>
                <w:numId w:val="12"/>
              </w:numPr>
              <w:jc w:val="both"/>
              <w:rPr>
                <w:sz w:val="20"/>
                <w:szCs w:val="20"/>
              </w:rPr>
            </w:pPr>
            <w:r w:rsidRPr="00BC513A">
              <w:rPr>
                <w:rFonts w:ascii="Arial" w:hAnsi="Arial" w:cs="Arial"/>
                <w:sz w:val="20"/>
                <w:szCs w:val="20"/>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 (</w:t>
            </w:r>
            <w:r w:rsidRPr="00BC513A">
              <w:rPr>
                <w:rFonts w:ascii="Arial" w:hAnsi="Arial" w:cs="Arial"/>
                <w:i/>
                <w:sz w:val="20"/>
                <w:szCs w:val="20"/>
              </w:rPr>
              <w:t>например увеличаване на конкурентоспособността на земеделските стопанства или туристическия на потенциал</w:t>
            </w:r>
            <w:r w:rsidRPr="00BC513A">
              <w:rPr>
                <w:rFonts w:ascii="Arial" w:hAnsi="Arial" w:cs="Arial"/>
                <w:sz w:val="20"/>
                <w:szCs w:val="20"/>
              </w:rPr>
              <w:t>).</w:t>
            </w:r>
          </w:p>
        </w:tc>
      </w:tr>
    </w:tbl>
    <w:p w14:paraId="44822773" w14:textId="77777777" w:rsidR="00E8617E" w:rsidRPr="00BC513A" w:rsidRDefault="00E8617E" w:rsidP="00E8617E"/>
    <w:tbl>
      <w:tblPr>
        <w:tblW w:w="0" w:type="auto"/>
        <w:tblInd w:w="-5" w:type="dxa"/>
        <w:tblLook w:val="04A0" w:firstRow="1" w:lastRow="0" w:firstColumn="1" w:lastColumn="0" w:noHBand="0" w:noVBand="1"/>
      </w:tblPr>
      <w:tblGrid>
        <w:gridCol w:w="9060"/>
      </w:tblGrid>
      <w:tr w:rsidR="00E8617E" w:rsidRPr="00BC513A" w14:paraId="64A1F0C9" w14:textId="77777777" w:rsidTr="00922731">
        <w:tc>
          <w:tcPr>
            <w:tcW w:w="9060" w:type="dxa"/>
            <w:tcBorders>
              <w:top w:val="single" w:sz="4" w:space="0" w:color="00B050"/>
              <w:left w:val="single" w:sz="4" w:space="0" w:color="00B050"/>
              <w:right w:val="single" w:sz="4" w:space="0" w:color="00B050"/>
            </w:tcBorders>
            <w:shd w:val="clear" w:color="auto" w:fill="EFF6EA"/>
          </w:tcPr>
          <w:p w14:paraId="5030365A" w14:textId="02CD3DCB" w:rsidR="00E8617E" w:rsidRPr="00BC513A" w:rsidRDefault="00E8617E" w:rsidP="00AB2B2B">
            <w:pPr>
              <w:pStyle w:val="DefaultText"/>
              <w:shd w:val="clear" w:color="auto" w:fill="EFF6EA"/>
              <w:spacing w:after="120" w:line="300" w:lineRule="atLeast"/>
              <w:rPr>
                <w:sz w:val="20"/>
                <w:szCs w:val="20"/>
                <w:lang w:val="bg-BG"/>
              </w:rPr>
            </w:pPr>
            <w:r w:rsidRPr="00BC513A">
              <w:rPr>
                <w:rFonts w:cs="Arial"/>
                <w:b/>
                <w:color w:val="000000"/>
                <w:sz w:val="20"/>
                <w:szCs w:val="20"/>
                <w:shd w:val="clear" w:color="auto" w:fill="EFF6EA"/>
                <w:lang w:val="bg-BG"/>
              </w:rPr>
              <w:t>О</w:t>
            </w:r>
            <w:r w:rsidR="00AB2B2B">
              <w:rPr>
                <w:rFonts w:cs="Arial"/>
                <w:b/>
                <w:color w:val="000000"/>
                <w:sz w:val="20"/>
                <w:szCs w:val="20"/>
                <w:shd w:val="clear" w:color="auto" w:fill="EFF6EA"/>
                <w:lang w:val="bg-BG"/>
              </w:rPr>
              <w:t xml:space="preserve">с </w:t>
            </w:r>
            <w:r w:rsidRPr="00BC513A">
              <w:rPr>
                <w:rFonts w:cs="Arial"/>
                <w:b/>
                <w:color w:val="000000"/>
                <w:sz w:val="20"/>
                <w:szCs w:val="20"/>
                <w:shd w:val="clear" w:color="auto" w:fill="EFF6EA"/>
                <w:lang w:val="bg-BG"/>
              </w:rPr>
              <w:t>3: Качество на живот в селските райони и разнообразяване на селската икономика</w:t>
            </w:r>
          </w:p>
        </w:tc>
      </w:tr>
      <w:tr w:rsidR="00E8617E" w:rsidRPr="00BC513A" w14:paraId="7DC0903B" w14:textId="77777777" w:rsidTr="00922731">
        <w:tc>
          <w:tcPr>
            <w:tcW w:w="9060" w:type="dxa"/>
            <w:tcBorders>
              <w:left w:val="single" w:sz="4" w:space="0" w:color="00B050"/>
              <w:bottom w:val="single" w:sz="4" w:space="0" w:color="00B050"/>
              <w:right w:val="single" w:sz="4" w:space="0" w:color="00B050"/>
            </w:tcBorders>
            <w:shd w:val="clear" w:color="auto" w:fill="auto"/>
          </w:tcPr>
          <w:p w14:paraId="339F43E9" w14:textId="77777777" w:rsidR="00E8617E" w:rsidRPr="00BC513A" w:rsidRDefault="00E8617E" w:rsidP="00922731">
            <w:pPr>
              <w:numPr>
                <w:ilvl w:val="0"/>
                <w:numId w:val="13"/>
              </w:numPr>
              <w:jc w:val="both"/>
              <w:rPr>
                <w:rFonts w:ascii="Arial" w:hAnsi="Arial" w:cs="Arial"/>
                <w:sz w:val="20"/>
                <w:szCs w:val="20"/>
              </w:rPr>
            </w:pPr>
            <w:r w:rsidRPr="00BC513A">
              <w:rPr>
                <w:rFonts w:ascii="Arial" w:hAnsi="Arial" w:cs="Arial"/>
                <w:sz w:val="20"/>
                <w:szCs w:val="20"/>
              </w:rPr>
              <w:t>До каква степен ПРСР е допринесла за подобряване на качеството на живот в селските райони и за насърчаване разнообразяването на селската икономика?  (</w:t>
            </w:r>
            <w:r w:rsidRPr="00BC513A">
              <w:rPr>
                <w:rFonts w:ascii="Arial" w:hAnsi="Arial" w:cs="Arial"/>
                <w:i/>
                <w:sz w:val="20"/>
                <w:szCs w:val="20"/>
              </w:rPr>
              <w:t>Стратегически приоритет на Общността</w:t>
            </w:r>
            <w:r w:rsidRPr="00BC513A">
              <w:rPr>
                <w:rFonts w:ascii="Arial" w:hAnsi="Arial" w:cs="Arial"/>
                <w:sz w:val="20"/>
                <w:szCs w:val="20"/>
              </w:rPr>
              <w:t>);</w:t>
            </w:r>
          </w:p>
          <w:p w14:paraId="7FFD02E7" w14:textId="77777777" w:rsidR="00E8617E" w:rsidRPr="00BC513A" w:rsidRDefault="00E8617E" w:rsidP="00922731">
            <w:pPr>
              <w:numPr>
                <w:ilvl w:val="0"/>
                <w:numId w:val="13"/>
              </w:numPr>
              <w:jc w:val="both"/>
              <w:rPr>
                <w:rFonts w:ascii="Arial" w:hAnsi="Arial" w:cs="Arial"/>
                <w:sz w:val="20"/>
                <w:szCs w:val="20"/>
              </w:rPr>
            </w:pPr>
            <w:r w:rsidRPr="00BC513A">
              <w:rPr>
                <w:rFonts w:ascii="Arial" w:hAnsi="Arial" w:cs="Arial"/>
                <w:sz w:val="20"/>
                <w:szCs w:val="20"/>
              </w:rPr>
              <w:t>До каква степен ПРСР е допринесла за създаването на достъп до широколентов интернет? (включително и разширяването му)? (</w:t>
            </w:r>
            <w:r w:rsidRPr="00BC513A">
              <w:rPr>
                <w:rFonts w:ascii="Arial" w:hAnsi="Arial" w:cs="Arial"/>
                <w:i/>
                <w:sz w:val="20"/>
                <w:szCs w:val="20"/>
              </w:rPr>
              <w:t>Health Check objective</w:t>
            </w:r>
            <w:r w:rsidRPr="00BC513A">
              <w:rPr>
                <w:rFonts w:ascii="Arial" w:hAnsi="Arial" w:cs="Arial"/>
                <w:sz w:val="20"/>
                <w:szCs w:val="20"/>
              </w:rPr>
              <w:t>);</w:t>
            </w:r>
          </w:p>
          <w:p w14:paraId="28656024" w14:textId="77777777" w:rsidR="00E8617E" w:rsidRPr="00BC513A" w:rsidRDefault="00E8617E" w:rsidP="00922731">
            <w:pPr>
              <w:jc w:val="both"/>
              <w:rPr>
                <w:rFonts w:ascii="Arial" w:hAnsi="Arial" w:cs="Arial"/>
                <w:sz w:val="20"/>
                <w:szCs w:val="20"/>
              </w:rPr>
            </w:pPr>
          </w:p>
          <w:p w14:paraId="5426013F" w14:textId="77777777" w:rsidR="00E8617E" w:rsidRPr="00BC513A" w:rsidRDefault="00E8617E" w:rsidP="00922731">
            <w:pPr>
              <w:jc w:val="both"/>
              <w:rPr>
                <w:rFonts w:ascii="Arial" w:hAnsi="Arial" w:cs="Arial"/>
                <w:sz w:val="20"/>
                <w:szCs w:val="20"/>
              </w:rPr>
            </w:pPr>
            <w:r w:rsidRPr="00BC513A">
              <w:rPr>
                <w:rFonts w:ascii="Arial" w:hAnsi="Arial" w:cs="Arial"/>
                <w:i/>
                <w:sz w:val="20"/>
                <w:szCs w:val="20"/>
              </w:rPr>
              <w:t>За всяка от мерките от ос</w:t>
            </w:r>
            <w:r w:rsidRPr="00BC513A">
              <w:rPr>
                <w:rFonts w:ascii="Arial" w:hAnsi="Arial" w:cs="Arial"/>
                <w:sz w:val="20"/>
                <w:szCs w:val="20"/>
              </w:rPr>
              <w:t xml:space="preserve"> 3 </w:t>
            </w:r>
            <w:r w:rsidRPr="00BC513A">
              <w:rPr>
                <w:rFonts w:ascii="Arial" w:hAnsi="Arial" w:cs="Arial"/>
                <w:i/>
                <w:sz w:val="20"/>
                <w:szCs w:val="20"/>
              </w:rPr>
              <w:t>(Член 52(a) на 1698/2005),</w:t>
            </w:r>
            <w:r w:rsidRPr="00BC513A">
              <w:rPr>
                <w:rFonts w:ascii="Arial" w:hAnsi="Arial" w:cs="Arial"/>
                <w:sz w:val="20"/>
                <w:szCs w:val="20"/>
              </w:rPr>
              <w:t xml:space="preserve"> </w:t>
            </w:r>
            <w:r w:rsidRPr="00BC513A">
              <w:rPr>
                <w:rFonts w:ascii="Arial" w:hAnsi="Arial" w:cs="Arial"/>
                <w:i/>
                <w:sz w:val="20"/>
                <w:szCs w:val="20"/>
              </w:rPr>
              <w:t>включени в ПРСР</w:t>
            </w:r>
            <w:r w:rsidRPr="00BC513A">
              <w:rPr>
                <w:rFonts w:ascii="Arial" w:hAnsi="Arial" w:cs="Arial"/>
                <w:sz w:val="20"/>
                <w:szCs w:val="20"/>
              </w:rPr>
              <w:t>:</w:t>
            </w:r>
          </w:p>
          <w:p w14:paraId="510AA241" w14:textId="77777777" w:rsidR="00E8617E" w:rsidRPr="00BC513A" w:rsidRDefault="00E8617E" w:rsidP="00922731">
            <w:pPr>
              <w:numPr>
                <w:ilvl w:val="0"/>
                <w:numId w:val="13"/>
              </w:numPr>
              <w:jc w:val="both"/>
              <w:rPr>
                <w:rFonts w:ascii="Arial" w:hAnsi="Arial" w:cs="Arial"/>
                <w:sz w:val="20"/>
                <w:szCs w:val="20"/>
              </w:rPr>
            </w:pPr>
            <w:r w:rsidRPr="00BC513A">
              <w:rPr>
                <w:rFonts w:ascii="Arial" w:hAnsi="Arial" w:cs="Arial"/>
                <w:sz w:val="20"/>
                <w:szCs w:val="20"/>
              </w:rPr>
              <w:t xml:space="preserve">Как и до каква степен съответната мярка е допринесла за подобряване на </w:t>
            </w:r>
            <w:r w:rsidRPr="00BC513A">
              <w:rPr>
                <w:rFonts w:ascii="Arial" w:hAnsi="Arial" w:cs="Arial"/>
                <w:sz w:val="20"/>
                <w:szCs w:val="20"/>
              </w:rPr>
              <w:lastRenderedPageBreak/>
              <w:t xml:space="preserve">икономическото разнообразяване на бенефициентите? </w:t>
            </w:r>
          </w:p>
          <w:p w14:paraId="1FFF85AF" w14:textId="77777777" w:rsidR="00E8617E" w:rsidRPr="00BC513A" w:rsidRDefault="00E8617E" w:rsidP="00922731">
            <w:pPr>
              <w:numPr>
                <w:ilvl w:val="0"/>
                <w:numId w:val="13"/>
              </w:numPr>
              <w:jc w:val="both"/>
              <w:rPr>
                <w:rFonts w:ascii="Arial" w:hAnsi="Arial" w:cs="Arial"/>
                <w:sz w:val="20"/>
                <w:szCs w:val="20"/>
              </w:rPr>
            </w:pPr>
            <w:r w:rsidRPr="00BC513A">
              <w:rPr>
                <w:rFonts w:ascii="Arial" w:hAnsi="Arial" w:cs="Arial"/>
                <w:sz w:val="20"/>
                <w:szCs w:val="20"/>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w:t>
            </w:r>
          </w:p>
          <w:p w14:paraId="28B85DE5" w14:textId="77777777" w:rsidR="00E8617E" w:rsidRPr="00BC513A" w:rsidRDefault="00E8617E" w:rsidP="00922731">
            <w:pPr>
              <w:jc w:val="both"/>
              <w:rPr>
                <w:rFonts w:ascii="Arial" w:hAnsi="Arial" w:cs="Arial"/>
                <w:sz w:val="20"/>
                <w:szCs w:val="20"/>
              </w:rPr>
            </w:pPr>
          </w:p>
          <w:p w14:paraId="43F6F36E" w14:textId="77777777" w:rsidR="00E8617E" w:rsidRPr="00BC513A" w:rsidRDefault="00E8617E" w:rsidP="00922731">
            <w:pPr>
              <w:jc w:val="both"/>
              <w:rPr>
                <w:rFonts w:ascii="Arial" w:hAnsi="Arial" w:cs="Arial"/>
                <w:sz w:val="20"/>
                <w:szCs w:val="20"/>
              </w:rPr>
            </w:pPr>
            <w:r w:rsidRPr="00BC513A">
              <w:rPr>
                <w:rFonts w:ascii="Arial" w:hAnsi="Arial" w:cs="Arial"/>
                <w:i/>
                <w:sz w:val="20"/>
                <w:szCs w:val="20"/>
              </w:rPr>
              <w:t>За всяка от мерките от ос 3 (Член 52(б) от 1698/2005),</w:t>
            </w:r>
            <w:r w:rsidRPr="00BC513A">
              <w:rPr>
                <w:rFonts w:ascii="Arial" w:hAnsi="Arial" w:cs="Arial"/>
                <w:sz w:val="20"/>
                <w:szCs w:val="20"/>
              </w:rPr>
              <w:t xml:space="preserve"> </w:t>
            </w:r>
            <w:r w:rsidRPr="00BC513A">
              <w:rPr>
                <w:rFonts w:ascii="Arial" w:hAnsi="Arial" w:cs="Arial"/>
                <w:i/>
                <w:sz w:val="20"/>
                <w:szCs w:val="20"/>
              </w:rPr>
              <w:t>включени в ПРСР</w:t>
            </w:r>
            <w:r w:rsidRPr="00BC513A">
              <w:rPr>
                <w:rFonts w:ascii="Arial" w:hAnsi="Arial" w:cs="Arial"/>
                <w:sz w:val="20"/>
                <w:szCs w:val="20"/>
              </w:rPr>
              <w:t>:</w:t>
            </w:r>
          </w:p>
          <w:p w14:paraId="73E5A99C" w14:textId="77777777" w:rsidR="00E8617E" w:rsidRPr="00BC513A" w:rsidRDefault="00E8617E" w:rsidP="00922731">
            <w:pPr>
              <w:numPr>
                <w:ilvl w:val="0"/>
                <w:numId w:val="13"/>
              </w:numPr>
              <w:jc w:val="both"/>
              <w:rPr>
                <w:rFonts w:ascii="Arial" w:hAnsi="Arial" w:cs="Arial"/>
                <w:sz w:val="20"/>
                <w:szCs w:val="20"/>
              </w:rPr>
            </w:pPr>
            <w:r w:rsidRPr="00BC513A">
              <w:rPr>
                <w:rFonts w:ascii="Arial" w:hAnsi="Arial" w:cs="Arial"/>
                <w:sz w:val="20"/>
                <w:szCs w:val="20"/>
              </w:rPr>
              <w:t>Как и до каква степен съответната мярка е допринесла за подобряване качеството на живот на бенефициентите?</w:t>
            </w:r>
          </w:p>
          <w:p w14:paraId="4CA8C008" w14:textId="77777777" w:rsidR="00E8617E" w:rsidRPr="00BC513A" w:rsidRDefault="00E8617E" w:rsidP="00922731">
            <w:pPr>
              <w:numPr>
                <w:ilvl w:val="0"/>
                <w:numId w:val="13"/>
              </w:numPr>
              <w:jc w:val="both"/>
              <w:rPr>
                <w:rFonts w:ascii="Arial" w:hAnsi="Arial" w:cs="Arial"/>
                <w:sz w:val="20"/>
                <w:szCs w:val="20"/>
              </w:rPr>
            </w:pPr>
            <w:r w:rsidRPr="00BC513A">
              <w:rPr>
                <w:rFonts w:ascii="Arial" w:hAnsi="Arial" w:cs="Arial"/>
                <w:sz w:val="20"/>
                <w:szCs w:val="20"/>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w:t>
            </w:r>
          </w:p>
          <w:p w14:paraId="00DBBE37" w14:textId="77777777" w:rsidR="00E8617E" w:rsidRPr="00BC513A" w:rsidRDefault="00E8617E" w:rsidP="00922731">
            <w:pPr>
              <w:jc w:val="both"/>
              <w:rPr>
                <w:rFonts w:ascii="Arial" w:hAnsi="Arial" w:cs="Arial"/>
                <w:i/>
                <w:sz w:val="20"/>
                <w:szCs w:val="20"/>
              </w:rPr>
            </w:pPr>
          </w:p>
          <w:p w14:paraId="091CE627" w14:textId="77777777" w:rsidR="00E8617E" w:rsidRPr="00BC513A" w:rsidRDefault="00E8617E" w:rsidP="00922731">
            <w:pPr>
              <w:jc w:val="both"/>
              <w:rPr>
                <w:rFonts w:ascii="Arial" w:hAnsi="Arial" w:cs="Arial"/>
                <w:sz w:val="20"/>
                <w:szCs w:val="20"/>
              </w:rPr>
            </w:pPr>
            <w:r w:rsidRPr="00BC513A">
              <w:rPr>
                <w:rFonts w:ascii="Arial" w:hAnsi="Arial" w:cs="Arial"/>
                <w:i/>
                <w:sz w:val="20"/>
                <w:szCs w:val="20"/>
              </w:rPr>
              <w:t>За всяка от мерките от ос 3 (Член 52(в) от 1698/2005),</w:t>
            </w:r>
            <w:r w:rsidRPr="00BC513A">
              <w:rPr>
                <w:rFonts w:ascii="Arial" w:hAnsi="Arial" w:cs="Arial"/>
                <w:sz w:val="20"/>
                <w:szCs w:val="20"/>
              </w:rPr>
              <w:t xml:space="preserve"> </w:t>
            </w:r>
            <w:r w:rsidRPr="00BC513A">
              <w:rPr>
                <w:rFonts w:ascii="Arial" w:hAnsi="Arial" w:cs="Arial"/>
                <w:i/>
                <w:sz w:val="20"/>
                <w:szCs w:val="20"/>
              </w:rPr>
              <w:t>включени в ПРСР</w:t>
            </w:r>
            <w:r w:rsidRPr="00BC513A">
              <w:rPr>
                <w:rFonts w:ascii="Arial" w:hAnsi="Arial" w:cs="Arial"/>
                <w:sz w:val="20"/>
                <w:szCs w:val="20"/>
              </w:rPr>
              <w:t>:</w:t>
            </w:r>
          </w:p>
          <w:p w14:paraId="34B6130D" w14:textId="77777777" w:rsidR="00E8617E" w:rsidRPr="00BC513A" w:rsidRDefault="00E8617E" w:rsidP="00922731">
            <w:pPr>
              <w:numPr>
                <w:ilvl w:val="0"/>
                <w:numId w:val="13"/>
              </w:numPr>
              <w:jc w:val="both"/>
              <w:rPr>
                <w:rFonts w:ascii="Arial" w:hAnsi="Arial" w:cs="Arial"/>
                <w:sz w:val="20"/>
                <w:szCs w:val="20"/>
              </w:rPr>
            </w:pPr>
            <w:r w:rsidRPr="00BC513A">
              <w:rPr>
                <w:rFonts w:ascii="Arial" w:hAnsi="Arial" w:cs="Arial"/>
                <w:sz w:val="20"/>
                <w:szCs w:val="20"/>
              </w:rPr>
              <w:t>Как и до каква степен съответната мярка е допринесла за подобряване на икономическото разнообразяване и качеството на живот на бенефициентите?</w:t>
            </w:r>
          </w:p>
          <w:p w14:paraId="4805B77F" w14:textId="77777777" w:rsidR="00E8617E" w:rsidRPr="00BC513A" w:rsidRDefault="00E8617E" w:rsidP="00922731">
            <w:pPr>
              <w:numPr>
                <w:ilvl w:val="0"/>
                <w:numId w:val="13"/>
              </w:numPr>
              <w:jc w:val="both"/>
              <w:rPr>
                <w:rFonts w:ascii="Arial" w:hAnsi="Arial" w:cs="Arial"/>
                <w:sz w:val="20"/>
                <w:szCs w:val="20"/>
              </w:rPr>
            </w:pPr>
            <w:r w:rsidRPr="00BC513A">
              <w:rPr>
                <w:rFonts w:ascii="Arial" w:hAnsi="Arial" w:cs="Arial"/>
                <w:sz w:val="20"/>
                <w:szCs w:val="20"/>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w:t>
            </w:r>
          </w:p>
          <w:p w14:paraId="1E5D5632" w14:textId="77777777" w:rsidR="00E8617E" w:rsidRPr="00BC513A" w:rsidRDefault="00E8617E" w:rsidP="00922731">
            <w:pPr>
              <w:pStyle w:val="DefaultText"/>
              <w:spacing w:after="120" w:line="300" w:lineRule="atLeast"/>
              <w:rPr>
                <w:sz w:val="20"/>
                <w:szCs w:val="20"/>
                <w:lang w:val="bg-BG"/>
              </w:rPr>
            </w:pPr>
          </w:p>
        </w:tc>
      </w:tr>
    </w:tbl>
    <w:p w14:paraId="5F6A1FFE" w14:textId="77777777" w:rsidR="00E8617E" w:rsidRPr="00BC513A" w:rsidRDefault="00E8617E" w:rsidP="00E8617E"/>
    <w:tbl>
      <w:tblPr>
        <w:tblW w:w="0" w:type="auto"/>
        <w:tblInd w:w="-5" w:type="dxa"/>
        <w:tblLook w:val="04A0" w:firstRow="1" w:lastRow="0" w:firstColumn="1" w:lastColumn="0" w:noHBand="0" w:noVBand="1"/>
      </w:tblPr>
      <w:tblGrid>
        <w:gridCol w:w="9060"/>
      </w:tblGrid>
      <w:tr w:rsidR="00E8617E" w:rsidRPr="00BC513A" w14:paraId="7102B1E0" w14:textId="77777777" w:rsidTr="00922731">
        <w:tc>
          <w:tcPr>
            <w:tcW w:w="9060" w:type="dxa"/>
            <w:tcBorders>
              <w:top w:val="single" w:sz="4" w:space="0" w:color="BF8F00" w:themeColor="accent4" w:themeShade="BF"/>
              <w:left w:val="single" w:sz="4" w:space="0" w:color="BF8F00" w:themeColor="accent4" w:themeShade="BF"/>
              <w:right w:val="single" w:sz="4" w:space="0" w:color="BF8F00" w:themeColor="accent4" w:themeShade="BF"/>
            </w:tcBorders>
            <w:shd w:val="clear" w:color="auto" w:fill="FFF8E5"/>
          </w:tcPr>
          <w:p w14:paraId="055A3728" w14:textId="1A4B7E1F" w:rsidR="00E8617E" w:rsidRPr="00BC513A" w:rsidRDefault="00E8617E" w:rsidP="00AB2B2B">
            <w:pPr>
              <w:pStyle w:val="DefaultText"/>
              <w:shd w:val="clear" w:color="auto" w:fill="FFF8E5"/>
              <w:spacing w:after="120" w:line="300" w:lineRule="atLeast"/>
              <w:rPr>
                <w:sz w:val="20"/>
                <w:szCs w:val="20"/>
                <w:lang w:val="bg-BG"/>
              </w:rPr>
            </w:pPr>
            <w:r w:rsidRPr="00BC513A">
              <w:rPr>
                <w:rFonts w:cs="Arial"/>
                <w:b/>
                <w:color w:val="000000"/>
                <w:sz w:val="20"/>
                <w:szCs w:val="20"/>
                <w:shd w:val="clear" w:color="auto" w:fill="FFF8E5"/>
                <w:lang w:val="bg-BG"/>
              </w:rPr>
              <w:t>О</w:t>
            </w:r>
            <w:r w:rsidR="00AB2B2B">
              <w:rPr>
                <w:rFonts w:cs="Arial"/>
                <w:b/>
                <w:color w:val="000000"/>
                <w:sz w:val="20"/>
                <w:szCs w:val="20"/>
                <w:shd w:val="clear" w:color="auto" w:fill="FFF8E5"/>
                <w:lang w:val="bg-BG"/>
              </w:rPr>
              <w:t>с</w:t>
            </w:r>
            <w:r w:rsidRPr="00BC513A">
              <w:rPr>
                <w:rFonts w:cs="Arial"/>
                <w:b/>
                <w:color w:val="000000"/>
                <w:sz w:val="20"/>
                <w:szCs w:val="20"/>
                <w:shd w:val="clear" w:color="auto" w:fill="FFF8E5"/>
                <w:lang w:val="bg-BG"/>
              </w:rPr>
              <w:t xml:space="preserve"> 4: ЛИДЕР </w:t>
            </w:r>
          </w:p>
        </w:tc>
      </w:tr>
      <w:tr w:rsidR="00E8617E" w:rsidRPr="00BC513A" w14:paraId="22972EDA" w14:textId="77777777" w:rsidTr="00922731">
        <w:tc>
          <w:tcPr>
            <w:tcW w:w="9060" w:type="dxa"/>
            <w:tcBorders>
              <w:left w:val="single" w:sz="4" w:space="0" w:color="BF8F00" w:themeColor="accent4" w:themeShade="BF"/>
              <w:bottom w:val="single" w:sz="4" w:space="0" w:color="BF8F00" w:themeColor="accent4" w:themeShade="BF"/>
              <w:right w:val="single" w:sz="4" w:space="0" w:color="BF8F00" w:themeColor="accent4" w:themeShade="BF"/>
            </w:tcBorders>
            <w:shd w:val="clear" w:color="auto" w:fill="auto"/>
          </w:tcPr>
          <w:p w14:paraId="0F6ECEFF" w14:textId="77777777" w:rsidR="00E8617E" w:rsidRPr="00BC513A" w:rsidRDefault="00E8617E" w:rsidP="00922731">
            <w:pPr>
              <w:numPr>
                <w:ilvl w:val="0"/>
                <w:numId w:val="14"/>
              </w:numPr>
              <w:jc w:val="both"/>
              <w:rPr>
                <w:rFonts w:ascii="Arial" w:hAnsi="Arial" w:cs="Arial"/>
                <w:sz w:val="20"/>
                <w:szCs w:val="20"/>
              </w:rPr>
            </w:pPr>
            <w:r w:rsidRPr="00BC513A">
              <w:rPr>
                <w:rFonts w:ascii="Arial" w:hAnsi="Arial" w:cs="Arial"/>
                <w:sz w:val="20"/>
                <w:szCs w:val="20"/>
              </w:rPr>
              <w:t>До каква степен ПРСР е допринесла за изграждането на местния капацитет  за наемане и разнообразяване чрез ЛИДЕР? (</w:t>
            </w:r>
            <w:r w:rsidRPr="00BC513A">
              <w:rPr>
                <w:rFonts w:ascii="Arial" w:hAnsi="Arial" w:cs="Arial"/>
                <w:i/>
                <w:sz w:val="20"/>
                <w:szCs w:val="20"/>
              </w:rPr>
              <w:t>Стратегически приоритет на Общността</w:t>
            </w:r>
            <w:r w:rsidRPr="00BC513A">
              <w:rPr>
                <w:rFonts w:ascii="Arial" w:hAnsi="Arial" w:cs="Arial"/>
                <w:sz w:val="20"/>
                <w:szCs w:val="20"/>
              </w:rPr>
              <w:t>);</w:t>
            </w:r>
          </w:p>
          <w:p w14:paraId="2907C06A" w14:textId="77777777" w:rsidR="00E8617E" w:rsidRPr="00BC513A" w:rsidRDefault="00E8617E" w:rsidP="00922731">
            <w:pPr>
              <w:numPr>
                <w:ilvl w:val="0"/>
                <w:numId w:val="14"/>
              </w:numPr>
              <w:jc w:val="both"/>
              <w:rPr>
                <w:rFonts w:ascii="Arial" w:hAnsi="Arial" w:cs="Arial"/>
                <w:sz w:val="20"/>
                <w:szCs w:val="20"/>
              </w:rPr>
            </w:pPr>
            <w:r w:rsidRPr="00BC513A">
              <w:rPr>
                <w:rFonts w:ascii="Arial" w:hAnsi="Arial" w:cs="Arial"/>
                <w:sz w:val="20"/>
                <w:szCs w:val="20"/>
              </w:rPr>
              <w:t>До каква степен МИГ допринасят за постигане на целите от местната стратегия за развитие и ПРСР?</w:t>
            </w:r>
          </w:p>
          <w:p w14:paraId="296D69B1" w14:textId="77777777" w:rsidR="00E8617E" w:rsidRPr="00BC513A" w:rsidRDefault="00E8617E" w:rsidP="00922731">
            <w:pPr>
              <w:numPr>
                <w:ilvl w:val="0"/>
                <w:numId w:val="14"/>
              </w:numPr>
              <w:jc w:val="both"/>
              <w:rPr>
                <w:rFonts w:ascii="Arial" w:hAnsi="Arial" w:cs="Arial"/>
                <w:sz w:val="20"/>
                <w:szCs w:val="20"/>
              </w:rPr>
            </w:pPr>
            <w:r w:rsidRPr="00BC513A">
              <w:rPr>
                <w:rFonts w:ascii="Arial" w:hAnsi="Arial" w:cs="Arial"/>
                <w:sz w:val="20"/>
                <w:szCs w:val="20"/>
              </w:rPr>
              <w:t>До каква степен е бил приложен подхода ЛИДЕР?</w:t>
            </w:r>
          </w:p>
          <w:p w14:paraId="657C7434" w14:textId="77777777" w:rsidR="00E8617E" w:rsidRPr="00BC513A" w:rsidRDefault="00E8617E" w:rsidP="00922731">
            <w:pPr>
              <w:numPr>
                <w:ilvl w:val="0"/>
                <w:numId w:val="14"/>
              </w:numPr>
              <w:jc w:val="both"/>
              <w:rPr>
                <w:rFonts w:ascii="Arial" w:hAnsi="Arial" w:cs="Arial"/>
                <w:b/>
                <w:sz w:val="20"/>
                <w:szCs w:val="20"/>
              </w:rPr>
            </w:pPr>
            <w:r w:rsidRPr="00BC513A">
              <w:rPr>
                <w:rFonts w:ascii="Arial" w:hAnsi="Arial" w:cs="Arial"/>
                <w:sz w:val="20"/>
                <w:szCs w:val="20"/>
              </w:rPr>
              <w:t>До каква степен прилагането на подхода ЛИДЕР е допринесло за подобряване на местното управление? (</w:t>
            </w:r>
            <w:r w:rsidRPr="00BC513A">
              <w:rPr>
                <w:rFonts w:ascii="Arial" w:hAnsi="Arial" w:cs="Arial"/>
                <w:i/>
                <w:sz w:val="20"/>
                <w:szCs w:val="20"/>
              </w:rPr>
              <w:t>Стратегически приоритет на Общността</w:t>
            </w:r>
            <w:r w:rsidRPr="00BC513A">
              <w:rPr>
                <w:rFonts w:ascii="Arial" w:hAnsi="Arial" w:cs="Arial"/>
                <w:sz w:val="20"/>
                <w:szCs w:val="20"/>
              </w:rPr>
              <w:t>).</w:t>
            </w:r>
          </w:p>
          <w:p w14:paraId="7282E4FA" w14:textId="77777777" w:rsidR="00E8617E" w:rsidRPr="00BC513A" w:rsidRDefault="00E8617E" w:rsidP="00922731">
            <w:pPr>
              <w:pStyle w:val="DefaultText"/>
              <w:spacing w:after="120" w:line="300" w:lineRule="atLeast"/>
              <w:rPr>
                <w:rFonts w:cs="Arial"/>
                <w:sz w:val="20"/>
                <w:szCs w:val="20"/>
                <w:lang w:val="bg-BG"/>
              </w:rPr>
            </w:pPr>
          </w:p>
        </w:tc>
      </w:tr>
    </w:tbl>
    <w:p w14:paraId="1CED278E" w14:textId="77777777" w:rsidR="00E8617E" w:rsidRPr="00BC513A" w:rsidRDefault="00E8617E" w:rsidP="00E8617E"/>
    <w:tbl>
      <w:tblPr>
        <w:tblW w:w="0" w:type="auto"/>
        <w:tblInd w:w="-5" w:type="dxa"/>
        <w:tblLook w:val="04A0" w:firstRow="1" w:lastRow="0" w:firstColumn="1" w:lastColumn="0" w:noHBand="0" w:noVBand="1"/>
      </w:tblPr>
      <w:tblGrid>
        <w:gridCol w:w="9060"/>
      </w:tblGrid>
      <w:tr w:rsidR="00E8617E" w:rsidRPr="00BC513A" w14:paraId="69E1005E" w14:textId="77777777" w:rsidTr="00922731">
        <w:tc>
          <w:tcPr>
            <w:tcW w:w="9060" w:type="dxa"/>
            <w:tcBorders>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51133B91" w14:textId="77777777" w:rsidR="00E8617E" w:rsidRPr="00BC513A" w:rsidRDefault="00E8617E" w:rsidP="00922731">
            <w:pPr>
              <w:pStyle w:val="DefaultText"/>
              <w:spacing w:after="120" w:line="300" w:lineRule="atLeast"/>
              <w:rPr>
                <w:rFonts w:cs="Arial"/>
                <w:sz w:val="20"/>
                <w:szCs w:val="20"/>
                <w:lang w:val="bg-BG"/>
              </w:rPr>
            </w:pPr>
            <w:r w:rsidRPr="00BC513A">
              <w:rPr>
                <w:rFonts w:cs="Arial"/>
                <w:b/>
                <w:color w:val="000000"/>
                <w:sz w:val="20"/>
                <w:szCs w:val="20"/>
                <w:lang w:val="bg-BG"/>
              </w:rPr>
              <w:t>Техническа помощ</w:t>
            </w:r>
          </w:p>
        </w:tc>
      </w:tr>
      <w:tr w:rsidR="00E8617E" w:rsidRPr="00BC513A" w14:paraId="3307641C" w14:textId="77777777" w:rsidTr="00922731">
        <w:tc>
          <w:tcPr>
            <w:tcW w:w="9060" w:type="dxa"/>
            <w:tcBorders>
              <w:left w:val="single" w:sz="4" w:space="0" w:color="808080" w:themeColor="background1" w:themeShade="80"/>
              <w:bottom w:val="single" w:sz="4" w:space="0" w:color="808080" w:themeColor="background1" w:themeShade="80"/>
              <w:right w:val="single" w:sz="4" w:space="0" w:color="808080" w:themeColor="background1" w:themeShade="80"/>
            </w:tcBorders>
            <w:shd w:val="clear" w:color="auto" w:fill="auto"/>
          </w:tcPr>
          <w:p w14:paraId="77D7F60E" w14:textId="77777777" w:rsidR="00E8617E" w:rsidRPr="00BC513A" w:rsidRDefault="00E8617E" w:rsidP="00922731">
            <w:pPr>
              <w:numPr>
                <w:ilvl w:val="0"/>
                <w:numId w:val="15"/>
              </w:numPr>
              <w:jc w:val="both"/>
              <w:rPr>
                <w:sz w:val="20"/>
                <w:szCs w:val="20"/>
              </w:rPr>
            </w:pPr>
            <w:r w:rsidRPr="00BC513A">
              <w:rPr>
                <w:rFonts w:ascii="Arial" w:hAnsi="Arial" w:cs="Arial"/>
                <w:sz w:val="20"/>
                <w:szCs w:val="20"/>
              </w:rPr>
              <w:t xml:space="preserve">До каква степен мярка „Техническа помощ“ е допринесла за постигането на целите на ПРСР? </w:t>
            </w:r>
          </w:p>
        </w:tc>
      </w:tr>
    </w:tbl>
    <w:p w14:paraId="3D9844BD" w14:textId="77777777" w:rsidR="00EE73FE" w:rsidRPr="00BC513A" w:rsidRDefault="00EE73FE" w:rsidP="00E8617E"/>
    <w:tbl>
      <w:tblPr>
        <w:tblW w:w="0" w:type="auto"/>
        <w:tblInd w:w="-5"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
      <w:tblGrid>
        <w:gridCol w:w="9060"/>
      </w:tblGrid>
      <w:tr w:rsidR="00E8617E" w:rsidRPr="00BC513A" w14:paraId="16789608" w14:textId="77777777" w:rsidTr="00922731">
        <w:tc>
          <w:tcPr>
            <w:tcW w:w="9060" w:type="dxa"/>
            <w:shd w:val="clear" w:color="auto" w:fill="auto"/>
          </w:tcPr>
          <w:p w14:paraId="1591D3D7" w14:textId="77777777" w:rsidR="00E8617E" w:rsidRPr="00BC513A" w:rsidRDefault="00E8617E" w:rsidP="00922731">
            <w:pPr>
              <w:pStyle w:val="DefaultText"/>
              <w:spacing w:after="120" w:line="300" w:lineRule="atLeast"/>
              <w:rPr>
                <w:sz w:val="20"/>
                <w:szCs w:val="20"/>
                <w:lang w:val="bg-BG"/>
              </w:rPr>
            </w:pPr>
            <w:r w:rsidRPr="00BC513A">
              <w:rPr>
                <w:rFonts w:cs="Arial"/>
                <w:b/>
                <w:color w:val="000000"/>
                <w:sz w:val="20"/>
                <w:szCs w:val="20"/>
                <w:lang w:val="bg-BG"/>
              </w:rPr>
              <w:t>Национална селска мрежа (НСМ)</w:t>
            </w:r>
          </w:p>
        </w:tc>
      </w:tr>
      <w:tr w:rsidR="00E8617E" w:rsidRPr="00BC513A" w14:paraId="1589ABD6" w14:textId="77777777" w:rsidTr="00922731">
        <w:tc>
          <w:tcPr>
            <w:tcW w:w="9060" w:type="dxa"/>
          </w:tcPr>
          <w:p w14:paraId="2B2069DA" w14:textId="77777777" w:rsidR="00E8617E" w:rsidRPr="00BC513A" w:rsidRDefault="00E8617E" w:rsidP="00922731">
            <w:pPr>
              <w:numPr>
                <w:ilvl w:val="0"/>
                <w:numId w:val="17"/>
              </w:numPr>
              <w:tabs>
                <w:tab w:val="left" w:pos="426"/>
              </w:tabs>
              <w:spacing w:after="120" w:line="280" w:lineRule="atLeast"/>
              <w:jc w:val="both"/>
              <w:rPr>
                <w:sz w:val="20"/>
                <w:szCs w:val="20"/>
              </w:rPr>
            </w:pPr>
            <w:r w:rsidRPr="00BC513A">
              <w:rPr>
                <w:rFonts w:ascii="Arial" w:hAnsi="Arial" w:cs="Arial"/>
                <w:sz w:val="20"/>
                <w:szCs w:val="20"/>
                <w:lang w:eastAsia="de-DE"/>
              </w:rPr>
              <w:lastRenderedPageBreak/>
              <w:t>До каква степен способността за програмиране и прилагане на Управляващия орган (и на другите звена) са били засилени, чрез дейностите на НСМ?</w:t>
            </w:r>
            <w:r w:rsidRPr="00BC513A">
              <w:rPr>
                <w:rFonts w:ascii="Arial" w:eastAsia="Times New Roman" w:hAnsi="Arial" w:cs="Times New Roman"/>
                <w:sz w:val="20"/>
                <w:szCs w:val="20"/>
                <w:lang w:eastAsia="nl-NL"/>
              </w:rPr>
              <w:t xml:space="preserve"> </w:t>
            </w:r>
          </w:p>
        </w:tc>
      </w:tr>
    </w:tbl>
    <w:p w14:paraId="5D91E9D6" w14:textId="77777777" w:rsidR="00E8617E" w:rsidRPr="00BC513A" w:rsidRDefault="00E8617E" w:rsidP="00E8617E">
      <w:pPr>
        <w:ind w:firstLine="360"/>
        <w:jc w:val="both"/>
        <w:rPr>
          <w:sz w:val="24"/>
          <w:szCs w:val="24"/>
        </w:rPr>
      </w:pPr>
    </w:p>
    <w:tbl>
      <w:tblPr>
        <w:tblW w:w="0" w:type="auto"/>
        <w:tblInd w:w="-5" w:type="dxa"/>
        <w:tblBorders>
          <w:top w:val="single" w:sz="4" w:space="0" w:color="000000" w:themeColor="text1"/>
          <w:left w:val="single" w:sz="4" w:space="0" w:color="000000" w:themeColor="text1"/>
          <w:bottom w:val="single" w:sz="4" w:space="0" w:color="000000" w:themeColor="text1"/>
          <w:right w:val="single" w:sz="4" w:space="0" w:color="000000" w:themeColor="text1"/>
        </w:tblBorders>
        <w:tblLook w:val="04A0" w:firstRow="1" w:lastRow="0" w:firstColumn="1" w:lastColumn="0" w:noHBand="0" w:noVBand="1"/>
      </w:tblPr>
      <w:tblGrid>
        <w:gridCol w:w="9060"/>
      </w:tblGrid>
      <w:tr w:rsidR="00E8617E" w:rsidRPr="00BC513A" w14:paraId="2F471AA5" w14:textId="77777777" w:rsidTr="00922731">
        <w:tc>
          <w:tcPr>
            <w:tcW w:w="9060" w:type="dxa"/>
            <w:shd w:val="clear" w:color="auto" w:fill="auto"/>
          </w:tcPr>
          <w:p w14:paraId="41C4A051" w14:textId="77777777" w:rsidR="00E8617E" w:rsidRPr="00BC513A" w:rsidRDefault="00E8617E" w:rsidP="00922731">
            <w:pPr>
              <w:pStyle w:val="DefaultText"/>
              <w:spacing w:after="120" w:line="300" w:lineRule="atLeast"/>
              <w:rPr>
                <w:sz w:val="20"/>
                <w:szCs w:val="20"/>
                <w:lang w:val="bg-BG"/>
              </w:rPr>
            </w:pPr>
            <w:r w:rsidRPr="00BC513A">
              <w:rPr>
                <w:rFonts w:cs="Arial"/>
                <w:b/>
                <w:color w:val="000000"/>
                <w:sz w:val="20"/>
                <w:szCs w:val="20"/>
                <w:lang w:val="bg-BG"/>
              </w:rPr>
              <w:t>Хоризонтални общи въпроси</w:t>
            </w:r>
            <w:r w:rsidRPr="00BC513A">
              <w:rPr>
                <w:sz w:val="20"/>
                <w:szCs w:val="20"/>
                <w:shd w:val="clear" w:color="auto" w:fill="F8E5FF"/>
                <w:lang w:val="bg-BG"/>
              </w:rPr>
              <w:t xml:space="preserve"> </w:t>
            </w:r>
          </w:p>
        </w:tc>
      </w:tr>
      <w:tr w:rsidR="00E8617E" w:rsidRPr="00BC513A" w14:paraId="2209DE7B" w14:textId="77777777" w:rsidTr="00922731">
        <w:tc>
          <w:tcPr>
            <w:tcW w:w="9060" w:type="dxa"/>
          </w:tcPr>
          <w:p w14:paraId="55D5EFE6" w14:textId="77777777" w:rsidR="00E8617E" w:rsidRPr="00BC513A" w:rsidRDefault="00E8617E" w:rsidP="00922731">
            <w:pPr>
              <w:numPr>
                <w:ilvl w:val="0"/>
                <w:numId w:val="16"/>
              </w:numPr>
              <w:jc w:val="both"/>
              <w:rPr>
                <w:rFonts w:ascii="Arial" w:hAnsi="Arial" w:cs="Arial"/>
                <w:sz w:val="20"/>
                <w:szCs w:val="20"/>
              </w:rPr>
            </w:pPr>
            <w:r w:rsidRPr="00BC513A">
              <w:rPr>
                <w:rFonts w:ascii="Arial" w:hAnsi="Arial" w:cs="Arial"/>
                <w:sz w:val="20"/>
                <w:szCs w:val="20"/>
              </w:rPr>
              <w:t>До каква степен ПРСР е допринесла за смекчаване на промените в климата и приспособяване? (</w:t>
            </w:r>
            <w:r w:rsidRPr="00BC513A">
              <w:rPr>
                <w:rFonts w:ascii="Arial" w:hAnsi="Arial" w:cs="Arial"/>
                <w:i/>
                <w:sz w:val="20"/>
                <w:szCs w:val="20"/>
              </w:rPr>
              <w:t>Health Check objective</w:t>
            </w:r>
            <w:r w:rsidR="00467180">
              <w:rPr>
                <w:rFonts w:ascii="Arial" w:hAnsi="Arial" w:cs="Arial"/>
                <w:i/>
                <w:sz w:val="20"/>
                <w:szCs w:val="20"/>
              </w:rPr>
              <w:t>,</w:t>
            </w:r>
            <w:r w:rsidRPr="00BC513A">
              <w:rPr>
                <w:rFonts w:ascii="Arial" w:hAnsi="Arial" w:cs="Arial"/>
                <w:i/>
                <w:sz w:val="20"/>
                <w:szCs w:val="20"/>
              </w:rPr>
              <w:t xml:space="preserve"> отнасяща се за всички оси</w:t>
            </w:r>
            <w:r w:rsidRPr="00BC513A">
              <w:rPr>
                <w:rFonts w:ascii="Arial" w:hAnsi="Arial" w:cs="Arial"/>
                <w:sz w:val="20"/>
                <w:szCs w:val="20"/>
              </w:rPr>
              <w:t>);</w:t>
            </w:r>
          </w:p>
          <w:p w14:paraId="0B614118" w14:textId="77777777" w:rsidR="00E8617E" w:rsidRPr="00BC513A" w:rsidRDefault="00E8617E" w:rsidP="00922731">
            <w:pPr>
              <w:numPr>
                <w:ilvl w:val="0"/>
                <w:numId w:val="16"/>
              </w:numPr>
              <w:jc w:val="both"/>
              <w:rPr>
                <w:rFonts w:ascii="Arial" w:hAnsi="Arial" w:cs="Arial"/>
                <w:sz w:val="20"/>
                <w:szCs w:val="20"/>
              </w:rPr>
            </w:pPr>
            <w:r w:rsidRPr="00BC513A">
              <w:rPr>
                <w:rFonts w:ascii="Arial" w:hAnsi="Arial" w:cs="Arial"/>
                <w:sz w:val="20"/>
                <w:szCs w:val="20"/>
              </w:rPr>
              <w:t>До каква степен ПРСР е допринесла за осигуряване на възобновяема енергия? (</w:t>
            </w:r>
            <w:r w:rsidRPr="00BC513A">
              <w:rPr>
                <w:rFonts w:ascii="Arial" w:hAnsi="Arial" w:cs="Arial"/>
                <w:i/>
                <w:sz w:val="20"/>
                <w:szCs w:val="20"/>
              </w:rPr>
              <w:t>Health Check objective</w:t>
            </w:r>
            <w:r w:rsidR="00467180">
              <w:rPr>
                <w:rFonts w:ascii="Arial" w:hAnsi="Arial" w:cs="Arial"/>
                <w:i/>
                <w:sz w:val="20"/>
                <w:szCs w:val="20"/>
              </w:rPr>
              <w:t>,</w:t>
            </w:r>
            <w:r w:rsidRPr="00BC513A">
              <w:rPr>
                <w:rFonts w:ascii="Arial" w:hAnsi="Arial" w:cs="Arial"/>
                <w:i/>
                <w:sz w:val="20"/>
                <w:szCs w:val="20"/>
              </w:rPr>
              <w:t xml:space="preserve"> отнасяща се за всички оси</w:t>
            </w:r>
            <w:r w:rsidRPr="00BC513A">
              <w:rPr>
                <w:rFonts w:ascii="Arial" w:hAnsi="Arial" w:cs="Arial"/>
                <w:sz w:val="20"/>
                <w:szCs w:val="20"/>
              </w:rPr>
              <w:t>);</w:t>
            </w:r>
          </w:p>
          <w:p w14:paraId="2D0AF6D5" w14:textId="77777777" w:rsidR="00E8617E" w:rsidRPr="00BC513A" w:rsidRDefault="00E8617E" w:rsidP="00922731">
            <w:pPr>
              <w:numPr>
                <w:ilvl w:val="0"/>
                <w:numId w:val="16"/>
              </w:numPr>
              <w:jc w:val="both"/>
              <w:rPr>
                <w:rFonts w:ascii="Arial" w:hAnsi="Arial" w:cs="Arial"/>
                <w:sz w:val="20"/>
                <w:szCs w:val="20"/>
              </w:rPr>
            </w:pPr>
            <w:r w:rsidRPr="00BC513A">
              <w:rPr>
                <w:rFonts w:ascii="Arial" w:hAnsi="Arial" w:cs="Arial"/>
                <w:sz w:val="20"/>
                <w:szCs w:val="20"/>
              </w:rPr>
              <w:t>До каква степен ПРСР е допринесла за подобряване на управлението на водните ресурси? (качество, употреба и количество)? (</w:t>
            </w:r>
            <w:r w:rsidRPr="00BC513A">
              <w:rPr>
                <w:rFonts w:ascii="Arial" w:hAnsi="Arial" w:cs="Arial"/>
                <w:i/>
                <w:sz w:val="20"/>
                <w:szCs w:val="20"/>
              </w:rPr>
              <w:t>Health Check objective</w:t>
            </w:r>
            <w:r w:rsidR="00467180">
              <w:rPr>
                <w:rFonts w:ascii="Arial" w:hAnsi="Arial" w:cs="Arial"/>
                <w:i/>
                <w:sz w:val="20"/>
                <w:szCs w:val="20"/>
              </w:rPr>
              <w:t>,</w:t>
            </w:r>
            <w:r w:rsidRPr="00BC513A">
              <w:rPr>
                <w:rFonts w:ascii="Arial" w:hAnsi="Arial" w:cs="Arial"/>
                <w:i/>
                <w:sz w:val="20"/>
                <w:szCs w:val="20"/>
              </w:rPr>
              <w:t xml:space="preserve"> отнасяща се за всички оси</w:t>
            </w:r>
            <w:r w:rsidRPr="00BC513A">
              <w:rPr>
                <w:rFonts w:ascii="Arial" w:hAnsi="Arial" w:cs="Arial"/>
                <w:sz w:val="20"/>
                <w:szCs w:val="20"/>
              </w:rPr>
              <w:t>);</w:t>
            </w:r>
          </w:p>
          <w:p w14:paraId="18AC1D4D" w14:textId="77777777" w:rsidR="00E8617E" w:rsidRPr="00BC513A" w:rsidRDefault="00E8617E" w:rsidP="00922731">
            <w:pPr>
              <w:numPr>
                <w:ilvl w:val="0"/>
                <w:numId w:val="16"/>
              </w:numPr>
              <w:jc w:val="both"/>
              <w:rPr>
                <w:rFonts w:ascii="Arial" w:hAnsi="Arial" w:cs="Arial"/>
                <w:sz w:val="20"/>
                <w:szCs w:val="20"/>
              </w:rPr>
            </w:pPr>
            <w:r w:rsidRPr="00BC513A">
              <w:rPr>
                <w:rFonts w:ascii="Arial" w:hAnsi="Arial" w:cs="Arial"/>
                <w:sz w:val="20"/>
                <w:szCs w:val="20"/>
              </w:rPr>
              <w:t>До каква степен ПРСР е допринесла за въвеждане на иновативни подходи? (</w:t>
            </w:r>
            <w:r w:rsidRPr="00BC513A">
              <w:rPr>
                <w:rFonts w:ascii="Arial" w:hAnsi="Arial" w:cs="Arial"/>
                <w:i/>
                <w:sz w:val="20"/>
                <w:szCs w:val="20"/>
              </w:rPr>
              <w:t>Health Check objective</w:t>
            </w:r>
            <w:r w:rsidR="00467180">
              <w:rPr>
                <w:rFonts w:ascii="Arial" w:hAnsi="Arial" w:cs="Arial"/>
                <w:i/>
                <w:sz w:val="20"/>
                <w:szCs w:val="20"/>
              </w:rPr>
              <w:t>,</w:t>
            </w:r>
            <w:r w:rsidRPr="00BC513A">
              <w:rPr>
                <w:rFonts w:ascii="Arial" w:hAnsi="Arial" w:cs="Arial"/>
                <w:i/>
                <w:sz w:val="20"/>
                <w:szCs w:val="20"/>
              </w:rPr>
              <w:t xml:space="preserve"> отнасяща се за всички оси</w:t>
            </w:r>
            <w:r w:rsidRPr="00BC513A">
              <w:rPr>
                <w:rFonts w:ascii="Arial" w:hAnsi="Arial" w:cs="Arial"/>
                <w:sz w:val="20"/>
                <w:szCs w:val="20"/>
              </w:rPr>
              <w:t>);</w:t>
            </w:r>
          </w:p>
          <w:p w14:paraId="1DECD73C" w14:textId="77777777" w:rsidR="00E8617E" w:rsidRPr="00BC513A" w:rsidRDefault="00E8617E" w:rsidP="00922731">
            <w:pPr>
              <w:numPr>
                <w:ilvl w:val="0"/>
                <w:numId w:val="16"/>
              </w:numPr>
              <w:jc w:val="both"/>
              <w:rPr>
                <w:sz w:val="20"/>
                <w:szCs w:val="20"/>
              </w:rPr>
            </w:pPr>
            <w:r w:rsidRPr="00BC513A">
              <w:rPr>
                <w:rFonts w:ascii="Arial" w:hAnsi="Arial" w:cs="Arial"/>
                <w:sz w:val="20"/>
                <w:szCs w:val="20"/>
              </w:rPr>
              <w:t>До каква степен НСМ е допринесла за достигане на целите на ПРСР? (</w:t>
            </w:r>
            <w:r w:rsidRPr="00BC513A">
              <w:rPr>
                <w:rFonts w:ascii="Arial" w:hAnsi="Arial" w:cs="Arial"/>
                <w:i/>
                <w:sz w:val="20"/>
                <w:szCs w:val="20"/>
              </w:rPr>
              <w:t xml:space="preserve">НСМ ще бъде оценявана отделно от останалите оси). </w:t>
            </w:r>
          </w:p>
        </w:tc>
      </w:tr>
    </w:tbl>
    <w:p w14:paraId="6FA8EBAC" w14:textId="77777777" w:rsidR="00E8617E" w:rsidRPr="00BC513A" w:rsidRDefault="00E8617E" w:rsidP="00E8617E">
      <w:pPr>
        <w:ind w:firstLine="360"/>
        <w:jc w:val="both"/>
        <w:rPr>
          <w:sz w:val="24"/>
          <w:szCs w:val="24"/>
        </w:rPr>
      </w:pPr>
    </w:p>
    <w:p w14:paraId="3E662144" w14:textId="77777777" w:rsidR="00E8617E" w:rsidRPr="00BC513A" w:rsidRDefault="00E8617E" w:rsidP="00E8617E">
      <w:pPr>
        <w:pStyle w:val="Heading2"/>
        <w:numPr>
          <w:ilvl w:val="1"/>
          <w:numId w:val="5"/>
        </w:numPr>
      </w:pPr>
      <w:bookmarkStart w:id="36" w:name="_Toc504136135"/>
      <w:r w:rsidRPr="00BC513A">
        <w:t>Източници на данни и подходи при изчисляване на стойността на индикаторите</w:t>
      </w:r>
      <w:bookmarkEnd w:id="36"/>
    </w:p>
    <w:p w14:paraId="6F170A3D"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Като основен източник на данни са изп</w:t>
      </w:r>
      <w:r w:rsidR="009D0C37">
        <w:rPr>
          <w:sz w:val="22"/>
          <w:szCs w:val="22"/>
          <w:lang w:val="bg-BG"/>
        </w:rPr>
        <w:t>о</w:t>
      </w:r>
      <w:r w:rsidRPr="00BC513A">
        <w:rPr>
          <w:sz w:val="22"/>
          <w:szCs w:val="22"/>
          <w:lang w:val="bg-BG"/>
        </w:rPr>
        <w:t>л</w:t>
      </w:r>
      <w:r w:rsidR="009D0C37">
        <w:rPr>
          <w:sz w:val="22"/>
          <w:szCs w:val="22"/>
          <w:lang w:val="bg-BG"/>
        </w:rPr>
        <w:t>з</w:t>
      </w:r>
      <w:r w:rsidRPr="00BC513A">
        <w:rPr>
          <w:sz w:val="22"/>
          <w:szCs w:val="22"/>
          <w:lang w:val="bg-BG"/>
        </w:rPr>
        <w:t xml:space="preserve">вани наличните вече данни от системата за мониторинг на Програмата, изложени в годишните доклади и приложенията към тях, както и в докладите за текуща оценка. </w:t>
      </w:r>
      <w:r w:rsidR="00EE73FE" w:rsidRPr="00EE73FE">
        <w:rPr>
          <w:sz w:val="22"/>
          <w:szCs w:val="22"/>
          <w:lang w:val="bg-BG"/>
        </w:rPr>
        <w:t>П</w:t>
      </w:r>
      <w:r w:rsidR="009D0C37" w:rsidRPr="00EE73FE">
        <w:rPr>
          <w:sz w:val="22"/>
          <w:szCs w:val="22"/>
          <w:lang w:val="bg-BG"/>
        </w:rPr>
        <w:t>олзвани</w:t>
      </w:r>
      <w:r w:rsidRPr="00EE73FE">
        <w:rPr>
          <w:sz w:val="22"/>
          <w:szCs w:val="22"/>
          <w:lang w:val="bg-BG"/>
        </w:rPr>
        <w:t xml:space="preserve"> </w:t>
      </w:r>
      <w:r w:rsidR="00EE73FE" w:rsidRPr="00EE73FE">
        <w:rPr>
          <w:sz w:val="22"/>
          <w:szCs w:val="22"/>
          <w:lang w:val="bg-BG"/>
        </w:rPr>
        <w:t xml:space="preserve">са </w:t>
      </w:r>
      <w:r w:rsidRPr="00EE73FE">
        <w:rPr>
          <w:sz w:val="22"/>
          <w:szCs w:val="22"/>
          <w:lang w:val="bg-BG"/>
        </w:rPr>
        <w:t xml:space="preserve">допълнителни данни от ДФЗ с цел да се изчислят индикатори, за които не са намерени данни или последните не са </w:t>
      </w:r>
      <w:r w:rsidR="009D0C37" w:rsidRPr="00EE73FE">
        <w:rPr>
          <w:sz w:val="22"/>
          <w:szCs w:val="22"/>
          <w:lang w:val="bg-BG"/>
        </w:rPr>
        <w:t xml:space="preserve">били </w:t>
      </w:r>
      <w:r w:rsidR="00EE73FE" w:rsidRPr="00EE73FE">
        <w:rPr>
          <w:sz w:val="22"/>
          <w:szCs w:val="22"/>
          <w:lang w:val="bg-BG"/>
        </w:rPr>
        <w:t xml:space="preserve">налични </w:t>
      </w:r>
      <w:r w:rsidR="009D0C37" w:rsidRPr="00EE73FE">
        <w:rPr>
          <w:sz w:val="22"/>
          <w:szCs w:val="22"/>
          <w:lang w:val="bg-BG"/>
        </w:rPr>
        <w:t>към края на изпълнение на П</w:t>
      </w:r>
      <w:r w:rsidRPr="00EE73FE">
        <w:rPr>
          <w:sz w:val="22"/>
          <w:szCs w:val="22"/>
          <w:lang w:val="bg-BG"/>
        </w:rPr>
        <w:t>рограмата.</w:t>
      </w:r>
      <w:r w:rsidRPr="00BC513A">
        <w:rPr>
          <w:sz w:val="22"/>
          <w:szCs w:val="22"/>
          <w:lang w:val="bg-BG"/>
        </w:rPr>
        <w:t xml:space="preserve"> </w:t>
      </w:r>
    </w:p>
    <w:p w14:paraId="61F0AC83"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При изчисляване на стойността на индикаторите за използвани данни за базовите и целеви стойности, както и данни за постигнатите стойности в резултат на изпълнение на Програмата. По този начин са направени изчисления и изводи относно постигане на целевите стойности. Направените изчисления са допълнени с анализ относно причините за постигане или не постигане на стойностите.</w:t>
      </w:r>
    </w:p>
    <w:p w14:paraId="6916FC39" w14:textId="77777777" w:rsidR="00E8617E" w:rsidRPr="00BC513A" w:rsidRDefault="00E8617E" w:rsidP="00E8617E">
      <w:pPr>
        <w:pStyle w:val="Heading2"/>
        <w:numPr>
          <w:ilvl w:val="1"/>
          <w:numId w:val="5"/>
        </w:numPr>
      </w:pPr>
      <w:bookmarkStart w:id="37" w:name="_Toc504136136"/>
      <w:r w:rsidRPr="00BC513A">
        <w:t>Ограничения на методологическия подход</w:t>
      </w:r>
      <w:bookmarkEnd w:id="37"/>
    </w:p>
    <w:p w14:paraId="31D7005B" w14:textId="77777777" w:rsidR="00E8617E" w:rsidRPr="00BC513A" w:rsidRDefault="00E8617E" w:rsidP="00B50477">
      <w:pPr>
        <w:pStyle w:val="DefaultText"/>
        <w:spacing w:after="120" w:line="300" w:lineRule="atLeast"/>
        <w:ind w:firstLine="709"/>
        <w:rPr>
          <w:lang w:val="bg-BG"/>
        </w:rPr>
      </w:pPr>
      <w:r w:rsidRPr="00BC513A">
        <w:rPr>
          <w:sz w:val="22"/>
          <w:szCs w:val="22"/>
          <w:lang w:val="bg-BG"/>
        </w:rPr>
        <w:t>Основните ограничения на методологическия подход произтичат от изключително кратките срокове за изпълнение на оценката, които не дават възможност за набиране на значителен обем допълнителна информация от тази, с която вече се  разполага, ка</w:t>
      </w:r>
      <w:r w:rsidR="00E806FC">
        <w:rPr>
          <w:sz w:val="22"/>
          <w:szCs w:val="22"/>
          <w:lang w:val="bg-BG"/>
        </w:rPr>
        <w:t>к</w:t>
      </w:r>
      <w:r w:rsidRPr="00BC513A">
        <w:rPr>
          <w:sz w:val="22"/>
          <w:szCs w:val="22"/>
          <w:lang w:val="bg-BG"/>
        </w:rPr>
        <w:t xml:space="preserve">то и възможност за </w:t>
      </w:r>
      <w:r w:rsidR="00AB618B">
        <w:rPr>
          <w:sz w:val="22"/>
          <w:szCs w:val="22"/>
          <w:lang w:val="bg-BG"/>
        </w:rPr>
        <w:t xml:space="preserve">по-пълно </w:t>
      </w:r>
      <w:r w:rsidRPr="00BC513A">
        <w:rPr>
          <w:sz w:val="22"/>
          <w:szCs w:val="22"/>
          <w:lang w:val="bg-BG"/>
        </w:rPr>
        <w:t xml:space="preserve">наблюдаване и оценка на ефектите на място. </w:t>
      </w:r>
    </w:p>
    <w:p w14:paraId="2035813F" w14:textId="77777777" w:rsidR="00E8617E" w:rsidRPr="00BC513A" w:rsidRDefault="00E8617E" w:rsidP="00E8617E">
      <w:pPr>
        <w:pStyle w:val="Heading1"/>
        <w:numPr>
          <w:ilvl w:val="0"/>
          <w:numId w:val="0"/>
        </w:numPr>
        <w:spacing w:after="480"/>
        <w:rPr>
          <w:lang w:val="bg-BG"/>
        </w:rPr>
      </w:pPr>
      <w:bookmarkStart w:id="38" w:name="_Toc504136137"/>
      <w:bookmarkStart w:id="39" w:name="_Toc446335699"/>
      <w:r w:rsidRPr="00BC513A">
        <w:rPr>
          <w:lang w:val="bg-BG"/>
        </w:rPr>
        <w:lastRenderedPageBreak/>
        <w:t>Раздел IV.</w:t>
      </w:r>
      <w:r w:rsidRPr="00BC513A">
        <w:rPr>
          <w:lang w:val="bg-BG"/>
        </w:rPr>
        <w:tab/>
        <w:t>Описание на програмата, мерките и бюджета</w:t>
      </w:r>
      <w:bookmarkEnd w:id="38"/>
      <w:r w:rsidRPr="00BC513A">
        <w:rPr>
          <w:lang w:val="bg-BG"/>
        </w:rPr>
        <w:t xml:space="preserve"> </w:t>
      </w:r>
    </w:p>
    <w:p w14:paraId="3FAC0DBA" w14:textId="77777777" w:rsidR="00E8617E" w:rsidRPr="00BC513A" w:rsidRDefault="00E8617E" w:rsidP="00E8617E">
      <w:pPr>
        <w:pStyle w:val="Heading2"/>
        <w:numPr>
          <w:ilvl w:val="1"/>
          <w:numId w:val="6"/>
        </w:numPr>
      </w:pPr>
      <w:bookmarkStart w:id="40" w:name="_Toc504136138"/>
      <w:r w:rsidRPr="00BC513A">
        <w:t xml:space="preserve">Институционален контекст при прилагане на </w:t>
      </w:r>
      <w:r w:rsidR="000F57E9">
        <w:t>п</w:t>
      </w:r>
      <w:r w:rsidRPr="00BC513A">
        <w:t>рограмата</w:t>
      </w:r>
      <w:bookmarkEnd w:id="40"/>
    </w:p>
    <w:p w14:paraId="4697691E"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Управлението и изпълнението на ПРСР 2007-2013 е било осъществявано от редица институции, в съответствие с разпоредбите на съответните регламенти</w:t>
      </w:r>
      <w:r w:rsidRPr="00BC513A">
        <w:rPr>
          <w:rStyle w:val="FootnoteReference"/>
          <w:sz w:val="22"/>
          <w:szCs w:val="22"/>
          <w:lang w:val="bg-BG"/>
        </w:rPr>
        <w:footnoteReference w:id="8"/>
      </w:r>
      <w:r w:rsidRPr="00BC513A">
        <w:rPr>
          <w:sz w:val="22"/>
          <w:szCs w:val="22"/>
          <w:lang w:val="bg-BG"/>
        </w:rPr>
        <w:t>, както следва:</w:t>
      </w:r>
    </w:p>
    <w:p w14:paraId="39A887DA" w14:textId="7B1D92E6" w:rsidR="00E8617E" w:rsidRPr="00BC513A" w:rsidRDefault="00E8617E" w:rsidP="00E8617E">
      <w:pPr>
        <w:pStyle w:val="DefaultText"/>
        <w:spacing w:after="120" w:line="300" w:lineRule="atLeast"/>
        <w:ind w:firstLine="709"/>
        <w:rPr>
          <w:sz w:val="22"/>
          <w:szCs w:val="22"/>
          <w:lang w:val="bg-BG"/>
        </w:rPr>
      </w:pPr>
      <w:r w:rsidRPr="00BC513A">
        <w:rPr>
          <w:b/>
          <w:sz w:val="22"/>
          <w:szCs w:val="22"/>
          <w:lang w:val="bg-BG"/>
        </w:rPr>
        <w:t>Комитетът за наблюдение</w:t>
      </w:r>
      <w:r w:rsidRPr="00BC513A">
        <w:rPr>
          <w:sz w:val="22"/>
          <w:szCs w:val="22"/>
          <w:lang w:val="bg-BG"/>
        </w:rPr>
        <w:t xml:space="preserve"> (КН) на ПРСР 2007-2013 е бил отговорен за стратегически решения относно управление и изпълнение на програмата. КН е създаден със заповед от 2007 на </w:t>
      </w:r>
      <w:r w:rsidR="00E806FC">
        <w:rPr>
          <w:sz w:val="22"/>
          <w:szCs w:val="22"/>
          <w:lang w:val="bg-BG"/>
        </w:rPr>
        <w:t>м</w:t>
      </w:r>
      <w:r w:rsidRPr="00BC513A">
        <w:rPr>
          <w:sz w:val="22"/>
          <w:szCs w:val="22"/>
          <w:lang w:val="bg-BG"/>
        </w:rPr>
        <w:t xml:space="preserve">инистъра на тогавашното Министерство на земеделието и продоволствието. Съгласно чл. 77 на Регламент </w:t>
      </w:r>
      <w:r w:rsidR="00E551B8">
        <w:rPr>
          <w:sz w:val="22"/>
          <w:szCs w:val="22"/>
          <w:lang w:val="bg-BG"/>
        </w:rPr>
        <w:t>(</w:t>
      </w:r>
      <w:r w:rsidRPr="00BC513A">
        <w:rPr>
          <w:sz w:val="22"/>
          <w:szCs w:val="22"/>
          <w:lang w:val="bg-BG"/>
        </w:rPr>
        <w:t>Е</w:t>
      </w:r>
      <w:r w:rsidR="00E551B8">
        <w:rPr>
          <w:sz w:val="22"/>
          <w:szCs w:val="22"/>
          <w:lang w:val="bg-BG"/>
        </w:rPr>
        <w:t>О) №</w:t>
      </w:r>
      <w:r w:rsidRPr="00BC513A">
        <w:rPr>
          <w:sz w:val="22"/>
          <w:szCs w:val="22"/>
          <w:lang w:val="bg-BG"/>
        </w:rPr>
        <w:t xml:space="preserve"> 1698/2005 КН разглежда и приема критериите за избор за отпускане на финансиране; наблюдава напредъка в постигане на набелязаните цели на </w:t>
      </w:r>
      <w:r w:rsidR="000F57E9">
        <w:rPr>
          <w:sz w:val="22"/>
          <w:szCs w:val="22"/>
          <w:lang w:val="bg-BG"/>
        </w:rPr>
        <w:t>п</w:t>
      </w:r>
      <w:r w:rsidRPr="00BC513A">
        <w:rPr>
          <w:sz w:val="22"/>
          <w:szCs w:val="22"/>
          <w:lang w:val="bg-BG"/>
        </w:rPr>
        <w:t xml:space="preserve">рограмата; може да предлага промени или преразглеждане на </w:t>
      </w:r>
      <w:r w:rsidR="000F57E9">
        <w:rPr>
          <w:sz w:val="22"/>
          <w:szCs w:val="22"/>
          <w:lang w:val="bg-BG"/>
        </w:rPr>
        <w:t>п</w:t>
      </w:r>
      <w:r w:rsidRPr="00BC513A">
        <w:rPr>
          <w:sz w:val="22"/>
          <w:szCs w:val="22"/>
          <w:lang w:val="bg-BG"/>
        </w:rPr>
        <w:t>рограмата, целящи постигане на целите на ЕСФРСР или подобряване на управлението.</w:t>
      </w:r>
    </w:p>
    <w:p w14:paraId="11709BE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 КН са били включени основните заинтересовани страни в областта на земеделието, храните и развитието на селските райони: икономически и социални партньори; компетентни регионални, местни и други публични власти; представител на Европейската комисия (ЕК); асоциации на земеделски производители; асоциации на общини; научни и изследователски институции; представители на вероизповеданията; представители на гражданското общество и  неправителствени организации.</w:t>
      </w:r>
    </w:p>
    <w:p w14:paraId="2818A682"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В своята работа КН е бил подпомаган от постоянни работни групи – по една за всяка ос от ПРСР. Обикновено заседанията на КН са два пъти годишно – през пролетта и през есента. </w:t>
      </w:r>
    </w:p>
    <w:p w14:paraId="54B8A3AA" w14:textId="66BCB708" w:rsidR="00E8617E" w:rsidRPr="00BC513A" w:rsidRDefault="00E8617E" w:rsidP="00E8617E">
      <w:pPr>
        <w:pStyle w:val="DefaultText"/>
        <w:spacing w:after="120" w:line="300" w:lineRule="atLeast"/>
        <w:ind w:firstLine="709"/>
        <w:rPr>
          <w:sz w:val="22"/>
          <w:szCs w:val="22"/>
          <w:lang w:val="bg-BG"/>
        </w:rPr>
      </w:pPr>
      <w:r w:rsidRPr="00BC513A">
        <w:rPr>
          <w:b/>
          <w:sz w:val="22"/>
          <w:szCs w:val="22"/>
          <w:lang w:val="bg-BG"/>
        </w:rPr>
        <w:t xml:space="preserve">Управляващ орган (УО) </w:t>
      </w:r>
      <w:r w:rsidRPr="00BC513A">
        <w:rPr>
          <w:sz w:val="22"/>
          <w:szCs w:val="22"/>
          <w:lang w:val="bg-BG"/>
        </w:rPr>
        <w:t xml:space="preserve">на ПРСР е </w:t>
      </w:r>
      <w:hyperlink r:id="rId14" w:history="1">
        <w:r w:rsidRPr="00BC513A">
          <w:rPr>
            <w:rStyle w:val="Hyperlink"/>
            <w:sz w:val="22"/>
            <w:szCs w:val="22"/>
            <w:lang w:val="bg-BG"/>
          </w:rPr>
          <w:t>Дирекция “Развитие на селските райони”</w:t>
        </w:r>
      </w:hyperlink>
      <w:r w:rsidRPr="00BC513A">
        <w:rPr>
          <w:sz w:val="22"/>
          <w:szCs w:val="22"/>
          <w:lang w:val="bg-BG"/>
        </w:rPr>
        <w:t xml:space="preserve"> на МЗХГ, определен в съответствие с </w:t>
      </w:r>
      <w:r w:rsidR="00E806FC">
        <w:rPr>
          <w:sz w:val="22"/>
          <w:szCs w:val="22"/>
          <w:lang w:val="bg-BG"/>
        </w:rPr>
        <w:t>ч</w:t>
      </w:r>
      <w:r w:rsidRPr="00BC513A">
        <w:rPr>
          <w:sz w:val="22"/>
          <w:szCs w:val="22"/>
          <w:lang w:val="bg-BG"/>
        </w:rPr>
        <w:t xml:space="preserve">л. 74 (2) (a) на Регламента на Съвета (EC) 1698/2005. В изпълнение на </w:t>
      </w:r>
      <w:r w:rsidR="00E806FC">
        <w:rPr>
          <w:sz w:val="22"/>
          <w:szCs w:val="22"/>
          <w:lang w:val="bg-BG"/>
        </w:rPr>
        <w:t>ч</w:t>
      </w:r>
      <w:r w:rsidRPr="00BC513A">
        <w:rPr>
          <w:sz w:val="22"/>
          <w:szCs w:val="22"/>
          <w:lang w:val="bg-BG"/>
        </w:rPr>
        <w:t xml:space="preserve">л. 75 на Регламент (ЕС) 1698/2005 Управляващият орган е отговорен за избор на дейности за финансиране по </w:t>
      </w:r>
      <w:r w:rsidR="000F57E9">
        <w:rPr>
          <w:sz w:val="22"/>
          <w:szCs w:val="22"/>
          <w:lang w:val="bg-BG"/>
        </w:rPr>
        <w:t>п</w:t>
      </w:r>
      <w:r w:rsidRPr="00BC513A">
        <w:rPr>
          <w:sz w:val="22"/>
          <w:szCs w:val="22"/>
          <w:lang w:val="bg-BG"/>
        </w:rPr>
        <w:t xml:space="preserve">рограмата в съответствие с приложимите критерии за подпомагане по ПРСР. УО е бил отговорен за подготовката, организирането и провеждането на заседания на КН, следил е процеса по изготвяне на годишни доклади за напредъка на изпълнение на </w:t>
      </w:r>
      <w:r w:rsidR="000F57E9">
        <w:rPr>
          <w:sz w:val="22"/>
          <w:szCs w:val="22"/>
          <w:lang w:val="bg-BG"/>
        </w:rPr>
        <w:t>п</w:t>
      </w:r>
      <w:r w:rsidRPr="00BC513A">
        <w:rPr>
          <w:sz w:val="22"/>
          <w:szCs w:val="22"/>
          <w:lang w:val="bg-BG"/>
        </w:rPr>
        <w:t>рограмата</w:t>
      </w:r>
      <w:r w:rsidRPr="00BC513A">
        <w:rPr>
          <w:rStyle w:val="FootnoteReference"/>
          <w:sz w:val="22"/>
          <w:szCs w:val="22"/>
          <w:lang w:val="bg-BG"/>
        </w:rPr>
        <w:footnoteReference w:id="9"/>
      </w:r>
      <w:r w:rsidRPr="00BC513A">
        <w:rPr>
          <w:sz w:val="22"/>
          <w:szCs w:val="22"/>
          <w:lang w:val="bg-BG"/>
        </w:rPr>
        <w:t xml:space="preserve"> и е отговарял за осигуряване на необходимата публичност и оценка на </w:t>
      </w:r>
      <w:r w:rsidR="000F57E9">
        <w:rPr>
          <w:sz w:val="22"/>
          <w:szCs w:val="22"/>
          <w:lang w:val="bg-BG"/>
        </w:rPr>
        <w:t>п</w:t>
      </w:r>
      <w:r w:rsidRPr="00BC513A">
        <w:rPr>
          <w:sz w:val="22"/>
          <w:szCs w:val="22"/>
          <w:lang w:val="bg-BG"/>
        </w:rPr>
        <w:t xml:space="preserve">рограмата. Относно изпълнение на </w:t>
      </w:r>
      <w:r w:rsidR="000F57E9">
        <w:rPr>
          <w:sz w:val="22"/>
          <w:szCs w:val="22"/>
          <w:lang w:val="bg-BG"/>
        </w:rPr>
        <w:t>п</w:t>
      </w:r>
      <w:r w:rsidRPr="00BC513A">
        <w:rPr>
          <w:sz w:val="22"/>
          <w:szCs w:val="22"/>
          <w:lang w:val="bg-BG"/>
        </w:rPr>
        <w:t xml:space="preserve">рограмата УО е отговарял за прилагането на мерките по ос 4 ЛИДЕР и „Техническа помощ“, както и мярка 143 Предоставяне на съвети и консултиране в земеделието в България и Румъния. </w:t>
      </w:r>
    </w:p>
    <w:p w14:paraId="4A6B93D0" w14:textId="571BD66B" w:rsidR="00E8617E" w:rsidRPr="00BC513A" w:rsidRDefault="000161DB" w:rsidP="00E8617E">
      <w:pPr>
        <w:pStyle w:val="DefaultText"/>
        <w:spacing w:after="120" w:line="300" w:lineRule="atLeast"/>
        <w:ind w:firstLine="709"/>
        <w:rPr>
          <w:sz w:val="22"/>
          <w:szCs w:val="22"/>
          <w:lang w:val="bg-BG"/>
        </w:rPr>
      </w:pPr>
      <w:hyperlink r:id="rId15" w:history="1">
        <w:r w:rsidR="00E8617E" w:rsidRPr="00BC513A">
          <w:rPr>
            <w:sz w:val="22"/>
            <w:szCs w:val="22"/>
            <w:lang w:val="bg-BG"/>
          </w:rPr>
          <w:t>Държавен фонд “Земеделие”</w:t>
        </w:r>
      </w:hyperlink>
      <w:r w:rsidR="00E8617E" w:rsidRPr="00BC513A">
        <w:rPr>
          <w:sz w:val="22"/>
          <w:szCs w:val="22"/>
          <w:lang w:val="bg-BG"/>
        </w:rPr>
        <w:t xml:space="preserve"> (ДФЗ) е акредитиран като </w:t>
      </w:r>
      <w:r w:rsidR="00E8617E" w:rsidRPr="00BC513A">
        <w:rPr>
          <w:b/>
          <w:sz w:val="22"/>
          <w:szCs w:val="22"/>
          <w:lang w:val="bg-BG"/>
        </w:rPr>
        <w:t>Разплащателна агенция</w:t>
      </w:r>
      <w:r w:rsidR="00E8617E" w:rsidRPr="00BC513A">
        <w:rPr>
          <w:sz w:val="22"/>
          <w:szCs w:val="22"/>
          <w:lang w:val="bg-BG"/>
        </w:rPr>
        <w:t xml:space="preserve"> (РА) в съответствие с </w:t>
      </w:r>
      <w:r w:rsidR="00E806FC">
        <w:rPr>
          <w:sz w:val="22"/>
          <w:szCs w:val="22"/>
          <w:lang w:val="bg-BG"/>
        </w:rPr>
        <w:t>ч</w:t>
      </w:r>
      <w:r w:rsidR="00E8617E" w:rsidRPr="00BC513A">
        <w:rPr>
          <w:sz w:val="22"/>
          <w:szCs w:val="22"/>
          <w:lang w:val="bg-BG"/>
        </w:rPr>
        <w:t xml:space="preserve">л. 6 от Регламент (EC) 1290/2005. ДФЗ приема, обработва, одобрява и разплаща подадените проектни предложения в съответствие с изискванията и установените правила. ДФЗ се състои от централен офис в София и 28 </w:t>
      </w:r>
      <w:r w:rsidR="00E8617E" w:rsidRPr="00BC513A">
        <w:rPr>
          <w:sz w:val="22"/>
          <w:szCs w:val="22"/>
          <w:lang w:val="bg-BG"/>
        </w:rPr>
        <w:lastRenderedPageBreak/>
        <w:t xml:space="preserve">областни дирекции в 28те </w:t>
      </w:r>
      <w:r w:rsidR="00E806FC">
        <w:rPr>
          <w:sz w:val="22"/>
          <w:szCs w:val="22"/>
          <w:lang w:val="bg-BG"/>
        </w:rPr>
        <w:t>областни</w:t>
      </w:r>
      <w:r w:rsidR="00E806FC" w:rsidRPr="00BC513A">
        <w:rPr>
          <w:sz w:val="22"/>
          <w:szCs w:val="22"/>
          <w:lang w:val="bg-BG"/>
        </w:rPr>
        <w:t xml:space="preserve"> </w:t>
      </w:r>
      <w:r w:rsidR="00E8617E" w:rsidRPr="00BC513A">
        <w:rPr>
          <w:sz w:val="22"/>
          <w:szCs w:val="22"/>
          <w:lang w:val="bg-BG"/>
        </w:rPr>
        <w:t xml:space="preserve">града на страната. Фондът  се ръководи от управителен съвет от 11 членове под председателството на </w:t>
      </w:r>
      <w:r w:rsidR="00E806FC">
        <w:rPr>
          <w:sz w:val="22"/>
          <w:szCs w:val="22"/>
          <w:lang w:val="bg-BG"/>
        </w:rPr>
        <w:t>м</w:t>
      </w:r>
      <w:r w:rsidR="00E8617E" w:rsidRPr="00BC513A">
        <w:rPr>
          <w:sz w:val="22"/>
          <w:szCs w:val="22"/>
          <w:lang w:val="bg-BG"/>
        </w:rPr>
        <w:t xml:space="preserve">инистъра на земеделието, храните и горите. </w:t>
      </w:r>
    </w:p>
    <w:p w14:paraId="1C127159"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УО е делегирал на ДФЗ прилагането на </w:t>
      </w:r>
      <w:r w:rsidR="000F57E9">
        <w:rPr>
          <w:sz w:val="22"/>
          <w:szCs w:val="22"/>
          <w:lang w:val="bg-BG"/>
        </w:rPr>
        <w:t>п</w:t>
      </w:r>
      <w:r w:rsidRPr="00BC513A">
        <w:rPr>
          <w:sz w:val="22"/>
          <w:szCs w:val="22"/>
          <w:lang w:val="bg-BG"/>
        </w:rPr>
        <w:t>рограмата по оси 1, 2 и 3, което включва дейностите по приемане, разглеждане, оценяване и одобряване или отхвърляне на заявленията за подпомагане, посещения на място и сключване на договори, когато това е определено в нормативния акт.</w:t>
      </w:r>
      <w:r w:rsidRPr="00BC513A">
        <w:rPr>
          <w:rStyle w:val="FootnoteReference"/>
          <w:sz w:val="22"/>
          <w:szCs w:val="22"/>
          <w:lang w:val="bg-BG"/>
        </w:rPr>
        <w:footnoteReference w:id="10"/>
      </w:r>
      <w:r w:rsidRPr="00BC513A">
        <w:rPr>
          <w:sz w:val="22"/>
          <w:szCs w:val="22"/>
          <w:lang w:val="bg-BG"/>
        </w:rPr>
        <w:t xml:space="preserve"> </w:t>
      </w:r>
    </w:p>
    <w:p w14:paraId="0A93348F" w14:textId="5D321D63"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При неделегираните дейности по ос 4 ЛИДЕР и по мярка 41 Прилагане на стратегии за местно развитие ДФЗ е осъществявал контрол на допустимостта на разходите и процедурите, заложени в Стратегиите за местно развитие, както и общите критерии за допустимост на кандидатите. </w:t>
      </w:r>
    </w:p>
    <w:p w14:paraId="4C540187"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Дейностите по създаване и поддържане на Интегрираната система за администриране и контрол (ИСАК) също са били осъществявани от РА. ДФЗ, както част от дейностите по приемане на проектни предложения отговаря за своевременната и достатъчна информираност на потенциалните кандидати.</w:t>
      </w:r>
    </w:p>
    <w:p w14:paraId="4DCB7EFE"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 време на изпълнение на ПРСР 2007-2013 г. УО не разполага със собствена информационна система, която да съдържа информация за изпълнение на ПРСР и да подпомага управлението. Съществували са трудности за адекватен достъп до информационната система ИСАК, поддържана от ДФЗ и това като цяло е препятствало работата на УО.  Въпреки сравнително ясното разпределение на отговорностите между УО и ДФЗ в някои случаи УО и РА са дублирали дейности (като например по отношение на ос 4 ЛИДЕР)</w:t>
      </w:r>
      <w:r w:rsidR="00B50477">
        <w:rPr>
          <w:sz w:val="22"/>
          <w:szCs w:val="22"/>
          <w:lang w:val="bg-BG"/>
        </w:rPr>
        <w:t>,</w:t>
      </w:r>
      <w:r w:rsidRPr="00BC513A">
        <w:rPr>
          <w:sz w:val="22"/>
          <w:szCs w:val="22"/>
          <w:lang w:val="bg-BG"/>
        </w:rPr>
        <w:t xml:space="preserve"> което е довело до неефективност и забава в изпълнението.</w:t>
      </w:r>
    </w:p>
    <w:p w14:paraId="12D3C625" w14:textId="7498BF9E"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Контролът на ДФЗ по отношение на сертифицирането му като РА се осъществява посредством министъра на земеделието</w:t>
      </w:r>
      <w:r w:rsidR="00E806FC">
        <w:rPr>
          <w:sz w:val="22"/>
          <w:szCs w:val="22"/>
          <w:lang w:val="bg-BG"/>
        </w:rPr>
        <w:t>,</w:t>
      </w:r>
      <w:r w:rsidRPr="00BC513A">
        <w:rPr>
          <w:sz w:val="22"/>
          <w:szCs w:val="22"/>
          <w:lang w:val="bg-BG"/>
        </w:rPr>
        <w:t xml:space="preserve"> храните </w:t>
      </w:r>
      <w:r w:rsidR="00E806FC">
        <w:rPr>
          <w:sz w:val="22"/>
          <w:szCs w:val="22"/>
          <w:lang w:val="bg-BG"/>
        </w:rPr>
        <w:t xml:space="preserve">и горите </w:t>
      </w:r>
      <w:r w:rsidRPr="00BC513A">
        <w:rPr>
          <w:sz w:val="22"/>
          <w:szCs w:val="22"/>
          <w:lang w:val="bg-BG"/>
        </w:rPr>
        <w:t xml:space="preserve">чрез нарочна дирекция в МЗХГ "Наблюдение, координация и контрол на дейността на Разплащателната агенция". </w:t>
      </w:r>
    </w:p>
    <w:p w14:paraId="6165342F" w14:textId="78ABC590" w:rsidR="00E8617E" w:rsidRPr="00BC513A" w:rsidRDefault="00E8617E" w:rsidP="00E8617E">
      <w:pPr>
        <w:pStyle w:val="DefaultText"/>
        <w:spacing w:after="120" w:line="300" w:lineRule="atLeast"/>
        <w:ind w:firstLine="709"/>
        <w:rPr>
          <w:sz w:val="22"/>
          <w:szCs w:val="22"/>
          <w:lang w:val="bg-BG"/>
        </w:rPr>
      </w:pPr>
      <w:r w:rsidRPr="00BC513A">
        <w:rPr>
          <w:b/>
          <w:sz w:val="22"/>
          <w:szCs w:val="22"/>
          <w:lang w:val="bg-BG"/>
        </w:rPr>
        <w:t>Сертифициращият орган</w:t>
      </w:r>
      <w:r w:rsidRPr="00BC513A">
        <w:rPr>
          <w:sz w:val="22"/>
          <w:szCs w:val="22"/>
          <w:lang w:val="bg-BG"/>
        </w:rPr>
        <w:t xml:space="preserve"> е отговорен за удостоверяване на верността, пълнотата и точността на сметките на акредитираната Разплащателна агенция, както и за гарантиране на сигурността и надеждността на информационните системи на Разплащателната агенция в съответствие с Регламент </w:t>
      </w:r>
      <w:r w:rsidR="00E806FC">
        <w:rPr>
          <w:sz w:val="22"/>
          <w:szCs w:val="22"/>
          <w:lang w:val="bg-BG"/>
        </w:rPr>
        <w:t xml:space="preserve">(ЕО) </w:t>
      </w:r>
      <w:r w:rsidR="00E806FC" w:rsidRPr="00CD7112">
        <w:rPr>
          <w:sz w:val="22"/>
          <w:szCs w:val="22"/>
          <w:lang w:val="bg-BG"/>
        </w:rPr>
        <w:t>№</w:t>
      </w:r>
      <w:r w:rsidR="00E806FC">
        <w:t xml:space="preserve"> </w:t>
      </w:r>
      <w:r w:rsidRPr="00BC513A">
        <w:rPr>
          <w:sz w:val="22"/>
          <w:szCs w:val="22"/>
          <w:lang w:val="bg-BG"/>
        </w:rPr>
        <w:t xml:space="preserve">885/2006. Сертифициращи орган по </w:t>
      </w:r>
      <w:r w:rsidR="000F57E9">
        <w:rPr>
          <w:sz w:val="22"/>
          <w:szCs w:val="22"/>
          <w:lang w:val="bg-BG"/>
        </w:rPr>
        <w:t>п</w:t>
      </w:r>
      <w:r w:rsidRPr="00BC513A">
        <w:rPr>
          <w:sz w:val="22"/>
          <w:szCs w:val="22"/>
          <w:lang w:val="bg-BG"/>
        </w:rPr>
        <w:t xml:space="preserve">рограмата са били външни одитори </w:t>
      </w:r>
      <w:r w:rsidR="00E806FC">
        <w:rPr>
          <w:sz w:val="22"/>
          <w:szCs w:val="22"/>
          <w:lang w:val="bg-BG"/>
        </w:rPr>
        <w:t>–</w:t>
      </w:r>
      <w:r w:rsidRPr="00BC513A">
        <w:rPr>
          <w:sz w:val="22"/>
          <w:szCs w:val="22"/>
          <w:lang w:val="bg-BG"/>
        </w:rPr>
        <w:t xml:space="preserve"> отначало това е Грант Торнтон ООД – България, а от август 2008 до януари 2014 </w:t>
      </w:r>
      <w:r w:rsidR="00BC7BC0">
        <w:rPr>
          <w:sz w:val="22"/>
          <w:szCs w:val="22"/>
          <w:lang w:val="bg-BG"/>
        </w:rPr>
        <w:t>–</w:t>
      </w:r>
      <w:r w:rsidRPr="00BC513A">
        <w:rPr>
          <w:sz w:val="22"/>
          <w:szCs w:val="22"/>
          <w:lang w:val="bg-BG"/>
        </w:rPr>
        <w:t xml:space="preserve"> „Делойт България” ООД. След изтичане на договора на „Делойт България” ООД ПРСР е без сертифициращ орган. Стартираните обществени поръчки се обжалват и в крайна сметка са прекратени. Това сериозно препятства сертифицирането на средствата по програмата. </w:t>
      </w:r>
    </w:p>
    <w:p w14:paraId="028FD881" w14:textId="70C7133B"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През април 2016 г. с постановление на Министерски</w:t>
      </w:r>
      <w:r w:rsidR="00BC7BC0">
        <w:rPr>
          <w:sz w:val="22"/>
          <w:szCs w:val="22"/>
          <w:lang w:val="bg-BG"/>
        </w:rPr>
        <w:t>я</w:t>
      </w:r>
      <w:r w:rsidRPr="00BC513A">
        <w:rPr>
          <w:sz w:val="22"/>
          <w:szCs w:val="22"/>
          <w:lang w:val="bg-BG"/>
        </w:rPr>
        <w:t xml:space="preserve"> съвет е създадена Изпълнителна агенция „Сертификационен одит на средствата от европейските земеделски фондове“, която да изпълнява ролята на сертифициращ орган на ПРСР.  Агенцията е на подчинение на </w:t>
      </w:r>
      <w:r w:rsidR="00BC7BC0">
        <w:rPr>
          <w:sz w:val="22"/>
          <w:szCs w:val="22"/>
          <w:lang w:val="bg-BG"/>
        </w:rPr>
        <w:t>м</w:t>
      </w:r>
      <w:r w:rsidRPr="00BC513A">
        <w:rPr>
          <w:sz w:val="22"/>
          <w:szCs w:val="22"/>
          <w:lang w:val="bg-BG"/>
        </w:rPr>
        <w:t xml:space="preserve">инистъра на земеделието, храните и горите. </w:t>
      </w:r>
    </w:p>
    <w:p w14:paraId="63716FC7" w14:textId="4CBB0DAA" w:rsidR="00E8617E" w:rsidRPr="00BC513A" w:rsidRDefault="00E8617E" w:rsidP="00E8617E">
      <w:pPr>
        <w:pStyle w:val="DefaultText"/>
        <w:spacing w:after="120" w:line="300" w:lineRule="atLeast"/>
        <w:ind w:firstLine="708"/>
        <w:rPr>
          <w:sz w:val="22"/>
          <w:szCs w:val="22"/>
          <w:lang w:val="bg-BG"/>
        </w:rPr>
      </w:pPr>
      <w:r w:rsidRPr="00BC513A">
        <w:rPr>
          <w:b/>
          <w:sz w:val="22"/>
          <w:szCs w:val="22"/>
          <w:lang w:val="bg-BG"/>
        </w:rPr>
        <w:lastRenderedPageBreak/>
        <w:t>Националната селска мрежа</w:t>
      </w:r>
      <w:r w:rsidRPr="00BC513A">
        <w:rPr>
          <w:sz w:val="22"/>
          <w:szCs w:val="22"/>
          <w:lang w:val="bg-BG"/>
        </w:rPr>
        <w:t xml:space="preserve"> (НСМ) в България е създадена през 2009 г. с подкрепата на ПРСР с цел насърчаване на сътрудничеството между членовете на местно, национално и европейско ниво. НСМ обединява заинтересованите страни от развитието на селските райони в България, сред които са държавните институции и активните организации в сферата на развитието на селските райони.</w:t>
      </w:r>
      <w:r w:rsidRPr="00BC513A">
        <w:rPr>
          <w:lang w:val="bg-BG"/>
        </w:rPr>
        <w:t xml:space="preserve"> </w:t>
      </w:r>
      <w:r w:rsidRPr="00BC513A">
        <w:rPr>
          <w:sz w:val="22"/>
          <w:szCs w:val="22"/>
          <w:lang w:val="bg-BG"/>
        </w:rPr>
        <w:t>Звено за управление на НСМ, състоящо се от 10 експерт</w:t>
      </w:r>
      <w:r w:rsidR="00BC7BC0">
        <w:rPr>
          <w:sz w:val="22"/>
          <w:szCs w:val="22"/>
          <w:lang w:val="bg-BG"/>
        </w:rPr>
        <w:t>и</w:t>
      </w:r>
      <w:r w:rsidRPr="00BC513A">
        <w:rPr>
          <w:sz w:val="22"/>
          <w:szCs w:val="22"/>
          <w:lang w:val="bg-BG"/>
        </w:rPr>
        <w:t>, е създадено през ноември 2012 г. Звеното за управление се допълва от 28 регионални координатори във всяка от административните области на страната. Към средата на юни 2013 г. регистърът на членовете на НСМ включва над 750 членове</w:t>
      </w:r>
      <w:r w:rsidRPr="00BC513A">
        <w:rPr>
          <w:rStyle w:val="FootnoteReference"/>
          <w:sz w:val="22"/>
          <w:szCs w:val="22"/>
          <w:lang w:val="bg-BG"/>
        </w:rPr>
        <w:footnoteReference w:id="11"/>
      </w:r>
      <w:r w:rsidRPr="00BC513A">
        <w:rPr>
          <w:sz w:val="22"/>
          <w:szCs w:val="22"/>
          <w:lang w:val="bg-BG"/>
        </w:rPr>
        <w:t xml:space="preserve"> включително публични институции, НПО, МИГ, местни власти, научни институти, фирми, фермери, читалища и физически лица. За подпомагане работата на НСМ са създадени тематични работни групи. Първото Звено за управление на Националната селска мрежа функционира от 2013 г. до 2015 г. Сайтът на НСМ </w:t>
      </w:r>
      <w:hyperlink r:id="rId16" w:history="1">
        <w:r w:rsidRPr="00BC513A">
          <w:rPr>
            <w:sz w:val="22"/>
            <w:szCs w:val="22"/>
            <w:lang w:val="bg-BG"/>
          </w:rPr>
          <w:t>www.nsm.bg</w:t>
        </w:r>
      </w:hyperlink>
      <w:r w:rsidRPr="00BC513A">
        <w:rPr>
          <w:sz w:val="22"/>
          <w:szCs w:val="22"/>
          <w:lang w:val="bg-BG"/>
        </w:rPr>
        <w:t xml:space="preserve"> е бил официално активен до 10 декември 2015 г. Ново Звено на управление на НСМ следваше да бъде избрано в периода март </w:t>
      </w:r>
      <w:r w:rsidR="00BC7BC0">
        <w:rPr>
          <w:sz w:val="22"/>
          <w:szCs w:val="22"/>
          <w:lang w:val="bg-BG"/>
        </w:rPr>
        <w:t>–</w:t>
      </w:r>
      <w:r w:rsidRPr="00BC513A">
        <w:rPr>
          <w:sz w:val="22"/>
          <w:szCs w:val="22"/>
          <w:lang w:val="bg-BG"/>
        </w:rPr>
        <w:t xml:space="preserve"> юни 2016 г. Страницата на НСМ във </w:t>
      </w:r>
      <w:hyperlink r:id="rId17" w:history="1">
        <w:r w:rsidRPr="00BC513A">
          <w:rPr>
            <w:rStyle w:val="Hyperlink"/>
            <w:sz w:val="22"/>
            <w:szCs w:val="22"/>
            <w:lang w:val="bg-BG"/>
          </w:rPr>
          <w:t>фейсбук</w:t>
        </w:r>
      </w:hyperlink>
      <w:r w:rsidRPr="00BC513A">
        <w:rPr>
          <w:sz w:val="22"/>
          <w:szCs w:val="22"/>
          <w:lang w:val="bg-BG"/>
        </w:rPr>
        <w:t xml:space="preserve"> се поддържа на доброволни начала от екипа на вече нефункциониращото звено, за да не се прекъсва връзката между членовете на НСМ и да се осигури плавно начало на работата на новото Звено на управление.</w:t>
      </w:r>
    </w:p>
    <w:p w14:paraId="11DA17DD" w14:textId="3F081C68" w:rsidR="00E8617E" w:rsidRPr="00BC513A" w:rsidRDefault="000161DB" w:rsidP="00E8617E">
      <w:pPr>
        <w:pStyle w:val="DefaultText"/>
        <w:spacing w:after="120" w:line="300" w:lineRule="atLeast"/>
        <w:ind w:firstLine="708"/>
        <w:rPr>
          <w:sz w:val="22"/>
          <w:szCs w:val="22"/>
          <w:lang w:val="bg-BG"/>
        </w:rPr>
      </w:pPr>
      <w:hyperlink r:id="rId18" w:history="1">
        <w:r w:rsidR="00E8617E" w:rsidRPr="00BC513A">
          <w:rPr>
            <w:rStyle w:val="Hyperlink"/>
            <w:b/>
            <w:sz w:val="22"/>
            <w:szCs w:val="22"/>
            <w:lang w:val="bg-BG"/>
          </w:rPr>
          <w:t>Националната служба за съвети в земеделието</w:t>
        </w:r>
      </w:hyperlink>
      <w:r w:rsidR="00E8617E" w:rsidRPr="00BC513A">
        <w:rPr>
          <w:sz w:val="22"/>
          <w:szCs w:val="22"/>
          <w:lang w:val="bg-BG"/>
        </w:rPr>
        <w:t xml:space="preserve"> (НССЗ) подпомага прилагането на държавната политиката в аграрния сектор и постигането на заложените от МЗХГ приоритети и цели за осъществяване на ефективно и конкурентно земеделие в Република България. Службата е създадена в края на 2009 г. и разполага с централен офис и 27 клона в страната</w:t>
      </w:r>
      <w:r w:rsidR="00BC7BC0">
        <w:rPr>
          <w:sz w:val="22"/>
          <w:szCs w:val="22"/>
          <w:lang w:val="bg-BG"/>
        </w:rPr>
        <w:t>,</w:t>
      </w:r>
      <w:r w:rsidR="00E8617E" w:rsidRPr="00BC513A">
        <w:rPr>
          <w:sz w:val="22"/>
          <w:szCs w:val="22"/>
          <w:lang w:val="bg-BG"/>
        </w:rPr>
        <w:t xml:space="preserve"> разположени в 27</w:t>
      </w:r>
      <w:r w:rsidR="00BC7BC0" w:rsidRPr="00CD7112">
        <w:rPr>
          <w:sz w:val="22"/>
          <w:szCs w:val="22"/>
          <w:vertAlign w:val="superscript"/>
          <w:lang w:val="bg-BG"/>
        </w:rPr>
        <w:t>-</w:t>
      </w:r>
      <w:r w:rsidR="00E8617E" w:rsidRPr="00CD7112">
        <w:rPr>
          <w:sz w:val="22"/>
          <w:szCs w:val="22"/>
          <w:vertAlign w:val="superscript"/>
          <w:lang w:val="bg-BG"/>
        </w:rPr>
        <w:t>те</w:t>
      </w:r>
      <w:r w:rsidR="00E8617E" w:rsidRPr="00BC513A">
        <w:rPr>
          <w:sz w:val="22"/>
          <w:szCs w:val="22"/>
          <w:lang w:val="bg-BG"/>
        </w:rPr>
        <w:t xml:space="preserve"> областни града. НССЗ предоставя на земеделските производители консултантски услуги, информация, обучение и техническа помощ. Дейностите на НССЗ по ПРСР 2007-2013 г. са в следните области:</w:t>
      </w:r>
    </w:p>
    <w:p w14:paraId="76D23959" w14:textId="77777777" w:rsidR="00E8617E" w:rsidRPr="00BC513A" w:rsidRDefault="00E8617E" w:rsidP="00E8617E">
      <w:pPr>
        <w:pStyle w:val="DefaultText"/>
        <w:numPr>
          <w:ilvl w:val="0"/>
          <w:numId w:val="24"/>
        </w:numPr>
        <w:spacing w:after="120" w:line="300" w:lineRule="atLeast"/>
        <w:rPr>
          <w:sz w:val="22"/>
          <w:szCs w:val="22"/>
          <w:lang w:val="bg-BG"/>
        </w:rPr>
      </w:pPr>
      <w:r w:rsidRPr="00BC513A">
        <w:rPr>
          <w:sz w:val="22"/>
          <w:szCs w:val="22"/>
          <w:lang w:val="bg-BG"/>
        </w:rPr>
        <w:t xml:space="preserve">Дейности по мярка 143 "Предоставяне на съвети и консултиране в земеделието в България и Румъния"; </w:t>
      </w:r>
    </w:p>
    <w:p w14:paraId="79EEF0C8" w14:textId="77777777" w:rsidR="00E8617E" w:rsidRPr="00BC513A" w:rsidRDefault="00E8617E" w:rsidP="00E8617E">
      <w:pPr>
        <w:pStyle w:val="DefaultText"/>
        <w:numPr>
          <w:ilvl w:val="0"/>
          <w:numId w:val="24"/>
        </w:numPr>
        <w:spacing w:after="120" w:line="300" w:lineRule="atLeast"/>
        <w:rPr>
          <w:sz w:val="22"/>
          <w:szCs w:val="22"/>
          <w:lang w:val="bg-BG"/>
        </w:rPr>
      </w:pPr>
      <w:r w:rsidRPr="00BC513A">
        <w:rPr>
          <w:sz w:val="22"/>
          <w:szCs w:val="22"/>
          <w:lang w:val="bg-BG"/>
        </w:rPr>
        <w:t xml:space="preserve">Предоставяне на консултации по ПРСР; </w:t>
      </w:r>
    </w:p>
    <w:p w14:paraId="5E9826C2" w14:textId="77777777" w:rsidR="00E8617E" w:rsidRPr="00BC513A" w:rsidRDefault="00E8617E" w:rsidP="00E8617E">
      <w:pPr>
        <w:pStyle w:val="DefaultText"/>
        <w:numPr>
          <w:ilvl w:val="0"/>
          <w:numId w:val="24"/>
        </w:numPr>
        <w:spacing w:after="120" w:line="300" w:lineRule="atLeast"/>
        <w:rPr>
          <w:sz w:val="22"/>
          <w:szCs w:val="22"/>
          <w:lang w:val="bg-BG"/>
        </w:rPr>
      </w:pPr>
      <w:r w:rsidRPr="00BC513A">
        <w:rPr>
          <w:sz w:val="22"/>
          <w:szCs w:val="22"/>
          <w:lang w:val="bg-BG"/>
        </w:rPr>
        <w:t xml:space="preserve">Организиране и участия в информационни събития по ПРСР; </w:t>
      </w:r>
    </w:p>
    <w:p w14:paraId="0E13D54B" w14:textId="77777777" w:rsidR="00E8617E" w:rsidRPr="00BC513A" w:rsidRDefault="00E8617E" w:rsidP="00E8617E">
      <w:pPr>
        <w:pStyle w:val="DefaultText"/>
        <w:numPr>
          <w:ilvl w:val="0"/>
          <w:numId w:val="24"/>
        </w:numPr>
        <w:spacing w:after="120" w:line="300" w:lineRule="atLeast"/>
        <w:rPr>
          <w:sz w:val="22"/>
          <w:szCs w:val="22"/>
          <w:lang w:val="bg-BG"/>
        </w:rPr>
      </w:pPr>
      <w:r w:rsidRPr="00BC513A">
        <w:rPr>
          <w:sz w:val="22"/>
          <w:szCs w:val="22"/>
          <w:lang w:val="bg-BG"/>
        </w:rPr>
        <w:t xml:space="preserve">Изготвяне на информационни материали по ПРСР; </w:t>
      </w:r>
    </w:p>
    <w:p w14:paraId="29EA588B" w14:textId="77777777" w:rsidR="00E8617E" w:rsidRPr="00BC513A" w:rsidRDefault="00E8617E" w:rsidP="00E8617E">
      <w:pPr>
        <w:pStyle w:val="DefaultText"/>
        <w:numPr>
          <w:ilvl w:val="0"/>
          <w:numId w:val="24"/>
        </w:numPr>
        <w:spacing w:after="120" w:line="300" w:lineRule="atLeast"/>
        <w:rPr>
          <w:sz w:val="22"/>
          <w:szCs w:val="22"/>
          <w:lang w:val="bg-BG"/>
        </w:rPr>
      </w:pPr>
      <w:r w:rsidRPr="00BC513A">
        <w:rPr>
          <w:sz w:val="22"/>
          <w:szCs w:val="22"/>
          <w:lang w:val="bg-BG"/>
        </w:rPr>
        <w:t>Обучения на фермери по мярка 111 от ПРСР.</w:t>
      </w:r>
    </w:p>
    <w:p w14:paraId="1E538C1D" w14:textId="77777777" w:rsidR="00E8617E" w:rsidRPr="00BC513A" w:rsidRDefault="00E8617E" w:rsidP="00E8617E">
      <w:pPr>
        <w:pStyle w:val="DefaultText"/>
        <w:numPr>
          <w:ilvl w:val="0"/>
          <w:numId w:val="24"/>
        </w:numPr>
        <w:spacing w:after="120" w:line="300" w:lineRule="atLeast"/>
        <w:rPr>
          <w:sz w:val="22"/>
          <w:szCs w:val="22"/>
          <w:lang w:val="bg-BG"/>
        </w:rPr>
      </w:pPr>
      <w:r w:rsidRPr="00BC513A">
        <w:rPr>
          <w:sz w:val="22"/>
          <w:szCs w:val="22"/>
          <w:lang w:val="bg-BG"/>
        </w:rPr>
        <w:t>Подготовка на проекти по мярка 141 „Подпомагане на полупазарни стопанства в процес на преструктуриране”, по марка 112 “Създаване на стопанства на млади фермери”, мярка 214 „Агроекологични плащания” и мярка 311 „Разнообразяване към неземеделски дейности“.</w:t>
      </w:r>
    </w:p>
    <w:p w14:paraId="0632F02F" w14:textId="7DAD4BF6"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В допълнение на НССЗ, </w:t>
      </w:r>
      <w:r w:rsidRPr="00BC513A">
        <w:rPr>
          <w:b/>
          <w:sz w:val="22"/>
          <w:szCs w:val="22"/>
          <w:lang w:val="bg-BG"/>
        </w:rPr>
        <w:t>частни консултантски организации</w:t>
      </w:r>
      <w:r w:rsidRPr="00BC513A">
        <w:rPr>
          <w:sz w:val="22"/>
          <w:szCs w:val="22"/>
          <w:lang w:val="bg-BG"/>
        </w:rPr>
        <w:t xml:space="preserve"> са предоставили подкрепа по подготовка на бизнес планове и проекти по инвестиционните мерки от ПРСР основно по мерки 121, 312, 123, 311 и 322.  В много по-малък дял са предоставени консултантски услуги по мерки 321, 313, 223, 226, 122,112</w:t>
      </w:r>
      <w:r w:rsidRPr="00BC513A">
        <w:rPr>
          <w:lang w:val="bg-BG"/>
        </w:rPr>
        <w:footnoteReference w:id="12"/>
      </w:r>
      <w:r w:rsidRPr="00BC513A">
        <w:rPr>
          <w:sz w:val="22"/>
          <w:szCs w:val="22"/>
          <w:lang w:val="bg-BG"/>
        </w:rPr>
        <w:t xml:space="preserve">. </w:t>
      </w:r>
    </w:p>
    <w:p w14:paraId="6B34DEAA" w14:textId="35369FF8"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lastRenderedPageBreak/>
        <w:t>По мерки 312 и 311 частните консултанти са предоставяли подкрепа предимно по проектите в областта на селския туризъм и възобновяеми енергийни източници (ВЕИ). В областта на биологичното земеделие и мярка 214 консултантска дейност, освен от НССЗ</w:t>
      </w:r>
      <w:r w:rsidR="00BC7BC0">
        <w:rPr>
          <w:sz w:val="22"/>
          <w:szCs w:val="22"/>
          <w:lang w:val="bg-BG"/>
        </w:rPr>
        <w:t>,</w:t>
      </w:r>
      <w:r w:rsidRPr="00BC513A">
        <w:rPr>
          <w:sz w:val="22"/>
          <w:szCs w:val="22"/>
          <w:lang w:val="bg-BG"/>
        </w:rPr>
        <w:t xml:space="preserve"> се извършва все още от много ограничен брой организации</w:t>
      </w:r>
      <w:r w:rsidR="00BC7BC0">
        <w:rPr>
          <w:sz w:val="22"/>
          <w:szCs w:val="22"/>
          <w:lang w:val="bg-BG"/>
        </w:rPr>
        <w:t>,</w:t>
      </w:r>
      <w:r w:rsidRPr="00BC513A">
        <w:rPr>
          <w:sz w:val="22"/>
          <w:szCs w:val="22"/>
          <w:lang w:val="bg-BG"/>
        </w:rPr>
        <w:t xml:space="preserve"> като Фондация за биологично земеделие „Биоселена“.</w:t>
      </w:r>
    </w:p>
    <w:p w14:paraId="664F044F" w14:textId="4D6C0411"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 мярка 114 е създаден Регистър на консултантски организации, които отговарят на условията да предоставят специфични консултантски услуги в обхвата на мярката. В регистъра са включени 13 консултантски организации (включително три аграрни университета и Селскостопанска академия), от които 12 са в областта на земеделието и 1 в областта на горите.</w:t>
      </w:r>
    </w:p>
    <w:p w14:paraId="006541EA" w14:textId="77777777" w:rsidR="00E8617E" w:rsidRPr="00BC513A" w:rsidRDefault="00E8617E" w:rsidP="00E8617E">
      <w:pPr>
        <w:pStyle w:val="Heading2"/>
        <w:keepNext/>
        <w:widowControl/>
        <w:numPr>
          <w:ilvl w:val="1"/>
          <w:numId w:val="6"/>
        </w:numPr>
        <w:ind w:left="1491" w:hanging="357"/>
      </w:pPr>
      <w:bookmarkStart w:id="41" w:name="_Toc504136139"/>
      <w:r w:rsidRPr="00BC513A">
        <w:t>Описание на приоритетите и мерките на програмата</w:t>
      </w:r>
      <w:bookmarkEnd w:id="41"/>
    </w:p>
    <w:p w14:paraId="479E611C"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Първоначално е предвидено целите на програмата да бъдат постигнати с 30 мерки, разписани в 5 оси. Всички мерки е предвидено да се изпълняват през целия програмен период с изключение на мерки 142, 431-2 и 611, които са планирани да приключат до 2009 г. </w:t>
      </w:r>
    </w:p>
    <w:p w14:paraId="2200445E"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Стартирането на следните мерки е отложено за 2009-2013 (124, 125, 126, 213 и 224) и 2010-2013 (114 и 341) тъй като е била необходима допълнителна подготовка и условия за стартиране на мерките. </w:t>
      </w:r>
    </w:p>
    <w:p w14:paraId="7F4BA02A" w14:textId="77777777" w:rsidR="00E8617E" w:rsidRPr="00BC513A" w:rsidRDefault="00E8617E" w:rsidP="00E8617E">
      <w:pPr>
        <w:pStyle w:val="DefaultText"/>
        <w:spacing w:after="360" w:line="300" w:lineRule="atLeast"/>
        <w:ind w:firstLine="709"/>
        <w:rPr>
          <w:sz w:val="22"/>
          <w:szCs w:val="22"/>
          <w:lang w:val="bg-BG"/>
        </w:rPr>
      </w:pPr>
      <w:r w:rsidRPr="00BC513A">
        <w:rPr>
          <w:sz w:val="22"/>
          <w:szCs w:val="22"/>
          <w:lang w:val="bg-BG"/>
        </w:rPr>
        <w:t xml:space="preserve">Приоритетните оси на </w:t>
      </w:r>
      <w:r w:rsidR="000F57E9">
        <w:rPr>
          <w:sz w:val="22"/>
          <w:szCs w:val="22"/>
          <w:lang w:val="bg-BG"/>
        </w:rPr>
        <w:t>п</w:t>
      </w:r>
      <w:r w:rsidRPr="00BC513A">
        <w:rPr>
          <w:sz w:val="22"/>
          <w:szCs w:val="22"/>
          <w:lang w:val="bg-BG"/>
        </w:rPr>
        <w:t>рограмата и съответните мерки по тях са както следва:</w:t>
      </w:r>
    </w:p>
    <w:tbl>
      <w:tblPr>
        <w:tblW w:w="0" w:type="auto"/>
        <w:tblInd w:w="-5" w:type="dxa"/>
        <w:tblLook w:val="04A0" w:firstRow="1" w:lastRow="0" w:firstColumn="1" w:lastColumn="0" w:noHBand="0" w:noVBand="1"/>
      </w:tblPr>
      <w:tblGrid>
        <w:gridCol w:w="9060"/>
      </w:tblGrid>
      <w:tr w:rsidR="00E8617E" w:rsidRPr="00BC513A" w14:paraId="7305FF2B" w14:textId="77777777" w:rsidTr="00922731">
        <w:tc>
          <w:tcPr>
            <w:tcW w:w="9060" w:type="dxa"/>
            <w:shd w:val="clear" w:color="auto" w:fill="FDF0E7"/>
          </w:tcPr>
          <w:p w14:paraId="134C592E" w14:textId="77777777" w:rsidR="00E8617E" w:rsidRPr="00BC513A" w:rsidRDefault="00E8617E" w:rsidP="00922731">
            <w:pPr>
              <w:pStyle w:val="DefaultText"/>
              <w:shd w:val="clear" w:color="auto" w:fill="FDF0E7"/>
              <w:spacing w:after="120" w:line="300" w:lineRule="atLeast"/>
              <w:rPr>
                <w:sz w:val="22"/>
                <w:szCs w:val="22"/>
                <w:lang w:val="bg-BG"/>
              </w:rPr>
            </w:pPr>
            <w:r w:rsidRPr="00BC513A">
              <w:rPr>
                <w:rFonts w:cs="Arial"/>
                <w:b/>
                <w:color w:val="000000"/>
                <w:sz w:val="22"/>
                <w:szCs w:val="22"/>
                <w:shd w:val="clear" w:color="auto" w:fill="FDF0E7"/>
                <w:lang w:val="bg-BG"/>
              </w:rPr>
              <w:t>Ос 1: Подобряване на конкурентоспособността на земеделския и горския сектор</w:t>
            </w:r>
            <w:r w:rsidRPr="00BC513A">
              <w:rPr>
                <w:rFonts w:cs="Arial"/>
                <w:b/>
                <w:color w:val="000000"/>
                <w:sz w:val="22"/>
                <w:szCs w:val="22"/>
                <w:shd w:val="clear" w:color="auto" w:fill="FFFFFF"/>
                <w:lang w:val="bg-BG"/>
              </w:rPr>
              <w:t xml:space="preserve"> </w:t>
            </w:r>
          </w:p>
        </w:tc>
      </w:tr>
    </w:tbl>
    <w:p w14:paraId="481AFD12"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 xml:space="preserve">В ос 1 са включени общо 12 мерки, както е представено в таблицата по-долу. Три от тях (в по-блед шрифт – 124, 125 и 126) не са приложени на практика по време на изпълнението на програмата. Разпределените бюджети по тези мерки са пренасочени към мерки 111, 112 и 121. Всички мерки в обхвата на ос 1 стартират </w:t>
      </w:r>
      <w:r w:rsidR="00BC7BC0">
        <w:rPr>
          <w:sz w:val="22"/>
          <w:szCs w:val="22"/>
          <w:lang w:val="bg-BG"/>
        </w:rPr>
        <w:t xml:space="preserve">през </w:t>
      </w:r>
      <w:r w:rsidRPr="00BC513A">
        <w:rPr>
          <w:sz w:val="22"/>
          <w:szCs w:val="22"/>
          <w:lang w:val="bg-BG"/>
        </w:rPr>
        <w:t>2008 г. с изключение на мярка 114, която стартира в края на 2011 г.</w:t>
      </w:r>
    </w:p>
    <w:p w14:paraId="4E6B7D78"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42" w:name="_Toc504136173"/>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Мерки в обхвата на ос 1</w:t>
      </w:r>
      <w:bookmarkEnd w:id="42"/>
    </w:p>
    <w:tbl>
      <w:tblPr>
        <w:tblW w:w="0" w:type="auto"/>
        <w:tblLook w:val="04A0" w:firstRow="1" w:lastRow="0" w:firstColumn="1" w:lastColumn="0" w:noHBand="0" w:noVBand="1"/>
      </w:tblPr>
      <w:tblGrid>
        <w:gridCol w:w="1051"/>
        <w:gridCol w:w="4903"/>
        <w:gridCol w:w="3106"/>
      </w:tblGrid>
      <w:tr w:rsidR="00E8617E" w:rsidRPr="00BC513A" w14:paraId="22C405BE" w14:textId="77777777" w:rsidTr="00CD7112">
        <w:trPr>
          <w:tblHeader/>
        </w:trPr>
        <w:tc>
          <w:tcPr>
            <w:tcW w:w="1051" w:type="dxa"/>
            <w:shd w:val="clear" w:color="auto" w:fill="1F4E79" w:themeFill="accent1" w:themeFillShade="80"/>
          </w:tcPr>
          <w:p w14:paraId="0CB94DF2"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Код на мярката</w:t>
            </w:r>
          </w:p>
        </w:tc>
        <w:tc>
          <w:tcPr>
            <w:tcW w:w="4903" w:type="dxa"/>
            <w:shd w:val="clear" w:color="auto" w:fill="1F4E79" w:themeFill="accent1" w:themeFillShade="80"/>
          </w:tcPr>
          <w:p w14:paraId="3BEFFF3A"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Наименование</w:t>
            </w:r>
          </w:p>
        </w:tc>
        <w:tc>
          <w:tcPr>
            <w:tcW w:w="3106" w:type="dxa"/>
            <w:shd w:val="clear" w:color="auto" w:fill="1F4E79" w:themeFill="accent1" w:themeFillShade="80"/>
          </w:tcPr>
          <w:p w14:paraId="011F2466"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Прилагаща наредба</w:t>
            </w:r>
          </w:p>
        </w:tc>
      </w:tr>
      <w:tr w:rsidR="00E8617E" w:rsidRPr="00BC513A" w14:paraId="5ECD4EBF" w14:textId="77777777" w:rsidTr="00922731">
        <w:tc>
          <w:tcPr>
            <w:tcW w:w="1051" w:type="dxa"/>
            <w:vAlign w:val="center"/>
          </w:tcPr>
          <w:p w14:paraId="551D15B4" w14:textId="77777777" w:rsidR="00E8617E" w:rsidRPr="00BC513A" w:rsidRDefault="00E8617E" w:rsidP="00922731">
            <w:pPr>
              <w:rPr>
                <w:rFonts w:ascii="Arial" w:hAnsi="Arial" w:cs="Arial"/>
                <w:sz w:val="20"/>
                <w:szCs w:val="20"/>
              </w:rPr>
            </w:pPr>
            <w:r w:rsidRPr="00BC513A">
              <w:rPr>
                <w:rFonts w:ascii="Arial" w:hAnsi="Arial" w:cs="Arial"/>
                <w:sz w:val="20"/>
                <w:szCs w:val="20"/>
              </w:rPr>
              <w:t>111</w:t>
            </w:r>
          </w:p>
        </w:tc>
        <w:tc>
          <w:tcPr>
            <w:tcW w:w="4903" w:type="dxa"/>
            <w:vAlign w:val="center"/>
          </w:tcPr>
          <w:p w14:paraId="57D66AE6" w14:textId="77777777" w:rsidR="00E8617E" w:rsidRPr="00BC513A" w:rsidRDefault="00E8617E" w:rsidP="00922731">
            <w:pPr>
              <w:rPr>
                <w:rFonts w:ascii="Arial" w:hAnsi="Arial" w:cs="Arial"/>
                <w:sz w:val="20"/>
                <w:szCs w:val="20"/>
              </w:rPr>
            </w:pPr>
            <w:r w:rsidRPr="00BC513A">
              <w:rPr>
                <w:rFonts w:ascii="Arial" w:hAnsi="Arial" w:cs="Arial"/>
                <w:sz w:val="20"/>
                <w:szCs w:val="20"/>
              </w:rPr>
              <w:t>Професионално обучение, информационни дейности и разпространение на научни знания"</w:t>
            </w:r>
          </w:p>
        </w:tc>
        <w:tc>
          <w:tcPr>
            <w:tcW w:w="3106" w:type="dxa"/>
            <w:vAlign w:val="center"/>
          </w:tcPr>
          <w:p w14:paraId="57CFED3E"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color w:val="000000"/>
                <w:sz w:val="20"/>
                <w:szCs w:val="20"/>
                <w:shd w:val="clear" w:color="auto" w:fill="FFFFFF"/>
                <w:lang w:val="bg-BG"/>
              </w:rPr>
              <w:t>Наредба №23 от 14.07.2008 г.</w:t>
            </w:r>
          </w:p>
        </w:tc>
      </w:tr>
      <w:tr w:rsidR="00E8617E" w:rsidRPr="00BC513A" w14:paraId="2D77003B" w14:textId="77777777" w:rsidTr="00922731">
        <w:tc>
          <w:tcPr>
            <w:tcW w:w="1051" w:type="dxa"/>
            <w:vAlign w:val="center"/>
          </w:tcPr>
          <w:p w14:paraId="0552CC75" w14:textId="77777777" w:rsidR="00E8617E" w:rsidRPr="00BC513A" w:rsidRDefault="00E8617E" w:rsidP="00922731">
            <w:pPr>
              <w:rPr>
                <w:rFonts w:ascii="Arial" w:hAnsi="Arial" w:cs="Arial"/>
                <w:bCs/>
                <w:sz w:val="20"/>
                <w:szCs w:val="20"/>
              </w:rPr>
            </w:pPr>
            <w:r w:rsidRPr="00BC513A">
              <w:rPr>
                <w:rFonts w:ascii="Arial" w:hAnsi="Arial" w:cs="Arial"/>
                <w:bCs/>
                <w:sz w:val="20"/>
                <w:szCs w:val="20"/>
              </w:rPr>
              <w:t>112</w:t>
            </w:r>
          </w:p>
        </w:tc>
        <w:tc>
          <w:tcPr>
            <w:tcW w:w="4903" w:type="dxa"/>
            <w:vAlign w:val="center"/>
          </w:tcPr>
          <w:p w14:paraId="547A5A87" w14:textId="77777777" w:rsidR="00E8617E" w:rsidRPr="00BC513A" w:rsidRDefault="00E8617E" w:rsidP="00922731">
            <w:pPr>
              <w:rPr>
                <w:rFonts w:ascii="Arial" w:hAnsi="Arial" w:cs="Arial"/>
                <w:sz w:val="20"/>
                <w:szCs w:val="20"/>
              </w:rPr>
            </w:pPr>
            <w:r w:rsidRPr="00BC513A">
              <w:rPr>
                <w:rFonts w:ascii="Arial" w:hAnsi="Arial" w:cs="Arial"/>
                <w:sz w:val="20"/>
                <w:szCs w:val="20"/>
              </w:rPr>
              <w:t>Създаване на стопанства на млади фермери</w:t>
            </w:r>
          </w:p>
        </w:tc>
        <w:tc>
          <w:tcPr>
            <w:tcW w:w="3106" w:type="dxa"/>
            <w:vAlign w:val="center"/>
          </w:tcPr>
          <w:p w14:paraId="74EFC575"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color w:val="000000"/>
                <w:sz w:val="20"/>
                <w:szCs w:val="20"/>
                <w:shd w:val="clear" w:color="auto" w:fill="FFFFFF"/>
                <w:lang w:val="bg-BG"/>
              </w:rPr>
              <w:t>Наредба № 9 от 3.04.2008 г.</w:t>
            </w:r>
          </w:p>
        </w:tc>
      </w:tr>
      <w:tr w:rsidR="00E8617E" w:rsidRPr="00BC513A" w14:paraId="68B66536" w14:textId="77777777" w:rsidTr="00922731">
        <w:tc>
          <w:tcPr>
            <w:tcW w:w="1051" w:type="dxa"/>
            <w:vAlign w:val="center"/>
          </w:tcPr>
          <w:p w14:paraId="4950B279" w14:textId="77777777" w:rsidR="00E8617E" w:rsidRPr="00BC513A" w:rsidRDefault="00E8617E" w:rsidP="00922731">
            <w:pPr>
              <w:rPr>
                <w:rFonts w:ascii="Arial" w:hAnsi="Arial" w:cs="Arial"/>
                <w:sz w:val="20"/>
                <w:szCs w:val="20"/>
              </w:rPr>
            </w:pPr>
            <w:r w:rsidRPr="00BC513A">
              <w:rPr>
                <w:rFonts w:ascii="Arial" w:hAnsi="Arial" w:cs="Arial"/>
                <w:sz w:val="20"/>
                <w:szCs w:val="20"/>
              </w:rPr>
              <w:t>114</w:t>
            </w:r>
          </w:p>
        </w:tc>
        <w:tc>
          <w:tcPr>
            <w:tcW w:w="4903" w:type="dxa"/>
            <w:vAlign w:val="center"/>
          </w:tcPr>
          <w:p w14:paraId="37DB9A08" w14:textId="77777777" w:rsidR="00E8617E" w:rsidRPr="00BC513A" w:rsidRDefault="00E8617E" w:rsidP="00922731">
            <w:pPr>
              <w:rPr>
                <w:rFonts w:ascii="Arial" w:hAnsi="Arial" w:cs="Arial"/>
                <w:sz w:val="20"/>
                <w:szCs w:val="20"/>
              </w:rPr>
            </w:pPr>
            <w:r w:rsidRPr="00BC513A">
              <w:rPr>
                <w:rFonts w:ascii="Arial" w:hAnsi="Arial" w:cs="Arial"/>
                <w:sz w:val="20"/>
                <w:szCs w:val="20"/>
              </w:rPr>
              <w:t>Използване на консултантски услуги от фермери и собственици на гори</w:t>
            </w:r>
          </w:p>
        </w:tc>
        <w:tc>
          <w:tcPr>
            <w:tcW w:w="3106" w:type="dxa"/>
            <w:vAlign w:val="center"/>
          </w:tcPr>
          <w:p w14:paraId="7EB10915"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shd w:val="clear" w:color="auto" w:fill="FFFFFF"/>
                <w:lang w:val="bg-BG"/>
              </w:rPr>
              <w:t>Наредба № 10 от 27.09.2011 г.</w:t>
            </w:r>
          </w:p>
        </w:tc>
      </w:tr>
      <w:tr w:rsidR="00E8617E" w:rsidRPr="00BC513A" w14:paraId="4E3E20EB" w14:textId="77777777" w:rsidTr="00922731">
        <w:tc>
          <w:tcPr>
            <w:tcW w:w="1051" w:type="dxa"/>
            <w:vAlign w:val="center"/>
          </w:tcPr>
          <w:p w14:paraId="3855A8C0" w14:textId="77777777" w:rsidR="00E8617E" w:rsidRPr="00BC513A" w:rsidRDefault="00E8617E" w:rsidP="00922731">
            <w:pPr>
              <w:rPr>
                <w:rFonts w:ascii="Arial" w:hAnsi="Arial" w:cs="Arial"/>
                <w:sz w:val="20"/>
                <w:szCs w:val="20"/>
              </w:rPr>
            </w:pPr>
            <w:r w:rsidRPr="00BC513A">
              <w:rPr>
                <w:rFonts w:ascii="Arial" w:hAnsi="Arial" w:cs="Arial"/>
                <w:sz w:val="20"/>
                <w:szCs w:val="20"/>
              </w:rPr>
              <w:t>121</w:t>
            </w:r>
          </w:p>
        </w:tc>
        <w:tc>
          <w:tcPr>
            <w:tcW w:w="4903" w:type="dxa"/>
            <w:vAlign w:val="center"/>
          </w:tcPr>
          <w:p w14:paraId="4937A950" w14:textId="77777777" w:rsidR="00E8617E" w:rsidRPr="00BC513A" w:rsidRDefault="00E8617E" w:rsidP="00922731">
            <w:pPr>
              <w:rPr>
                <w:rFonts w:ascii="Arial" w:hAnsi="Arial" w:cs="Arial"/>
                <w:sz w:val="20"/>
                <w:szCs w:val="20"/>
              </w:rPr>
            </w:pPr>
            <w:r w:rsidRPr="00BC513A">
              <w:rPr>
                <w:rFonts w:ascii="Arial" w:hAnsi="Arial" w:cs="Arial"/>
                <w:color w:val="333333"/>
                <w:sz w:val="20"/>
                <w:szCs w:val="20"/>
              </w:rPr>
              <w:t>Модернизиране на земеделските стопанства</w:t>
            </w:r>
          </w:p>
        </w:tc>
        <w:tc>
          <w:tcPr>
            <w:tcW w:w="3106" w:type="dxa"/>
            <w:vAlign w:val="center"/>
          </w:tcPr>
          <w:p w14:paraId="77673A8D"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color w:val="000000"/>
                <w:sz w:val="20"/>
                <w:szCs w:val="20"/>
                <w:shd w:val="clear" w:color="auto" w:fill="FFFFFF"/>
                <w:lang w:val="bg-BG"/>
              </w:rPr>
              <w:t>Наредба № 8 от 3.04.2008 г.</w:t>
            </w:r>
          </w:p>
        </w:tc>
      </w:tr>
      <w:tr w:rsidR="00E8617E" w:rsidRPr="00BC513A" w14:paraId="7EBD598A" w14:textId="77777777" w:rsidTr="00922731">
        <w:tc>
          <w:tcPr>
            <w:tcW w:w="1051" w:type="dxa"/>
            <w:vAlign w:val="center"/>
          </w:tcPr>
          <w:p w14:paraId="4081AE37" w14:textId="77777777" w:rsidR="00E8617E" w:rsidRPr="00BC513A" w:rsidRDefault="00E8617E" w:rsidP="00922731">
            <w:pPr>
              <w:rPr>
                <w:rFonts w:ascii="Arial" w:hAnsi="Arial" w:cs="Arial"/>
                <w:sz w:val="20"/>
                <w:szCs w:val="20"/>
              </w:rPr>
            </w:pPr>
            <w:r w:rsidRPr="00BC513A">
              <w:rPr>
                <w:rFonts w:ascii="Arial" w:hAnsi="Arial" w:cs="Arial"/>
                <w:sz w:val="20"/>
                <w:szCs w:val="20"/>
              </w:rPr>
              <w:t>122</w:t>
            </w:r>
          </w:p>
        </w:tc>
        <w:tc>
          <w:tcPr>
            <w:tcW w:w="4903" w:type="dxa"/>
            <w:vAlign w:val="center"/>
          </w:tcPr>
          <w:p w14:paraId="4A053B76" w14:textId="77777777" w:rsidR="00E8617E" w:rsidRPr="00BC513A" w:rsidRDefault="00E8617E" w:rsidP="00922731">
            <w:pPr>
              <w:rPr>
                <w:rFonts w:ascii="Arial" w:hAnsi="Arial" w:cs="Arial"/>
                <w:color w:val="333333"/>
                <w:sz w:val="20"/>
                <w:szCs w:val="20"/>
              </w:rPr>
            </w:pPr>
            <w:r w:rsidRPr="00BC513A">
              <w:rPr>
                <w:rFonts w:ascii="Arial" w:hAnsi="Arial" w:cs="Arial"/>
                <w:color w:val="333333"/>
                <w:sz w:val="20"/>
                <w:szCs w:val="20"/>
              </w:rPr>
              <w:t>Подобряване на икономическата стойност на горите</w:t>
            </w:r>
          </w:p>
        </w:tc>
        <w:tc>
          <w:tcPr>
            <w:tcW w:w="3106" w:type="dxa"/>
            <w:vAlign w:val="center"/>
          </w:tcPr>
          <w:p w14:paraId="45C702A5"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color w:val="000000"/>
                <w:sz w:val="20"/>
                <w:szCs w:val="20"/>
                <w:shd w:val="clear" w:color="auto" w:fill="FFFFFF"/>
                <w:lang w:val="bg-BG"/>
              </w:rPr>
              <w:t>Наредба № 21 от 07.07.2008 г.</w:t>
            </w:r>
          </w:p>
        </w:tc>
      </w:tr>
      <w:tr w:rsidR="00E8617E" w:rsidRPr="00BC513A" w14:paraId="1F16C5CE" w14:textId="77777777" w:rsidTr="00922731">
        <w:tc>
          <w:tcPr>
            <w:tcW w:w="1051" w:type="dxa"/>
            <w:vAlign w:val="center"/>
          </w:tcPr>
          <w:p w14:paraId="41210F06" w14:textId="77777777" w:rsidR="00E8617E" w:rsidRPr="00BC513A" w:rsidRDefault="00E8617E" w:rsidP="00922731">
            <w:pPr>
              <w:rPr>
                <w:rFonts w:ascii="Arial" w:hAnsi="Arial" w:cs="Arial"/>
                <w:sz w:val="20"/>
                <w:szCs w:val="20"/>
              </w:rPr>
            </w:pPr>
            <w:r w:rsidRPr="00BC513A">
              <w:rPr>
                <w:rFonts w:ascii="Arial" w:hAnsi="Arial" w:cs="Arial"/>
                <w:sz w:val="20"/>
                <w:szCs w:val="20"/>
              </w:rPr>
              <w:t>123</w:t>
            </w:r>
          </w:p>
        </w:tc>
        <w:tc>
          <w:tcPr>
            <w:tcW w:w="4903" w:type="dxa"/>
            <w:vAlign w:val="center"/>
          </w:tcPr>
          <w:p w14:paraId="2C4A37D1" w14:textId="77777777" w:rsidR="00E8617E" w:rsidRPr="00BC513A" w:rsidRDefault="00E8617E" w:rsidP="00922731">
            <w:pPr>
              <w:rPr>
                <w:rFonts w:ascii="Arial" w:hAnsi="Arial" w:cs="Arial"/>
                <w:color w:val="333333"/>
                <w:sz w:val="20"/>
                <w:szCs w:val="20"/>
              </w:rPr>
            </w:pPr>
            <w:r w:rsidRPr="00BC513A">
              <w:rPr>
                <w:rFonts w:ascii="Arial" w:hAnsi="Arial" w:cs="Arial"/>
                <w:color w:val="333333"/>
                <w:sz w:val="20"/>
                <w:szCs w:val="20"/>
              </w:rPr>
              <w:t xml:space="preserve">Добавяне на стойност към земеделски и горски </w:t>
            </w:r>
            <w:r w:rsidRPr="00BC513A">
              <w:rPr>
                <w:rFonts w:ascii="Arial" w:hAnsi="Arial" w:cs="Arial"/>
                <w:color w:val="333333"/>
                <w:sz w:val="20"/>
                <w:szCs w:val="20"/>
              </w:rPr>
              <w:lastRenderedPageBreak/>
              <w:t>продукти</w:t>
            </w:r>
          </w:p>
        </w:tc>
        <w:tc>
          <w:tcPr>
            <w:tcW w:w="3106" w:type="dxa"/>
            <w:vAlign w:val="center"/>
          </w:tcPr>
          <w:p w14:paraId="364C1036"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color w:val="000000"/>
                <w:sz w:val="20"/>
                <w:szCs w:val="20"/>
                <w:shd w:val="clear" w:color="auto" w:fill="FFFFFF"/>
                <w:lang w:val="bg-BG"/>
              </w:rPr>
              <w:lastRenderedPageBreak/>
              <w:t>Наредба № 18 от 26.06.2008 г.</w:t>
            </w:r>
          </w:p>
        </w:tc>
      </w:tr>
      <w:tr w:rsidR="00E8617E" w:rsidRPr="00BC513A" w14:paraId="0B4F1D9F" w14:textId="77777777" w:rsidTr="00922731">
        <w:tc>
          <w:tcPr>
            <w:tcW w:w="1051" w:type="dxa"/>
            <w:vAlign w:val="center"/>
          </w:tcPr>
          <w:p w14:paraId="47AF2FAD" w14:textId="77777777" w:rsidR="00E8617E" w:rsidRPr="00BC513A" w:rsidRDefault="00E8617E" w:rsidP="00922731">
            <w:pPr>
              <w:rPr>
                <w:rFonts w:ascii="Arial" w:hAnsi="Arial" w:cs="Arial"/>
                <w:color w:val="808080" w:themeColor="background1" w:themeShade="80"/>
                <w:sz w:val="20"/>
                <w:szCs w:val="20"/>
              </w:rPr>
            </w:pPr>
            <w:r w:rsidRPr="00BC513A">
              <w:rPr>
                <w:rFonts w:ascii="Arial" w:hAnsi="Arial" w:cs="Arial"/>
                <w:color w:val="808080" w:themeColor="background1" w:themeShade="80"/>
                <w:sz w:val="20"/>
                <w:szCs w:val="20"/>
              </w:rPr>
              <w:lastRenderedPageBreak/>
              <w:t>124</w:t>
            </w:r>
          </w:p>
        </w:tc>
        <w:tc>
          <w:tcPr>
            <w:tcW w:w="4903" w:type="dxa"/>
            <w:vAlign w:val="center"/>
          </w:tcPr>
          <w:p w14:paraId="26C4D066" w14:textId="77777777" w:rsidR="00E8617E" w:rsidRPr="00BC513A" w:rsidRDefault="00E8617E" w:rsidP="00922731">
            <w:pPr>
              <w:rPr>
                <w:rFonts w:ascii="Arial" w:hAnsi="Arial" w:cs="Arial"/>
                <w:color w:val="808080" w:themeColor="background1" w:themeShade="80"/>
                <w:sz w:val="20"/>
                <w:szCs w:val="20"/>
              </w:rPr>
            </w:pPr>
            <w:r w:rsidRPr="00BC513A">
              <w:rPr>
                <w:color w:val="808080" w:themeColor="background1" w:themeShade="80"/>
              </w:rPr>
              <w:t>Сътрудничество за разработване на нови продукти, процеси и технологии в земеделието и хранителния сектор</w:t>
            </w:r>
          </w:p>
        </w:tc>
        <w:tc>
          <w:tcPr>
            <w:tcW w:w="3106" w:type="dxa"/>
            <w:vAlign w:val="center"/>
          </w:tcPr>
          <w:p w14:paraId="677B96A5" w14:textId="77777777" w:rsidR="00E8617E" w:rsidRPr="00BC513A" w:rsidRDefault="00E8617E" w:rsidP="00922731">
            <w:pPr>
              <w:pStyle w:val="DefaultText"/>
              <w:spacing w:before="60" w:after="60" w:line="240" w:lineRule="auto"/>
              <w:jc w:val="left"/>
              <w:rPr>
                <w:rFonts w:cs="Arial"/>
                <w:color w:val="808080" w:themeColor="background1" w:themeShade="80"/>
                <w:sz w:val="20"/>
                <w:szCs w:val="20"/>
                <w:shd w:val="clear" w:color="auto" w:fill="FFFFFF"/>
                <w:lang w:val="bg-BG"/>
              </w:rPr>
            </w:pPr>
            <w:r w:rsidRPr="00BC513A">
              <w:rPr>
                <w:rFonts w:cs="Arial"/>
                <w:color w:val="808080" w:themeColor="background1" w:themeShade="80"/>
                <w:sz w:val="20"/>
                <w:szCs w:val="20"/>
                <w:shd w:val="clear" w:color="auto" w:fill="FFFFFF"/>
                <w:lang w:val="bg-BG"/>
              </w:rPr>
              <w:t>-</w:t>
            </w:r>
          </w:p>
        </w:tc>
      </w:tr>
      <w:tr w:rsidR="00E8617E" w:rsidRPr="00BC513A" w14:paraId="20511727" w14:textId="77777777" w:rsidTr="00922731">
        <w:tc>
          <w:tcPr>
            <w:tcW w:w="1051" w:type="dxa"/>
            <w:vAlign w:val="center"/>
          </w:tcPr>
          <w:p w14:paraId="753022E4" w14:textId="77777777" w:rsidR="00E8617E" w:rsidRPr="00BC513A" w:rsidRDefault="00E8617E" w:rsidP="00922731">
            <w:pPr>
              <w:rPr>
                <w:rFonts w:ascii="Arial" w:hAnsi="Arial" w:cs="Arial"/>
                <w:color w:val="808080" w:themeColor="background1" w:themeShade="80"/>
                <w:sz w:val="20"/>
                <w:szCs w:val="20"/>
              </w:rPr>
            </w:pPr>
            <w:r w:rsidRPr="00BC513A">
              <w:rPr>
                <w:rFonts w:ascii="Arial" w:hAnsi="Arial" w:cs="Arial"/>
                <w:color w:val="808080" w:themeColor="background1" w:themeShade="80"/>
                <w:sz w:val="20"/>
                <w:szCs w:val="20"/>
              </w:rPr>
              <w:t>125</w:t>
            </w:r>
          </w:p>
        </w:tc>
        <w:tc>
          <w:tcPr>
            <w:tcW w:w="4903" w:type="dxa"/>
            <w:vAlign w:val="center"/>
          </w:tcPr>
          <w:p w14:paraId="52B785A1" w14:textId="77777777" w:rsidR="00E8617E" w:rsidRPr="00BC513A" w:rsidRDefault="00E8617E" w:rsidP="00922731">
            <w:pPr>
              <w:rPr>
                <w:rFonts w:ascii="Arial" w:hAnsi="Arial" w:cs="Arial"/>
                <w:color w:val="808080" w:themeColor="background1" w:themeShade="80"/>
                <w:sz w:val="20"/>
                <w:szCs w:val="20"/>
              </w:rPr>
            </w:pPr>
            <w:r w:rsidRPr="00BC513A">
              <w:rPr>
                <w:color w:val="808080" w:themeColor="background1" w:themeShade="80"/>
              </w:rPr>
              <w:t>Подобряване и развитие на инфраструктура, свързана с развитието и адаптирането на земеделието и горското стопанство</w:t>
            </w:r>
          </w:p>
        </w:tc>
        <w:tc>
          <w:tcPr>
            <w:tcW w:w="3106" w:type="dxa"/>
            <w:vAlign w:val="center"/>
          </w:tcPr>
          <w:p w14:paraId="658E549E" w14:textId="77777777" w:rsidR="00E8617E" w:rsidRPr="00BC513A" w:rsidRDefault="00E8617E" w:rsidP="00922731">
            <w:pPr>
              <w:pStyle w:val="DefaultText"/>
              <w:spacing w:before="60" w:after="60" w:line="240" w:lineRule="auto"/>
              <w:jc w:val="left"/>
              <w:rPr>
                <w:rFonts w:cs="Arial"/>
                <w:color w:val="808080" w:themeColor="background1" w:themeShade="80"/>
                <w:sz w:val="20"/>
                <w:szCs w:val="20"/>
                <w:shd w:val="clear" w:color="auto" w:fill="FFFFFF"/>
                <w:lang w:val="bg-BG"/>
              </w:rPr>
            </w:pPr>
            <w:r w:rsidRPr="00BC513A">
              <w:rPr>
                <w:rFonts w:cs="Arial"/>
                <w:color w:val="808080" w:themeColor="background1" w:themeShade="80"/>
                <w:sz w:val="20"/>
                <w:szCs w:val="20"/>
                <w:shd w:val="clear" w:color="auto" w:fill="FFFFFF"/>
                <w:lang w:val="bg-BG"/>
              </w:rPr>
              <w:t>-</w:t>
            </w:r>
          </w:p>
        </w:tc>
      </w:tr>
      <w:tr w:rsidR="00E8617E" w:rsidRPr="00BC513A" w14:paraId="7A09CA2A" w14:textId="77777777" w:rsidTr="00922731">
        <w:tc>
          <w:tcPr>
            <w:tcW w:w="1051" w:type="dxa"/>
            <w:vAlign w:val="center"/>
          </w:tcPr>
          <w:p w14:paraId="61F20044" w14:textId="77777777" w:rsidR="00E8617E" w:rsidRPr="00BC513A" w:rsidRDefault="00E8617E" w:rsidP="00922731">
            <w:pPr>
              <w:rPr>
                <w:rFonts w:ascii="Arial" w:hAnsi="Arial" w:cs="Arial"/>
                <w:color w:val="808080" w:themeColor="background1" w:themeShade="80"/>
                <w:sz w:val="20"/>
                <w:szCs w:val="20"/>
              </w:rPr>
            </w:pPr>
            <w:r w:rsidRPr="00BC513A">
              <w:rPr>
                <w:rFonts w:ascii="Arial" w:hAnsi="Arial" w:cs="Arial"/>
                <w:color w:val="808080" w:themeColor="background1" w:themeShade="80"/>
                <w:sz w:val="20"/>
                <w:szCs w:val="20"/>
              </w:rPr>
              <w:t>126</w:t>
            </w:r>
          </w:p>
        </w:tc>
        <w:tc>
          <w:tcPr>
            <w:tcW w:w="4903" w:type="dxa"/>
            <w:vAlign w:val="center"/>
          </w:tcPr>
          <w:p w14:paraId="1C012D63" w14:textId="77777777" w:rsidR="00E8617E" w:rsidRPr="00BC513A" w:rsidRDefault="00E8617E" w:rsidP="00922731">
            <w:pPr>
              <w:rPr>
                <w:rFonts w:ascii="Arial" w:hAnsi="Arial" w:cs="Arial"/>
                <w:color w:val="808080" w:themeColor="background1" w:themeShade="80"/>
                <w:sz w:val="20"/>
                <w:szCs w:val="20"/>
              </w:rPr>
            </w:pPr>
            <w:r w:rsidRPr="00BC513A">
              <w:rPr>
                <w:color w:val="808080" w:themeColor="background1" w:themeShade="80"/>
              </w:rPr>
              <w:t>Възстановяване на селскостопанския производствен потенциал, разрушен от природни бедствия и въвеждане на превантивни дейности</w:t>
            </w:r>
          </w:p>
        </w:tc>
        <w:tc>
          <w:tcPr>
            <w:tcW w:w="3106" w:type="dxa"/>
            <w:vAlign w:val="center"/>
          </w:tcPr>
          <w:p w14:paraId="7436EC07" w14:textId="77777777" w:rsidR="00E8617E" w:rsidRPr="00BC513A" w:rsidRDefault="00E8617E" w:rsidP="00922731">
            <w:pPr>
              <w:pStyle w:val="DefaultText"/>
              <w:spacing w:before="60" w:after="60" w:line="240" w:lineRule="auto"/>
              <w:jc w:val="left"/>
              <w:rPr>
                <w:rFonts w:cs="Arial"/>
                <w:color w:val="808080" w:themeColor="background1" w:themeShade="80"/>
                <w:sz w:val="20"/>
                <w:szCs w:val="20"/>
                <w:shd w:val="clear" w:color="auto" w:fill="FFFFFF"/>
                <w:lang w:val="bg-BG"/>
              </w:rPr>
            </w:pPr>
            <w:r w:rsidRPr="00BC513A">
              <w:rPr>
                <w:rFonts w:cs="Arial"/>
                <w:color w:val="808080" w:themeColor="background1" w:themeShade="80"/>
                <w:sz w:val="20"/>
                <w:szCs w:val="20"/>
                <w:shd w:val="clear" w:color="auto" w:fill="FFFFFF"/>
                <w:lang w:val="bg-BG"/>
              </w:rPr>
              <w:t>-</w:t>
            </w:r>
          </w:p>
        </w:tc>
      </w:tr>
      <w:tr w:rsidR="00E8617E" w:rsidRPr="00BC513A" w14:paraId="044511F1" w14:textId="77777777" w:rsidTr="00922731">
        <w:tc>
          <w:tcPr>
            <w:tcW w:w="1051" w:type="dxa"/>
            <w:vAlign w:val="center"/>
          </w:tcPr>
          <w:p w14:paraId="649DB6C0" w14:textId="77777777" w:rsidR="00E8617E" w:rsidRPr="00BC513A" w:rsidRDefault="00E8617E" w:rsidP="00922731">
            <w:pPr>
              <w:rPr>
                <w:rFonts w:ascii="Arial" w:hAnsi="Arial" w:cs="Arial"/>
                <w:sz w:val="20"/>
                <w:szCs w:val="20"/>
              </w:rPr>
            </w:pPr>
            <w:r w:rsidRPr="00BC513A">
              <w:rPr>
                <w:rFonts w:ascii="Arial" w:hAnsi="Arial" w:cs="Arial"/>
                <w:sz w:val="20"/>
                <w:szCs w:val="20"/>
              </w:rPr>
              <w:t>141</w:t>
            </w:r>
          </w:p>
        </w:tc>
        <w:tc>
          <w:tcPr>
            <w:tcW w:w="4903" w:type="dxa"/>
            <w:vAlign w:val="center"/>
          </w:tcPr>
          <w:p w14:paraId="1178C995" w14:textId="77777777" w:rsidR="00E8617E" w:rsidRPr="00BC513A" w:rsidRDefault="00E8617E" w:rsidP="00922731">
            <w:pPr>
              <w:rPr>
                <w:rFonts w:ascii="Arial" w:hAnsi="Arial" w:cs="Arial"/>
                <w:color w:val="333333"/>
                <w:sz w:val="20"/>
                <w:szCs w:val="20"/>
              </w:rPr>
            </w:pPr>
            <w:r w:rsidRPr="00BC513A">
              <w:rPr>
                <w:rFonts w:ascii="Arial" w:hAnsi="Arial" w:cs="Arial"/>
                <w:color w:val="333333"/>
                <w:sz w:val="20"/>
                <w:szCs w:val="20"/>
              </w:rPr>
              <w:t>Подпомагане на полупазарни стопанства в процес на преструктуриране</w:t>
            </w:r>
          </w:p>
        </w:tc>
        <w:tc>
          <w:tcPr>
            <w:tcW w:w="3106" w:type="dxa"/>
            <w:vAlign w:val="center"/>
          </w:tcPr>
          <w:p w14:paraId="61DA06D5" w14:textId="77777777" w:rsidR="00E8617E" w:rsidRPr="00BC513A" w:rsidRDefault="00E8617E" w:rsidP="00922731">
            <w:pPr>
              <w:pStyle w:val="DefaultText"/>
              <w:spacing w:before="60" w:after="60" w:line="240" w:lineRule="auto"/>
              <w:jc w:val="left"/>
              <w:rPr>
                <w:rFonts w:cs="Arial"/>
                <w:color w:val="000000"/>
                <w:sz w:val="20"/>
                <w:szCs w:val="20"/>
                <w:shd w:val="clear" w:color="auto" w:fill="FFFFFF"/>
                <w:lang w:val="bg-BG"/>
              </w:rPr>
            </w:pPr>
            <w:r w:rsidRPr="00BC513A">
              <w:rPr>
                <w:rFonts w:cs="Arial"/>
                <w:color w:val="000000"/>
                <w:sz w:val="20"/>
                <w:szCs w:val="20"/>
                <w:shd w:val="clear" w:color="auto" w:fill="FFFFFF"/>
                <w:lang w:val="bg-BG"/>
              </w:rPr>
              <w:t>Наредба № 28 от 5.08.2008</w:t>
            </w:r>
          </w:p>
        </w:tc>
      </w:tr>
      <w:tr w:rsidR="00E8617E" w:rsidRPr="00BC513A" w14:paraId="3B1354B5" w14:textId="77777777" w:rsidTr="00922731">
        <w:tc>
          <w:tcPr>
            <w:tcW w:w="1051" w:type="dxa"/>
            <w:vAlign w:val="center"/>
          </w:tcPr>
          <w:p w14:paraId="68CE07FD" w14:textId="77777777" w:rsidR="00E8617E" w:rsidRPr="00BC513A" w:rsidRDefault="00E8617E" w:rsidP="00922731">
            <w:pPr>
              <w:rPr>
                <w:rFonts w:ascii="Arial" w:hAnsi="Arial" w:cs="Arial"/>
                <w:sz w:val="20"/>
                <w:szCs w:val="20"/>
              </w:rPr>
            </w:pPr>
            <w:r w:rsidRPr="00BC513A">
              <w:rPr>
                <w:rFonts w:ascii="Arial" w:hAnsi="Arial" w:cs="Arial"/>
                <w:sz w:val="20"/>
                <w:szCs w:val="20"/>
              </w:rPr>
              <w:t>142</w:t>
            </w:r>
          </w:p>
        </w:tc>
        <w:tc>
          <w:tcPr>
            <w:tcW w:w="4903" w:type="dxa"/>
            <w:vAlign w:val="center"/>
          </w:tcPr>
          <w:p w14:paraId="43157304" w14:textId="77777777" w:rsidR="00E8617E" w:rsidRPr="00BC513A" w:rsidRDefault="00E8617E" w:rsidP="00922731">
            <w:pPr>
              <w:rPr>
                <w:rFonts w:ascii="Arial" w:hAnsi="Arial" w:cs="Arial"/>
                <w:color w:val="333333"/>
                <w:sz w:val="20"/>
                <w:szCs w:val="20"/>
              </w:rPr>
            </w:pPr>
            <w:r w:rsidRPr="00BC513A">
              <w:rPr>
                <w:rFonts w:ascii="Arial" w:hAnsi="Arial" w:cs="Arial"/>
                <w:color w:val="333333"/>
                <w:sz w:val="20"/>
                <w:szCs w:val="20"/>
              </w:rPr>
              <w:t>Създаване на организации на производители</w:t>
            </w:r>
          </w:p>
        </w:tc>
        <w:tc>
          <w:tcPr>
            <w:tcW w:w="3106" w:type="dxa"/>
            <w:vAlign w:val="center"/>
          </w:tcPr>
          <w:p w14:paraId="28EA2ED4" w14:textId="77777777" w:rsidR="00E8617E" w:rsidRPr="00BC513A" w:rsidRDefault="00E8617E" w:rsidP="00922731">
            <w:pPr>
              <w:pStyle w:val="DefaultText"/>
              <w:spacing w:before="60" w:after="60" w:line="240" w:lineRule="auto"/>
              <w:jc w:val="left"/>
              <w:rPr>
                <w:rFonts w:cs="Arial"/>
                <w:color w:val="000000"/>
                <w:sz w:val="20"/>
                <w:szCs w:val="20"/>
                <w:shd w:val="clear" w:color="auto" w:fill="FFFFFF"/>
                <w:lang w:val="bg-BG"/>
              </w:rPr>
            </w:pPr>
            <w:r w:rsidRPr="00BC513A">
              <w:rPr>
                <w:rFonts w:cs="Arial"/>
                <w:color w:val="000000"/>
                <w:sz w:val="20"/>
                <w:szCs w:val="20"/>
                <w:shd w:val="clear" w:color="auto" w:fill="FFFFFF"/>
                <w:lang w:val="bg-BG"/>
              </w:rPr>
              <w:t>Наредба № 27 от 5.08.2008</w:t>
            </w:r>
          </w:p>
        </w:tc>
      </w:tr>
      <w:tr w:rsidR="00E8617E" w:rsidRPr="00BC513A" w14:paraId="25E1E3A0" w14:textId="77777777" w:rsidTr="00922731">
        <w:tc>
          <w:tcPr>
            <w:tcW w:w="1051" w:type="dxa"/>
            <w:vAlign w:val="center"/>
          </w:tcPr>
          <w:p w14:paraId="6FA5677D" w14:textId="77777777" w:rsidR="00E8617E" w:rsidRPr="00BC513A" w:rsidRDefault="00E8617E" w:rsidP="00922731">
            <w:pPr>
              <w:rPr>
                <w:rFonts w:ascii="Arial" w:hAnsi="Arial" w:cs="Arial"/>
                <w:sz w:val="20"/>
                <w:szCs w:val="20"/>
              </w:rPr>
            </w:pPr>
            <w:r w:rsidRPr="00BC513A">
              <w:rPr>
                <w:rFonts w:ascii="Arial" w:hAnsi="Arial" w:cs="Arial"/>
                <w:sz w:val="20"/>
                <w:szCs w:val="20"/>
              </w:rPr>
              <w:t>143</w:t>
            </w:r>
          </w:p>
        </w:tc>
        <w:tc>
          <w:tcPr>
            <w:tcW w:w="4903" w:type="dxa"/>
            <w:vAlign w:val="center"/>
          </w:tcPr>
          <w:p w14:paraId="3780080B" w14:textId="77777777" w:rsidR="00E8617E" w:rsidRPr="00BC513A" w:rsidRDefault="00E8617E" w:rsidP="00922731">
            <w:pPr>
              <w:rPr>
                <w:rFonts w:ascii="Arial" w:hAnsi="Arial" w:cs="Arial"/>
                <w:color w:val="333333"/>
                <w:sz w:val="20"/>
                <w:szCs w:val="20"/>
              </w:rPr>
            </w:pPr>
            <w:r w:rsidRPr="00BC513A">
              <w:rPr>
                <w:rFonts w:ascii="Arial" w:hAnsi="Arial" w:cs="Arial"/>
                <w:color w:val="333333"/>
                <w:sz w:val="20"/>
                <w:szCs w:val="20"/>
              </w:rPr>
              <w:t>Предоставяне на съвети и консултиране в земеделието в България и Румъния</w:t>
            </w:r>
          </w:p>
        </w:tc>
        <w:tc>
          <w:tcPr>
            <w:tcW w:w="3106" w:type="dxa"/>
            <w:vAlign w:val="center"/>
          </w:tcPr>
          <w:p w14:paraId="45C15B8C" w14:textId="77777777" w:rsidR="00E8617E" w:rsidRPr="00BC513A" w:rsidRDefault="00E8617E" w:rsidP="00922731">
            <w:pPr>
              <w:pStyle w:val="DefaultText"/>
              <w:spacing w:before="60" w:after="60" w:line="240" w:lineRule="auto"/>
              <w:jc w:val="left"/>
              <w:rPr>
                <w:rFonts w:cs="Arial"/>
                <w:color w:val="000000"/>
                <w:sz w:val="20"/>
                <w:szCs w:val="20"/>
                <w:shd w:val="clear" w:color="auto" w:fill="FFFFFF"/>
                <w:lang w:val="bg-BG"/>
              </w:rPr>
            </w:pPr>
            <w:r w:rsidRPr="00BC513A">
              <w:rPr>
                <w:rFonts w:cs="Arial"/>
                <w:color w:val="000000"/>
                <w:sz w:val="20"/>
                <w:szCs w:val="20"/>
                <w:shd w:val="clear" w:color="auto" w:fill="FFFFFF"/>
                <w:lang w:val="bg-BG"/>
              </w:rPr>
              <w:t>Наредба № 10 от 3.04.2008</w:t>
            </w:r>
          </w:p>
        </w:tc>
      </w:tr>
    </w:tbl>
    <w:p w14:paraId="65E63BD4" w14:textId="77777777" w:rsidR="00E8617E" w:rsidRPr="00BC513A" w:rsidRDefault="00E8617E" w:rsidP="00E8617E">
      <w:pPr>
        <w:pStyle w:val="DefaultText"/>
        <w:spacing w:after="120" w:line="300" w:lineRule="atLeast"/>
        <w:ind w:firstLine="708"/>
        <w:rPr>
          <w:sz w:val="22"/>
          <w:szCs w:val="22"/>
          <w:lang w:val="bg-BG"/>
        </w:rPr>
      </w:pPr>
    </w:p>
    <w:tbl>
      <w:tblPr>
        <w:tblW w:w="0" w:type="auto"/>
        <w:tblInd w:w="-5" w:type="dxa"/>
        <w:tblLook w:val="04A0" w:firstRow="1" w:lastRow="0" w:firstColumn="1" w:lastColumn="0" w:noHBand="0" w:noVBand="1"/>
      </w:tblPr>
      <w:tblGrid>
        <w:gridCol w:w="9060"/>
      </w:tblGrid>
      <w:tr w:rsidR="00E8617E" w:rsidRPr="00BC513A" w14:paraId="1AB735E5" w14:textId="77777777" w:rsidTr="00922731">
        <w:tc>
          <w:tcPr>
            <w:tcW w:w="9060" w:type="dxa"/>
            <w:shd w:val="clear" w:color="auto" w:fill="ECF3FA"/>
          </w:tcPr>
          <w:p w14:paraId="4C921187" w14:textId="26EEFD56" w:rsidR="00E8617E" w:rsidRPr="00BC513A" w:rsidRDefault="00E8617E" w:rsidP="00AB2B2B">
            <w:pPr>
              <w:pStyle w:val="DefaultText"/>
              <w:keepNext/>
              <w:shd w:val="clear" w:color="auto" w:fill="ECF3FA"/>
              <w:spacing w:after="120" w:line="300" w:lineRule="atLeast"/>
              <w:rPr>
                <w:sz w:val="22"/>
                <w:szCs w:val="22"/>
                <w:lang w:val="bg-BG"/>
              </w:rPr>
            </w:pPr>
            <w:r w:rsidRPr="00BC513A">
              <w:rPr>
                <w:rFonts w:cs="Arial"/>
                <w:b/>
                <w:color w:val="000000"/>
                <w:sz w:val="22"/>
                <w:szCs w:val="22"/>
                <w:shd w:val="clear" w:color="auto" w:fill="ECF3FA"/>
                <w:lang w:val="bg-BG"/>
              </w:rPr>
              <w:t>О</w:t>
            </w:r>
            <w:r w:rsidR="00AB2B2B">
              <w:rPr>
                <w:rFonts w:cs="Arial"/>
                <w:b/>
                <w:color w:val="000000"/>
                <w:sz w:val="22"/>
                <w:szCs w:val="22"/>
                <w:shd w:val="clear" w:color="auto" w:fill="ECF3FA"/>
                <w:lang w:val="bg-BG"/>
              </w:rPr>
              <w:t>с</w:t>
            </w:r>
            <w:r w:rsidRPr="00BC513A">
              <w:rPr>
                <w:rFonts w:cs="Arial"/>
                <w:b/>
                <w:color w:val="000000"/>
                <w:sz w:val="22"/>
                <w:szCs w:val="22"/>
                <w:shd w:val="clear" w:color="auto" w:fill="ECF3FA"/>
                <w:lang w:val="bg-BG"/>
              </w:rPr>
              <w:t xml:space="preserve"> 2: Подобряване на околната среда и природата</w:t>
            </w:r>
            <w:r w:rsidRPr="00BC513A">
              <w:rPr>
                <w:rFonts w:cs="Arial"/>
                <w:b/>
                <w:color w:val="000000"/>
                <w:sz w:val="22"/>
                <w:szCs w:val="22"/>
                <w:shd w:val="clear" w:color="auto" w:fill="FFFFFF"/>
                <w:lang w:val="bg-BG"/>
              </w:rPr>
              <w:t xml:space="preserve"> </w:t>
            </w:r>
          </w:p>
        </w:tc>
      </w:tr>
    </w:tbl>
    <w:p w14:paraId="019B6178" w14:textId="427A9A12"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В ос 2 са включени общо 7 мерки, както е представено в таблицата по-долу. Една от тях (224) не е приложена. Средствата по мярката не са усвоени. Директните плащания по Натура 2000 (мярка 213) стартират през 2011</w:t>
      </w:r>
      <w:r w:rsidR="002C702E">
        <w:rPr>
          <w:sz w:val="22"/>
          <w:szCs w:val="22"/>
          <w:lang w:val="bg-BG"/>
        </w:rPr>
        <w:t>,</w:t>
      </w:r>
      <w:r w:rsidRPr="00BC513A">
        <w:rPr>
          <w:sz w:val="22"/>
          <w:szCs w:val="22"/>
          <w:lang w:val="bg-BG"/>
        </w:rPr>
        <w:t xml:space="preserve"> като са осъществени чрез мярка 214 чрез прехвърляне на бюджета на мярка 213 към мярка 214.</w:t>
      </w:r>
    </w:p>
    <w:p w14:paraId="40F6F2D0"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43" w:name="_Toc504136174"/>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2</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Мерки в обхвата на ос 2</w:t>
      </w:r>
      <w:bookmarkEnd w:id="43"/>
    </w:p>
    <w:tbl>
      <w:tblPr>
        <w:tblW w:w="0" w:type="auto"/>
        <w:tblLook w:val="04A0" w:firstRow="1" w:lastRow="0" w:firstColumn="1" w:lastColumn="0" w:noHBand="0" w:noVBand="1"/>
      </w:tblPr>
      <w:tblGrid>
        <w:gridCol w:w="1051"/>
        <w:gridCol w:w="4189"/>
        <w:gridCol w:w="3820"/>
      </w:tblGrid>
      <w:tr w:rsidR="00E8617E" w:rsidRPr="00BC513A" w14:paraId="7AC747DF" w14:textId="77777777" w:rsidTr="00922731">
        <w:tc>
          <w:tcPr>
            <w:tcW w:w="1051" w:type="dxa"/>
            <w:shd w:val="clear" w:color="auto" w:fill="1F4E79" w:themeFill="accent1" w:themeFillShade="80"/>
          </w:tcPr>
          <w:p w14:paraId="5CCDF492"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Код на мярката</w:t>
            </w:r>
          </w:p>
        </w:tc>
        <w:tc>
          <w:tcPr>
            <w:tcW w:w="4189" w:type="dxa"/>
            <w:shd w:val="clear" w:color="auto" w:fill="1F4E79" w:themeFill="accent1" w:themeFillShade="80"/>
          </w:tcPr>
          <w:p w14:paraId="642C76A1"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Наименование</w:t>
            </w:r>
          </w:p>
        </w:tc>
        <w:tc>
          <w:tcPr>
            <w:tcW w:w="3820" w:type="dxa"/>
            <w:shd w:val="clear" w:color="auto" w:fill="1F4E79" w:themeFill="accent1" w:themeFillShade="80"/>
          </w:tcPr>
          <w:p w14:paraId="18CFE66B"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Прилагаща наредба</w:t>
            </w:r>
          </w:p>
        </w:tc>
      </w:tr>
      <w:tr w:rsidR="00E8617E" w:rsidRPr="00BC513A" w14:paraId="6F1C7712" w14:textId="77777777" w:rsidTr="00922731">
        <w:tc>
          <w:tcPr>
            <w:tcW w:w="1051" w:type="dxa"/>
            <w:vAlign w:val="center"/>
          </w:tcPr>
          <w:p w14:paraId="4A1D2E45" w14:textId="77777777" w:rsidR="00E8617E" w:rsidRPr="00BC513A" w:rsidRDefault="00E8617E" w:rsidP="00922731">
            <w:pPr>
              <w:rPr>
                <w:rFonts w:ascii="Arial" w:hAnsi="Arial" w:cs="Arial"/>
                <w:sz w:val="20"/>
                <w:szCs w:val="20"/>
              </w:rPr>
            </w:pPr>
            <w:r w:rsidRPr="00BC513A">
              <w:rPr>
                <w:rFonts w:ascii="Arial" w:hAnsi="Arial" w:cs="Arial"/>
                <w:sz w:val="20"/>
                <w:szCs w:val="20"/>
              </w:rPr>
              <w:t>211</w:t>
            </w:r>
          </w:p>
        </w:tc>
        <w:tc>
          <w:tcPr>
            <w:tcW w:w="4189" w:type="dxa"/>
            <w:vAlign w:val="center"/>
          </w:tcPr>
          <w:p w14:paraId="5C84FB6F" w14:textId="77777777" w:rsidR="00E8617E" w:rsidRPr="00BC513A" w:rsidRDefault="00E8617E" w:rsidP="00922731">
            <w:pPr>
              <w:rPr>
                <w:rFonts w:ascii="Arial" w:hAnsi="Arial" w:cs="Arial"/>
                <w:bCs/>
                <w:color w:val="333333"/>
                <w:sz w:val="20"/>
                <w:szCs w:val="20"/>
              </w:rPr>
            </w:pPr>
            <w:r w:rsidRPr="00BC513A">
              <w:rPr>
                <w:rFonts w:ascii="Arial" w:hAnsi="Arial" w:cs="Arial"/>
                <w:bCs/>
                <w:color w:val="333333"/>
                <w:sz w:val="20"/>
                <w:szCs w:val="20"/>
              </w:rPr>
              <w:t>Плащания на земеделски стопани за природни ограничения в планинските райони</w:t>
            </w:r>
          </w:p>
        </w:tc>
        <w:tc>
          <w:tcPr>
            <w:tcW w:w="3820" w:type="dxa"/>
            <w:vAlign w:val="center"/>
          </w:tcPr>
          <w:p w14:paraId="74AEC084"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11 от 3.04.2008, обн., ДВ, бр. 40 от 18.04.2008 г., изм. и доп., бр. 97 от 8.12.2009 </w:t>
            </w:r>
          </w:p>
        </w:tc>
      </w:tr>
      <w:tr w:rsidR="00E8617E" w:rsidRPr="00BC513A" w14:paraId="34BA7951" w14:textId="77777777" w:rsidTr="00922731">
        <w:tc>
          <w:tcPr>
            <w:tcW w:w="1051" w:type="dxa"/>
            <w:vAlign w:val="center"/>
          </w:tcPr>
          <w:p w14:paraId="3210D5C4" w14:textId="77777777" w:rsidR="00E8617E" w:rsidRPr="00BC513A" w:rsidRDefault="00E8617E" w:rsidP="00922731">
            <w:pPr>
              <w:rPr>
                <w:rFonts w:ascii="Arial" w:hAnsi="Arial" w:cs="Arial"/>
                <w:sz w:val="20"/>
                <w:szCs w:val="20"/>
              </w:rPr>
            </w:pPr>
            <w:r w:rsidRPr="00BC513A">
              <w:rPr>
                <w:rFonts w:ascii="Arial" w:hAnsi="Arial" w:cs="Arial"/>
                <w:sz w:val="20"/>
                <w:szCs w:val="20"/>
              </w:rPr>
              <w:t>212</w:t>
            </w:r>
          </w:p>
        </w:tc>
        <w:tc>
          <w:tcPr>
            <w:tcW w:w="4189" w:type="dxa"/>
            <w:vAlign w:val="center"/>
          </w:tcPr>
          <w:p w14:paraId="4AE58D27" w14:textId="77777777" w:rsidR="00E8617E" w:rsidRPr="00BC513A" w:rsidRDefault="00E8617E" w:rsidP="00922731">
            <w:pPr>
              <w:rPr>
                <w:rFonts w:ascii="Arial" w:hAnsi="Arial" w:cs="Arial"/>
                <w:bCs/>
                <w:color w:val="333333"/>
                <w:sz w:val="20"/>
                <w:szCs w:val="20"/>
              </w:rPr>
            </w:pPr>
            <w:r w:rsidRPr="00BC513A">
              <w:rPr>
                <w:rFonts w:ascii="Arial" w:hAnsi="Arial" w:cs="Arial"/>
                <w:bCs/>
                <w:color w:val="333333"/>
                <w:sz w:val="20"/>
                <w:szCs w:val="20"/>
              </w:rPr>
              <w:t>Плащания на земеделски стопани в райони с ограничения, различни от планинските райони</w:t>
            </w:r>
          </w:p>
        </w:tc>
        <w:tc>
          <w:tcPr>
            <w:tcW w:w="3820" w:type="dxa"/>
            <w:vAlign w:val="center"/>
          </w:tcPr>
          <w:p w14:paraId="6364FFE9"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11 от 3.04.2008, обн., ДВ, бр. 40 от 18.04.2008 г., изм. и доп., бр. 97 от 8.12.2009 </w:t>
            </w:r>
          </w:p>
        </w:tc>
      </w:tr>
      <w:tr w:rsidR="00E8617E" w:rsidRPr="00BC513A" w14:paraId="2330C8A1" w14:textId="77777777" w:rsidTr="00922731">
        <w:tc>
          <w:tcPr>
            <w:tcW w:w="1051" w:type="dxa"/>
            <w:vAlign w:val="center"/>
          </w:tcPr>
          <w:p w14:paraId="70CCF2F0" w14:textId="77777777" w:rsidR="00E8617E" w:rsidRPr="00BC513A" w:rsidRDefault="00E8617E" w:rsidP="00922731">
            <w:pPr>
              <w:rPr>
                <w:rFonts w:ascii="Arial" w:hAnsi="Arial" w:cs="Arial"/>
                <w:sz w:val="20"/>
                <w:szCs w:val="20"/>
              </w:rPr>
            </w:pPr>
            <w:r w:rsidRPr="00BC513A">
              <w:rPr>
                <w:rFonts w:ascii="Arial" w:hAnsi="Arial" w:cs="Arial"/>
                <w:sz w:val="20"/>
                <w:szCs w:val="20"/>
              </w:rPr>
              <w:t>213</w:t>
            </w:r>
          </w:p>
        </w:tc>
        <w:tc>
          <w:tcPr>
            <w:tcW w:w="4189" w:type="dxa"/>
            <w:vAlign w:val="center"/>
          </w:tcPr>
          <w:p w14:paraId="0190CB37" w14:textId="77777777" w:rsidR="00E8617E" w:rsidRPr="00BC513A" w:rsidRDefault="00E8617E" w:rsidP="00922731">
            <w:pPr>
              <w:rPr>
                <w:rFonts w:ascii="Arial" w:hAnsi="Arial" w:cs="Arial"/>
                <w:bCs/>
                <w:color w:val="333333"/>
                <w:sz w:val="20"/>
                <w:szCs w:val="20"/>
              </w:rPr>
            </w:pPr>
            <w:r w:rsidRPr="00BC513A">
              <w:rPr>
                <w:rFonts w:ascii="Arial" w:hAnsi="Arial" w:cs="Arial"/>
                <w:bCs/>
                <w:color w:val="333333"/>
                <w:sz w:val="20"/>
                <w:szCs w:val="20"/>
              </w:rPr>
              <w:t>Плащания по Натура 2000</w:t>
            </w:r>
          </w:p>
        </w:tc>
        <w:tc>
          <w:tcPr>
            <w:tcW w:w="3820" w:type="dxa"/>
            <w:vAlign w:val="center"/>
          </w:tcPr>
          <w:p w14:paraId="2AD0B15B"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3 ОТ 23 февруари 2011 г</w:t>
            </w:r>
            <w:r w:rsidRPr="00BC513A" w:rsidDel="00460748">
              <w:rPr>
                <w:rFonts w:cs="Arial"/>
                <w:sz w:val="20"/>
                <w:szCs w:val="20"/>
                <w:lang w:val="bg-BG"/>
              </w:rPr>
              <w:t xml:space="preserve"> </w:t>
            </w:r>
            <w:r w:rsidRPr="00BC513A">
              <w:rPr>
                <w:rFonts w:cs="Arial"/>
                <w:sz w:val="20"/>
                <w:szCs w:val="20"/>
                <w:lang w:val="bg-BG"/>
              </w:rPr>
              <w:t>Обн. ДВ. бр.18 от 1 Март 2011г</w:t>
            </w:r>
            <w:r w:rsidRPr="00BC513A" w:rsidDel="00460748">
              <w:rPr>
                <w:rFonts w:cs="Arial"/>
                <w:sz w:val="20"/>
                <w:szCs w:val="20"/>
                <w:lang w:val="bg-BG"/>
              </w:rPr>
              <w:t xml:space="preserve"> </w:t>
            </w:r>
            <w:r w:rsidRPr="00BC513A">
              <w:rPr>
                <w:rFonts w:cs="Arial"/>
                <w:sz w:val="20"/>
                <w:szCs w:val="20"/>
                <w:lang w:val="bg-BG"/>
              </w:rPr>
              <w:t>доп. ДВ. бр.59 от 18 Юли 2014 г.</w:t>
            </w:r>
          </w:p>
        </w:tc>
      </w:tr>
      <w:tr w:rsidR="00E8617E" w:rsidRPr="00BC513A" w14:paraId="05B8775D" w14:textId="77777777" w:rsidTr="00922731">
        <w:tc>
          <w:tcPr>
            <w:tcW w:w="1051" w:type="dxa"/>
            <w:vAlign w:val="center"/>
          </w:tcPr>
          <w:p w14:paraId="218D7BEE" w14:textId="77777777" w:rsidR="00E8617E" w:rsidRPr="00BC513A" w:rsidRDefault="00E8617E" w:rsidP="00922731">
            <w:pPr>
              <w:rPr>
                <w:rFonts w:ascii="Arial" w:hAnsi="Arial" w:cs="Arial"/>
                <w:sz w:val="20"/>
                <w:szCs w:val="20"/>
              </w:rPr>
            </w:pPr>
            <w:r w:rsidRPr="00BC513A">
              <w:rPr>
                <w:rFonts w:ascii="Arial" w:hAnsi="Arial" w:cs="Arial"/>
                <w:sz w:val="20"/>
                <w:szCs w:val="20"/>
              </w:rPr>
              <w:t>214</w:t>
            </w:r>
          </w:p>
        </w:tc>
        <w:tc>
          <w:tcPr>
            <w:tcW w:w="4189" w:type="dxa"/>
            <w:vAlign w:val="center"/>
          </w:tcPr>
          <w:p w14:paraId="4BD81477" w14:textId="77777777" w:rsidR="00E8617E" w:rsidRPr="00BC513A" w:rsidRDefault="00E8617E" w:rsidP="00922731">
            <w:pPr>
              <w:rPr>
                <w:rFonts w:ascii="Arial" w:hAnsi="Arial" w:cs="Arial"/>
                <w:bCs/>
                <w:color w:val="333333"/>
                <w:sz w:val="20"/>
                <w:szCs w:val="20"/>
              </w:rPr>
            </w:pPr>
            <w:r w:rsidRPr="00BC513A">
              <w:rPr>
                <w:rFonts w:ascii="Arial" w:hAnsi="Arial" w:cs="Arial"/>
                <w:bCs/>
                <w:color w:val="333333"/>
                <w:sz w:val="20"/>
                <w:szCs w:val="20"/>
              </w:rPr>
              <w:t>Агроекологични плащания</w:t>
            </w:r>
          </w:p>
        </w:tc>
        <w:tc>
          <w:tcPr>
            <w:tcW w:w="3820" w:type="dxa"/>
            <w:vAlign w:val="center"/>
          </w:tcPr>
          <w:p w14:paraId="3B9607DD"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11 от 6.04.2009 г.</w:t>
            </w:r>
          </w:p>
        </w:tc>
      </w:tr>
      <w:tr w:rsidR="00E8617E" w:rsidRPr="00BC513A" w14:paraId="6C1526E3" w14:textId="77777777" w:rsidTr="00922731">
        <w:tc>
          <w:tcPr>
            <w:tcW w:w="1051" w:type="dxa"/>
            <w:vAlign w:val="center"/>
          </w:tcPr>
          <w:p w14:paraId="10C7E89B" w14:textId="77777777" w:rsidR="00E8617E" w:rsidRPr="00BC513A" w:rsidRDefault="00E8617E" w:rsidP="00922731">
            <w:pPr>
              <w:rPr>
                <w:rFonts w:ascii="Arial" w:hAnsi="Arial" w:cs="Arial"/>
                <w:sz w:val="20"/>
                <w:szCs w:val="20"/>
              </w:rPr>
            </w:pPr>
            <w:r w:rsidRPr="00BC513A">
              <w:rPr>
                <w:rFonts w:ascii="Arial" w:hAnsi="Arial" w:cs="Arial"/>
                <w:sz w:val="20"/>
                <w:szCs w:val="20"/>
              </w:rPr>
              <w:t>223</w:t>
            </w:r>
          </w:p>
        </w:tc>
        <w:tc>
          <w:tcPr>
            <w:tcW w:w="4189" w:type="dxa"/>
            <w:vAlign w:val="center"/>
          </w:tcPr>
          <w:p w14:paraId="6033302A" w14:textId="77777777" w:rsidR="00E8617E" w:rsidRPr="00BC513A" w:rsidRDefault="00E8617E" w:rsidP="00922731">
            <w:pPr>
              <w:rPr>
                <w:rFonts w:ascii="Arial" w:hAnsi="Arial" w:cs="Arial"/>
                <w:bCs/>
                <w:color w:val="333333"/>
                <w:sz w:val="20"/>
                <w:szCs w:val="20"/>
              </w:rPr>
            </w:pPr>
            <w:r w:rsidRPr="00BC513A">
              <w:rPr>
                <w:rFonts w:ascii="Arial" w:hAnsi="Arial" w:cs="Arial"/>
                <w:bCs/>
                <w:color w:val="333333"/>
                <w:sz w:val="20"/>
                <w:szCs w:val="20"/>
              </w:rPr>
              <w:t>Първоначално залесяване на неземеделски земи</w:t>
            </w:r>
          </w:p>
        </w:tc>
        <w:tc>
          <w:tcPr>
            <w:tcW w:w="3820" w:type="dxa"/>
            <w:vAlign w:val="center"/>
          </w:tcPr>
          <w:p w14:paraId="26CB9B65"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22 от 07.07.2008 г.</w:t>
            </w:r>
          </w:p>
        </w:tc>
      </w:tr>
      <w:tr w:rsidR="00E8617E" w:rsidRPr="00BC513A" w14:paraId="2925CE30" w14:textId="77777777" w:rsidTr="00922731">
        <w:tc>
          <w:tcPr>
            <w:tcW w:w="1051" w:type="dxa"/>
            <w:vAlign w:val="center"/>
          </w:tcPr>
          <w:p w14:paraId="0281D153" w14:textId="77777777" w:rsidR="00E8617E" w:rsidRPr="00BC513A" w:rsidRDefault="00E8617E" w:rsidP="00922731">
            <w:pPr>
              <w:rPr>
                <w:rFonts w:ascii="Arial" w:hAnsi="Arial" w:cs="Arial"/>
                <w:bCs/>
                <w:color w:val="808080" w:themeColor="background1" w:themeShade="80"/>
                <w:sz w:val="20"/>
                <w:szCs w:val="20"/>
              </w:rPr>
            </w:pPr>
            <w:r w:rsidRPr="00BC513A">
              <w:rPr>
                <w:rFonts w:ascii="Arial" w:hAnsi="Arial" w:cs="Arial"/>
                <w:bCs/>
                <w:color w:val="808080" w:themeColor="background1" w:themeShade="80"/>
                <w:sz w:val="20"/>
                <w:szCs w:val="20"/>
              </w:rPr>
              <w:t>224</w:t>
            </w:r>
          </w:p>
        </w:tc>
        <w:tc>
          <w:tcPr>
            <w:tcW w:w="4189" w:type="dxa"/>
            <w:vAlign w:val="center"/>
          </w:tcPr>
          <w:p w14:paraId="4947FE32" w14:textId="77777777" w:rsidR="00E8617E" w:rsidRPr="00BC513A" w:rsidRDefault="00E8617E" w:rsidP="00922731">
            <w:pPr>
              <w:rPr>
                <w:rFonts w:ascii="Arial" w:hAnsi="Arial" w:cs="Arial"/>
                <w:bCs/>
                <w:color w:val="808080" w:themeColor="background1" w:themeShade="80"/>
                <w:sz w:val="20"/>
                <w:szCs w:val="20"/>
              </w:rPr>
            </w:pPr>
            <w:r w:rsidRPr="00BC513A">
              <w:rPr>
                <w:rFonts w:ascii="Arial" w:hAnsi="Arial" w:cs="Arial"/>
                <w:bCs/>
                <w:color w:val="808080" w:themeColor="background1" w:themeShade="80"/>
                <w:sz w:val="20"/>
                <w:szCs w:val="20"/>
              </w:rPr>
              <w:t>Плащания по Натура 2000 - за гори</w:t>
            </w:r>
          </w:p>
        </w:tc>
        <w:tc>
          <w:tcPr>
            <w:tcW w:w="3820" w:type="dxa"/>
            <w:vAlign w:val="center"/>
          </w:tcPr>
          <w:p w14:paraId="69EFA1F9" w14:textId="77777777" w:rsidR="00E8617E" w:rsidRPr="00BC513A" w:rsidRDefault="00E8617E" w:rsidP="00922731">
            <w:pPr>
              <w:pStyle w:val="DefaultText"/>
              <w:spacing w:before="60" w:after="60" w:line="240" w:lineRule="auto"/>
              <w:jc w:val="left"/>
              <w:rPr>
                <w:rFonts w:cs="Arial"/>
                <w:color w:val="808080" w:themeColor="background1" w:themeShade="80"/>
                <w:sz w:val="20"/>
                <w:szCs w:val="20"/>
                <w:lang w:val="bg-BG"/>
              </w:rPr>
            </w:pPr>
            <w:r w:rsidRPr="00BC513A">
              <w:rPr>
                <w:rFonts w:cs="Arial"/>
                <w:color w:val="808080" w:themeColor="background1" w:themeShade="80"/>
                <w:sz w:val="20"/>
                <w:szCs w:val="20"/>
                <w:lang w:val="bg-BG"/>
              </w:rPr>
              <w:t>-</w:t>
            </w:r>
          </w:p>
        </w:tc>
      </w:tr>
      <w:tr w:rsidR="00E8617E" w:rsidRPr="00BC513A" w14:paraId="7DF61840" w14:textId="77777777" w:rsidTr="00922731">
        <w:tc>
          <w:tcPr>
            <w:tcW w:w="1051" w:type="dxa"/>
            <w:vAlign w:val="center"/>
          </w:tcPr>
          <w:p w14:paraId="2A63BD2A" w14:textId="77777777" w:rsidR="00E8617E" w:rsidRPr="00BC513A" w:rsidRDefault="00E8617E" w:rsidP="00922731">
            <w:pPr>
              <w:rPr>
                <w:rFonts w:ascii="Arial" w:hAnsi="Arial" w:cs="Arial"/>
                <w:sz w:val="20"/>
                <w:szCs w:val="20"/>
              </w:rPr>
            </w:pPr>
            <w:r w:rsidRPr="00BC513A">
              <w:rPr>
                <w:rFonts w:ascii="Arial" w:hAnsi="Arial" w:cs="Arial"/>
                <w:sz w:val="20"/>
                <w:szCs w:val="20"/>
              </w:rPr>
              <w:lastRenderedPageBreak/>
              <w:t>226</w:t>
            </w:r>
          </w:p>
        </w:tc>
        <w:tc>
          <w:tcPr>
            <w:tcW w:w="4189" w:type="dxa"/>
            <w:vAlign w:val="center"/>
          </w:tcPr>
          <w:p w14:paraId="4F5CB0CD" w14:textId="77777777" w:rsidR="00E8617E" w:rsidRPr="00BC513A" w:rsidRDefault="00E8617E" w:rsidP="00922731">
            <w:pPr>
              <w:rPr>
                <w:rFonts w:ascii="Arial" w:hAnsi="Arial" w:cs="Arial"/>
                <w:bCs/>
                <w:color w:val="333333"/>
                <w:sz w:val="20"/>
                <w:szCs w:val="20"/>
              </w:rPr>
            </w:pPr>
            <w:r w:rsidRPr="00BC513A">
              <w:rPr>
                <w:rFonts w:ascii="Arial" w:hAnsi="Arial" w:cs="Arial"/>
                <w:bCs/>
                <w:color w:val="333333"/>
                <w:sz w:val="20"/>
                <w:szCs w:val="20"/>
              </w:rPr>
              <w:t>Възстановяване на горския потенциал и въвеждане на превантивни дейности</w:t>
            </w:r>
          </w:p>
        </w:tc>
        <w:tc>
          <w:tcPr>
            <w:tcW w:w="3820" w:type="dxa"/>
            <w:vAlign w:val="center"/>
          </w:tcPr>
          <w:p w14:paraId="31F77952"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20 от 07.07.2008 г.</w:t>
            </w:r>
          </w:p>
        </w:tc>
      </w:tr>
    </w:tbl>
    <w:p w14:paraId="650D4ACE" w14:textId="77777777" w:rsidR="00E8617E" w:rsidRPr="00BC513A" w:rsidRDefault="00E8617E" w:rsidP="00E8617E">
      <w:pPr>
        <w:pStyle w:val="DefaultText"/>
        <w:spacing w:after="120" w:line="300" w:lineRule="atLeast"/>
        <w:rPr>
          <w:sz w:val="22"/>
          <w:szCs w:val="22"/>
          <w:lang w:val="bg-BG"/>
        </w:rPr>
      </w:pPr>
    </w:p>
    <w:tbl>
      <w:tblPr>
        <w:tblW w:w="0" w:type="auto"/>
        <w:tblInd w:w="-5" w:type="dxa"/>
        <w:tblLook w:val="04A0" w:firstRow="1" w:lastRow="0" w:firstColumn="1" w:lastColumn="0" w:noHBand="0" w:noVBand="1"/>
      </w:tblPr>
      <w:tblGrid>
        <w:gridCol w:w="9060"/>
      </w:tblGrid>
      <w:tr w:rsidR="00E8617E" w:rsidRPr="00BC513A" w14:paraId="5771CD9A" w14:textId="77777777" w:rsidTr="00922731">
        <w:tc>
          <w:tcPr>
            <w:tcW w:w="9060" w:type="dxa"/>
            <w:shd w:val="clear" w:color="auto" w:fill="EFF6EA"/>
          </w:tcPr>
          <w:p w14:paraId="49FBAEE8" w14:textId="097275FD" w:rsidR="00E8617E" w:rsidRPr="00BC513A" w:rsidRDefault="00E8617E" w:rsidP="00AB2B2B">
            <w:pPr>
              <w:pStyle w:val="DefaultText"/>
              <w:keepNext/>
              <w:shd w:val="clear" w:color="auto" w:fill="EFF6EA"/>
              <w:spacing w:after="120" w:line="300" w:lineRule="atLeast"/>
              <w:rPr>
                <w:sz w:val="20"/>
                <w:szCs w:val="20"/>
                <w:lang w:val="bg-BG"/>
              </w:rPr>
            </w:pPr>
            <w:r w:rsidRPr="00BC513A">
              <w:rPr>
                <w:rFonts w:cs="Arial"/>
                <w:b/>
                <w:color w:val="000000"/>
                <w:sz w:val="20"/>
                <w:szCs w:val="20"/>
                <w:shd w:val="clear" w:color="auto" w:fill="EFF6EA"/>
                <w:lang w:val="bg-BG"/>
              </w:rPr>
              <w:t>О</w:t>
            </w:r>
            <w:r w:rsidR="00AB2B2B">
              <w:rPr>
                <w:rFonts w:cs="Arial"/>
                <w:b/>
                <w:color w:val="000000"/>
                <w:sz w:val="20"/>
                <w:szCs w:val="20"/>
                <w:shd w:val="clear" w:color="auto" w:fill="EFF6EA"/>
                <w:lang w:val="bg-BG"/>
              </w:rPr>
              <w:t>с</w:t>
            </w:r>
            <w:r w:rsidRPr="00BC513A">
              <w:rPr>
                <w:rFonts w:cs="Arial"/>
                <w:b/>
                <w:color w:val="000000"/>
                <w:sz w:val="20"/>
                <w:szCs w:val="20"/>
                <w:shd w:val="clear" w:color="auto" w:fill="EFF6EA"/>
                <w:lang w:val="bg-BG"/>
              </w:rPr>
              <w:t>3: Качество на живот в селските райони и разнообразяване на селската икономика</w:t>
            </w:r>
          </w:p>
        </w:tc>
      </w:tr>
    </w:tbl>
    <w:p w14:paraId="43E9662F"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В ос 3 са включени общо 6 мерки, както е представено в таблицата по-долу. Мярка 341 не е стартирала и съответно не е изпълнена. Бюджетът на мярката е прехвърлен към мярка 321.</w:t>
      </w:r>
    </w:p>
    <w:p w14:paraId="6C01FFB9" w14:textId="77777777" w:rsidR="00E8617E" w:rsidRPr="00BC513A" w:rsidRDefault="00E8617E" w:rsidP="00E8617E">
      <w:pPr>
        <w:pStyle w:val="Caption"/>
        <w:spacing w:before="240" w:after="60"/>
        <w:rPr>
          <w:rFonts w:ascii="Arial" w:hAnsi="Arial" w:cs="Arial"/>
          <w:b/>
          <w:i w:val="0"/>
          <w:color w:val="0070C0"/>
          <w:sz w:val="20"/>
          <w:szCs w:val="20"/>
        </w:rPr>
      </w:pPr>
      <w:bookmarkStart w:id="44" w:name="_Toc504136175"/>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3</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Мерки в обхвата на ос 3</w:t>
      </w:r>
      <w:bookmarkEnd w:id="44"/>
    </w:p>
    <w:tbl>
      <w:tblPr>
        <w:tblW w:w="0" w:type="auto"/>
        <w:tblLook w:val="04A0" w:firstRow="1" w:lastRow="0" w:firstColumn="1" w:lastColumn="0" w:noHBand="0" w:noVBand="1"/>
      </w:tblPr>
      <w:tblGrid>
        <w:gridCol w:w="1051"/>
        <w:gridCol w:w="4189"/>
        <w:gridCol w:w="3820"/>
      </w:tblGrid>
      <w:tr w:rsidR="00E8617E" w:rsidRPr="00BC513A" w14:paraId="349E0BBA" w14:textId="77777777" w:rsidTr="00922731">
        <w:tc>
          <w:tcPr>
            <w:tcW w:w="1051" w:type="dxa"/>
            <w:shd w:val="clear" w:color="auto" w:fill="1F4E79" w:themeFill="accent1" w:themeFillShade="80"/>
          </w:tcPr>
          <w:p w14:paraId="23BC5691"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Код на мярката</w:t>
            </w:r>
          </w:p>
        </w:tc>
        <w:tc>
          <w:tcPr>
            <w:tcW w:w="4189" w:type="dxa"/>
            <w:shd w:val="clear" w:color="auto" w:fill="1F4E79" w:themeFill="accent1" w:themeFillShade="80"/>
          </w:tcPr>
          <w:p w14:paraId="0B51C3FB"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Наименование</w:t>
            </w:r>
          </w:p>
        </w:tc>
        <w:tc>
          <w:tcPr>
            <w:tcW w:w="3820" w:type="dxa"/>
            <w:shd w:val="clear" w:color="auto" w:fill="1F4E79" w:themeFill="accent1" w:themeFillShade="80"/>
          </w:tcPr>
          <w:p w14:paraId="5AD83CB6"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Прилагаща наредба</w:t>
            </w:r>
          </w:p>
        </w:tc>
      </w:tr>
      <w:tr w:rsidR="00E8617E" w:rsidRPr="00BC513A" w14:paraId="0AB6392D" w14:textId="77777777" w:rsidTr="00922731">
        <w:tc>
          <w:tcPr>
            <w:tcW w:w="1051" w:type="dxa"/>
            <w:vAlign w:val="center"/>
          </w:tcPr>
          <w:p w14:paraId="2E34B0D8" w14:textId="77777777" w:rsidR="00E8617E" w:rsidRPr="00BC513A" w:rsidRDefault="00E8617E" w:rsidP="00922731">
            <w:pPr>
              <w:rPr>
                <w:rFonts w:ascii="Arial" w:hAnsi="Arial" w:cs="Arial"/>
                <w:sz w:val="20"/>
                <w:szCs w:val="20"/>
              </w:rPr>
            </w:pPr>
            <w:r w:rsidRPr="00BC513A">
              <w:rPr>
                <w:rFonts w:ascii="Arial" w:hAnsi="Arial" w:cs="Arial"/>
                <w:sz w:val="20"/>
                <w:szCs w:val="20"/>
              </w:rPr>
              <w:t>311</w:t>
            </w:r>
          </w:p>
        </w:tc>
        <w:tc>
          <w:tcPr>
            <w:tcW w:w="4189" w:type="dxa"/>
            <w:vAlign w:val="center"/>
          </w:tcPr>
          <w:p w14:paraId="367112E1" w14:textId="77777777" w:rsidR="00E8617E" w:rsidRPr="00BC513A" w:rsidRDefault="00E8617E" w:rsidP="00922731">
            <w:pPr>
              <w:rPr>
                <w:rFonts w:ascii="Arial" w:hAnsi="Arial" w:cs="Arial"/>
                <w:sz w:val="20"/>
                <w:szCs w:val="20"/>
              </w:rPr>
            </w:pPr>
            <w:r w:rsidRPr="00BC513A">
              <w:rPr>
                <w:rFonts w:ascii="Arial" w:hAnsi="Arial" w:cs="Arial"/>
                <w:sz w:val="20"/>
                <w:szCs w:val="20"/>
              </w:rPr>
              <w:t>Разнообразяване към неземеделски дейности</w:t>
            </w:r>
          </w:p>
        </w:tc>
        <w:tc>
          <w:tcPr>
            <w:tcW w:w="3820" w:type="dxa"/>
            <w:vAlign w:val="center"/>
          </w:tcPr>
          <w:p w14:paraId="2AEE155C"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30 от 11.08.2008 г.</w:t>
            </w:r>
          </w:p>
        </w:tc>
      </w:tr>
      <w:tr w:rsidR="00E8617E" w:rsidRPr="00BC513A" w14:paraId="517C7BC9" w14:textId="77777777" w:rsidTr="00922731">
        <w:tc>
          <w:tcPr>
            <w:tcW w:w="1051" w:type="dxa"/>
            <w:vAlign w:val="center"/>
          </w:tcPr>
          <w:p w14:paraId="0BBC2328" w14:textId="77777777" w:rsidR="00E8617E" w:rsidRPr="00BC513A" w:rsidRDefault="00E8617E" w:rsidP="00922731">
            <w:pPr>
              <w:rPr>
                <w:rFonts w:ascii="Arial" w:hAnsi="Arial" w:cs="Arial"/>
                <w:sz w:val="20"/>
                <w:szCs w:val="20"/>
              </w:rPr>
            </w:pPr>
            <w:r w:rsidRPr="00BC513A">
              <w:rPr>
                <w:rFonts w:ascii="Arial" w:hAnsi="Arial" w:cs="Arial"/>
                <w:sz w:val="20"/>
                <w:szCs w:val="20"/>
              </w:rPr>
              <w:t>312</w:t>
            </w:r>
          </w:p>
        </w:tc>
        <w:tc>
          <w:tcPr>
            <w:tcW w:w="4189" w:type="dxa"/>
            <w:vAlign w:val="center"/>
          </w:tcPr>
          <w:p w14:paraId="4B9D64A9" w14:textId="77777777" w:rsidR="00E8617E" w:rsidRPr="00BC513A" w:rsidRDefault="00E8617E" w:rsidP="00922731">
            <w:pPr>
              <w:rPr>
                <w:rFonts w:ascii="Arial" w:hAnsi="Arial" w:cs="Arial"/>
                <w:sz w:val="20"/>
                <w:szCs w:val="20"/>
              </w:rPr>
            </w:pPr>
            <w:r w:rsidRPr="00BC513A">
              <w:rPr>
                <w:rFonts w:ascii="Arial" w:hAnsi="Arial" w:cs="Arial"/>
                <w:sz w:val="20"/>
                <w:szCs w:val="20"/>
              </w:rPr>
              <w:t>Подкрепа за създаване и развитие на микропредприятия</w:t>
            </w:r>
          </w:p>
        </w:tc>
        <w:tc>
          <w:tcPr>
            <w:tcW w:w="3820" w:type="dxa"/>
            <w:vAlign w:val="center"/>
          </w:tcPr>
          <w:p w14:paraId="702B8AE6"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29 от 11.08.2008 г.</w:t>
            </w:r>
          </w:p>
        </w:tc>
      </w:tr>
      <w:tr w:rsidR="00E8617E" w:rsidRPr="00BC513A" w14:paraId="3A26B0B0" w14:textId="77777777" w:rsidTr="00922731">
        <w:tc>
          <w:tcPr>
            <w:tcW w:w="1051" w:type="dxa"/>
            <w:vAlign w:val="center"/>
          </w:tcPr>
          <w:p w14:paraId="2FA5ACF4" w14:textId="77777777" w:rsidR="00E8617E" w:rsidRPr="00BC513A" w:rsidRDefault="00E8617E" w:rsidP="00922731">
            <w:pPr>
              <w:rPr>
                <w:rFonts w:ascii="Arial" w:hAnsi="Arial" w:cs="Arial"/>
                <w:sz w:val="20"/>
                <w:szCs w:val="20"/>
              </w:rPr>
            </w:pPr>
            <w:r w:rsidRPr="00BC513A">
              <w:rPr>
                <w:rFonts w:ascii="Arial" w:hAnsi="Arial" w:cs="Arial"/>
                <w:sz w:val="20"/>
                <w:szCs w:val="20"/>
              </w:rPr>
              <w:t>313</w:t>
            </w:r>
          </w:p>
        </w:tc>
        <w:tc>
          <w:tcPr>
            <w:tcW w:w="4189" w:type="dxa"/>
            <w:vAlign w:val="center"/>
          </w:tcPr>
          <w:p w14:paraId="01E8EBCE" w14:textId="77777777" w:rsidR="00E8617E" w:rsidRPr="00BC513A" w:rsidRDefault="00E8617E" w:rsidP="00922731">
            <w:pPr>
              <w:rPr>
                <w:rFonts w:ascii="Arial" w:hAnsi="Arial" w:cs="Arial"/>
                <w:sz w:val="20"/>
                <w:szCs w:val="20"/>
              </w:rPr>
            </w:pPr>
            <w:r w:rsidRPr="00BC513A">
              <w:rPr>
                <w:rFonts w:ascii="Arial" w:hAnsi="Arial" w:cs="Arial"/>
                <w:sz w:val="20"/>
                <w:szCs w:val="20"/>
              </w:rPr>
              <w:t>Насърчаване на туристическите дейности</w:t>
            </w:r>
          </w:p>
        </w:tc>
        <w:tc>
          <w:tcPr>
            <w:tcW w:w="3820" w:type="dxa"/>
            <w:vAlign w:val="center"/>
          </w:tcPr>
          <w:p w14:paraId="5FAAE52C"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32 от 12.09.2008 г.</w:t>
            </w:r>
          </w:p>
        </w:tc>
      </w:tr>
      <w:tr w:rsidR="00E8617E" w:rsidRPr="00BC513A" w14:paraId="7004D357" w14:textId="77777777" w:rsidTr="00922731">
        <w:tc>
          <w:tcPr>
            <w:tcW w:w="1051" w:type="dxa"/>
            <w:vAlign w:val="center"/>
          </w:tcPr>
          <w:p w14:paraId="79552966" w14:textId="77777777" w:rsidR="00E8617E" w:rsidRPr="00BC513A" w:rsidRDefault="00E8617E" w:rsidP="00922731">
            <w:pPr>
              <w:rPr>
                <w:rFonts w:ascii="Arial" w:hAnsi="Arial" w:cs="Arial"/>
                <w:sz w:val="20"/>
                <w:szCs w:val="20"/>
              </w:rPr>
            </w:pPr>
            <w:r w:rsidRPr="00BC513A">
              <w:rPr>
                <w:rFonts w:ascii="Arial" w:hAnsi="Arial" w:cs="Arial"/>
                <w:sz w:val="20"/>
                <w:szCs w:val="20"/>
              </w:rPr>
              <w:t>321</w:t>
            </w:r>
          </w:p>
        </w:tc>
        <w:tc>
          <w:tcPr>
            <w:tcW w:w="4189" w:type="dxa"/>
            <w:vAlign w:val="center"/>
          </w:tcPr>
          <w:p w14:paraId="5322299C" w14:textId="77777777" w:rsidR="00E8617E" w:rsidRPr="00BC513A" w:rsidRDefault="00E8617E" w:rsidP="00922731">
            <w:pPr>
              <w:rPr>
                <w:rFonts w:ascii="Arial" w:hAnsi="Arial" w:cs="Arial"/>
                <w:sz w:val="20"/>
                <w:szCs w:val="20"/>
              </w:rPr>
            </w:pPr>
            <w:r w:rsidRPr="00BC513A">
              <w:rPr>
                <w:rFonts w:ascii="Arial" w:hAnsi="Arial" w:cs="Arial"/>
                <w:sz w:val="20"/>
                <w:szCs w:val="20"/>
              </w:rPr>
              <w:t>Основни услуги за населението и икономиката в селските райони</w:t>
            </w:r>
          </w:p>
        </w:tc>
        <w:tc>
          <w:tcPr>
            <w:tcW w:w="3820" w:type="dxa"/>
            <w:vAlign w:val="center"/>
          </w:tcPr>
          <w:p w14:paraId="60A333BD"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25 от 29.07.2008 г.</w:t>
            </w:r>
          </w:p>
        </w:tc>
      </w:tr>
      <w:tr w:rsidR="00E8617E" w:rsidRPr="00BC513A" w14:paraId="17AF4FEA" w14:textId="77777777" w:rsidTr="00922731">
        <w:tc>
          <w:tcPr>
            <w:tcW w:w="1051" w:type="dxa"/>
            <w:vAlign w:val="center"/>
          </w:tcPr>
          <w:p w14:paraId="042CB036" w14:textId="77777777" w:rsidR="00E8617E" w:rsidRPr="00BC513A" w:rsidRDefault="00E8617E" w:rsidP="00922731">
            <w:pPr>
              <w:rPr>
                <w:rFonts w:ascii="Arial" w:hAnsi="Arial" w:cs="Arial"/>
                <w:sz w:val="20"/>
                <w:szCs w:val="20"/>
              </w:rPr>
            </w:pPr>
            <w:r w:rsidRPr="00BC513A">
              <w:rPr>
                <w:rFonts w:ascii="Arial" w:hAnsi="Arial" w:cs="Arial"/>
                <w:sz w:val="20"/>
                <w:szCs w:val="20"/>
              </w:rPr>
              <w:t>322</w:t>
            </w:r>
          </w:p>
        </w:tc>
        <w:tc>
          <w:tcPr>
            <w:tcW w:w="4189" w:type="dxa"/>
            <w:vAlign w:val="center"/>
          </w:tcPr>
          <w:p w14:paraId="4170C7FB" w14:textId="77777777" w:rsidR="00E8617E" w:rsidRPr="00BC513A" w:rsidRDefault="00E8617E" w:rsidP="00922731">
            <w:pPr>
              <w:rPr>
                <w:rFonts w:ascii="Arial" w:hAnsi="Arial" w:cs="Arial"/>
                <w:sz w:val="20"/>
                <w:szCs w:val="20"/>
              </w:rPr>
            </w:pPr>
            <w:r w:rsidRPr="00BC513A">
              <w:rPr>
                <w:rFonts w:ascii="Arial" w:hAnsi="Arial" w:cs="Arial"/>
                <w:sz w:val="20"/>
                <w:szCs w:val="20"/>
              </w:rPr>
              <w:t>Обновяване и развитие на населените места</w:t>
            </w:r>
          </w:p>
        </w:tc>
        <w:tc>
          <w:tcPr>
            <w:tcW w:w="3820" w:type="dxa"/>
            <w:vAlign w:val="center"/>
          </w:tcPr>
          <w:p w14:paraId="1EB4C326"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Наредба № 24 от 29.07.2008 г.</w:t>
            </w:r>
          </w:p>
        </w:tc>
      </w:tr>
      <w:tr w:rsidR="00E8617E" w:rsidRPr="00BC513A" w14:paraId="2D41E828" w14:textId="77777777" w:rsidTr="00922731">
        <w:tc>
          <w:tcPr>
            <w:tcW w:w="1051" w:type="dxa"/>
            <w:vAlign w:val="center"/>
          </w:tcPr>
          <w:p w14:paraId="3B9985F2" w14:textId="77777777" w:rsidR="00E8617E" w:rsidRPr="00BC513A" w:rsidRDefault="00E8617E" w:rsidP="00922731">
            <w:pPr>
              <w:rPr>
                <w:rFonts w:ascii="Arial" w:hAnsi="Arial" w:cs="Arial"/>
                <w:color w:val="A6A6A6" w:themeColor="background1" w:themeShade="A6"/>
                <w:sz w:val="20"/>
                <w:szCs w:val="20"/>
              </w:rPr>
            </w:pPr>
            <w:r w:rsidRPr="00BC513A">
              <w:rPr>
                <w:rFonts w:ascii="Arial" w:hAnsi="Arial" w:cs="Arial"/>
                <w:color w:val="A6A6A6" w:themeColor="background1" w:themeShade="A6"/>
                <w:sz w:val="20"/>
                <w:szCs w:val="20"/>
              </w:rPr>
              <w:t>341</w:t>
            </w:r>
          </w:p>
        </w:tc>
        <w:tc>
          <w:tcPr>
            <w:tcW w:w="4189" w:type="dxa"/>
            <w:vAlign w:val="center"/>
          </w:tcPr>
          <w:p w14:paraId="0BB468C3" w14:textId="77777777" w:rsidR="00E8617E" w:rsidRPr="00BC513A" w:rsidRDefault="00E8617E" w:rsidP="00922731">
            <w:pPr>
              <w:rPr>
                <w:rFonts w:ascii="Arial" w:hAnsi="Arial" w:cs="Arial"/>
                <w:color w:val="A6A6A6" w:themeColor="background1" w:themeShade="A6"/>
                <w:sz w:val="20"/>
                <w:szCs w:val="20"/>
              </w:rPr>
            </w:pPr>
            <w:r w:rsidRPr="00BC513A">
              <w:rPr>
                <w:rFonts w:ascii="Arial" w:hAnsi="Arial" w:cs="Arial"/>
                <w:color w:val="A6A6A6" w:themeColor="background1" w:themeShade="A6"/>
                <w:sz w:val="20"/>
                <w:szCs w:val="20"/>
              </w:rPr>
              <w:t>Придобиване на умения и постигане на обществена активност с оглед на подготовката и прилагането на стратегии за местно развитие</w:t>
            </w:r>
          </w:p>
        </w:tc>
        <w:tc>
          <w:tcPr>
            <w:tcW w:w="3820" w:type="dxa"/>
            <w:vAlign w:val="center"/>
          </w:tcPr>
          <w:p w14:paraId="2323BE22" w14:textId="77777777" w:rsidR="00E8617E" w:rsidRPr="00BC513A" w:rsidRDefault="00E8617E" w:rsidP="00922731">
            <w:pPr>
              <w:pStyle w:val="DefaultText"/>
              <w:spacing w:before="60" w:after="60" w:line="240" w:lineRule="auto"/>
              <w:jc w:val="left"/>
              <w:rPr>
                <w:rFonts w:cs="Arial"/>
                <w:color w:val="A6A6A6" w:themeColor="background1" w:themeShade="A6"/>
                <w:sz w:val="20"/>
                <w:szCs w:val="20"/>
                <w:lang w:val="bg-BG"/>
              </w:rPr>
            </w:pPr>
            <w:r w:rsidRPr="00BC513A">
              <w:rPr>
                <w:rFonts w:cs="Arial"/>
                <w:color w:val="A6A6A6" w:themeColor="background1" w:themeShade="A6"/>
                <w:sz w:val="20"/>
                <w:szCs w:val="20"/>
                <w:lang w:val="bg-BG"/>
              </w:rPr>
              <w:t>-</w:t>
            </w:r>
          </w:p>
        </w:tc>
      </w:tr>
    </w:tbl>
    <w:p w14:paraId="54741D26" w14:textId="77777777" w:rsidR="00E8617E" w:rsidRPr="00BC513A" w:rsidRDefault="00E8617E" w:rsidP="00E8617E">
      <w:pPr>
        <w:pStyle w:val="DefaultText"/>
        <w:spacing w:after="120" w:line="300" w:lineRule="atLeast"/>
        <w:ind w:firstLine="708"/>
        <w:rPr>
          <w:sz w:val="22"/>
          <w:szCs w:val="22"/>
          <w:lang w:val="bg-BG"/>
        </w:rPr>
      </w:pPr>
    </w:p>
    <w:tbl>
      <w:tblPr>
        <w:tblW w:w="0" w:type="auto"/>
        <w:tblInd w:w="-5" w:type="dxa"/>
        <w:tblLook w:val="04A0" w:firstRow="1" w:lastRow="0" w:firstColumn="1" w:lastColumn="0" w:noHBand="0" w:noVBand="1"/>
      </w:tblPr>
      <w:tblGrid>
        <w:gridCol w:w="9060"/>
      </w:tblGrid>
      <w:tr w:rsidR="00E8617E" w:rsidRPr="00BC513A" w14:paraId="5CF5512A" w14:textId="77777777" w:rsidTr="00922731">
        <w:tc>
          <w:tcPr>
            <w:tcW w:w="9060" w:type="dxa"/>
            <w:shd w:val="clear" w:color="auto" w:fill="FFF8E5"/>
          </w:tcPr>
          <w:p w14:paraId="058F13C0" w14:textId="352877DB" w:rsidR="00E8617E" w:rsidRPr="00BC513A" w:rsidRDefault="00E8617E" w:rsidP="00AB2B2B">
            <w:pPr>
              <w:pStyle w:val="DefaultText"/>
              <w:shd w:val="clear" w:color="auto" w:fill="FFF8E5"/>
              <w:spacing w:after="120" w:line="300" w:lineRule="atLeast"/>
              <w:rPr>
                <w:sz w:val="20"/>
                <w:szCs w:val="20"/>
                <w:lang w:val="bg-BG"/>
              </w:rPr>
            </w:pPr>
            <w:r w:rsidRPr="00BC513A">
              <w:rPr>
                <w:rFonts w:cs="Arial"/>
                <w:b/>
                <w:color w:val="000000"/>
                <w:sz w:val="20"/>
                <w:szCs w:val="20"/>
                <w:shd w:val="clear" w:color="auto" w:fill="FFF8E5"/>
                <w:lang w:val="bg-BG"/>
              </w:rPr>
              <w:t>О</w:t>
            </w:r>
            <w:r w:rsidR="00AB2B2B">
              <w:rPr>
                <w:rFonts w:cs="Arial"/>
                <w:b/>
                <w:color w:val="000000"/>
                <w:sz w:val="20"/>
                <w:szCs w:val="20"/>
                <w:shd w:val="clear" w:color="auto" w:fill="FFF8E5"/>
                <w:lang w:val="bg-BG"/>
              </w:rPr>
              <w:t>с</w:t>
            </w:r>
            <w:r w:rsidRPr="00BC513A">
              <w:rPr>
                <w:rFonts w:cs="Arial"/>
                <w:b/>
                <w:color w:val="000000"/>
                <w:sz w:val="20"/>
                <w:szCs w:val="20"/>
                <w:shd w:val="clear" w:color="auto" w:fill="FFF8E5"/>
                <w:lang w:val="bg-BG"/>
              </w:rPr>
              <w:t xml:space="preserve"> 4: ЛИДЕР </w:t>
            </w:r>
          </w:p>
        </w:tc>
      </w:tr>
    </w:tbl>
    <w:p w14:paraId="4A379CBD"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В ос 4 са включени общо 3 мерки. Мярка 431 е подразделена на две под-мерки – (1) подкрепа за покриване на разходите за управление създадените Местни инициативни групи (МИГ) и изграждане на капацитет (431-1) и за (2) създаване на условия, активиране и подпомагане сформирането на МИГ, включително изграждане на капацитет (431-2). Мерките са представени в таблицата по-долу:</w:t>
      </w:r>
    </w:p>
    <w:p w14:paraId="5284C864"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45" w:name="_Toc504136176"/>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4</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Мерки в обхвата на ос 4</w:t>
      </w:r>
      <w:bookmarkEnd w:id="45"/>
    </w:p>
    <w:tbl>
      <w:tblPr>
        <w:tblW w:w="0" w:type="auto"/>
        <w:tblLook w:val="04A0" w:firstRow="1" w:lastRow="0" w:firstColumn="1" w:lastColumn="0" w:noHBand="0" w:noVBand="1"/>
      </w:tblPr>
      <w:tblGrid>
        <w:gridCol w:w="1051"/>
        <w:gridCol w:w="5605"/>
        <w:gridCol w:w="2404"/>
      </w:tblGrid>
      <w:tr w:rsidR="00E8617E" w:rsidRPr="00BC513A" w14:paraId="30CFAEDD" w14:textId="77777777" w:rsidTr="00922731">
        <w:tc>
          <w:tcPr>
            <w:tcW w:w="1051" w:type="dxa"/>
            <w:shd w:val="clear" w:color="auto" w:fill="1F4E79" w:themeFill="accent1" w:themeFillShade="80"/>
          </w:tcPr>
          <w:p w14:paraId="4B0873FA"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Код на мярката</w:t>
            </w:r>
          </w:p>
        </w:tc>
        <w:tc>
          <w:tcPr>
            <w:tcW w:w="5605" w:type="dxa"/>
            <w:shd w:val="clear" w:color="auto" w:fill="1F4E79" w:themeFill="accent1" w:themeFillShade="80"/>
          </w:tcPr>
          <w:p w14:paraId="1E561AE2"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Наименование</w:t>
            </w:r>
          </w:p>
        </w:tc>
        <w:tc>
          <w:tcPr>
            <w:tcW w:w="2404" w:type="dxa"/>
            <w:shd w:val="clear" w:color="auto" w:fill="1F4E79" w:themeFill="accent1" w:themeFillShade="80"/>
          </w:tcPr>
          <w:p w14:paraId="68521A81"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Прилагаща наредба</w:t>
            </w:r>
          </w:p>
        </w:tc>
      </w:tr>
      <w:tr w:rsidR="00E8617E" w:rsidRPr="00BC513A" w14:paraId="38BDEE64" w14:textId="77777777" w:rsidTr="00922731">
        <w:tc>
          <w:tcPr>
            <w:tcW w:w="1051" w:type="dxa"/>
            <w:vAlign w:val="center"/>
          </w:tcPr>
          <w:p w14:paraId="2A74329F"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41</w:t>
            </w:r>
          </w:p>
        </w:tc>
        <w:tc>
          <w:tcPr>
            <w:tcW w:w="5605" w:type="dxa"/>
            <w:vAlign w:val="center"/>
          </w:tcPr>
          <w:p w14:paraId="46C6CB8A"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Прилагане на стратегии за местно развитие</w:t>
            </w:r>
          </w:p>
        </w:tc>
        <w:tc>
          <w:tcPr>
            <w:tcW w:w="2404" w:type="dxa"/>
            <w:vAlign w:val="center"/>
          </w:tcPr>
          <w:p w14:paraId="537B3570" w14:textId="77777777" w:rsidR="00E8617E" w:rsidRPr="00BC513A" w:rsidRDefault="00E8617E" w:rsidP="00922731">
            <w:pPr>
              <w:pStyle w:val="DefaultText"/>
              <w:spacing w:before="60" w:after="60" w:line="240" w:lineRule="auto"/>
              <w:jc w:val="left"/>
              <w:rPr>
                <w:rFonts w:cs="Arial"/>
                <w:sz w:val="20"/>
                <w:szCs w:val="20"/>
                <w:lang w:val="bg-BG"/>
              </w:rPr>
            </w:pPr>
            <w:r w:rsidRPr="00BC513A">
              <w:rPr>
                <w:lang w:val="bg-BG"/>
              </w:rPr>
              <w:t>Наредба № 14 от 11.09.2012 г</w:t>
            </w:r>
          </w:p>
        </w:tc>
      </w:tr>
      <w:tr w:rsidR="00E8617E" w:rsidRPr="00BC513A" w14:paraId="77605D7D" w14:textId="77777777" w:rsidTr="00922731">
        <w:tc>
          <w:tcPr>
            <w:tcW w:w="1051" w:type="dxa"/>
            <w:vAlign w:val="center"/>
          </w:tcPr>
          <w:p w14:paraId="696F50F6"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421</w:t>
            </w:r>
          </w:p>
        </w:tc>
        <w:tc>
          <w:tcPr>
            <w:tcW w:w="5605" w:type="dxa"/>
            <w:vAlign w:val="center"/>
          </w:tcPr>
          <w:p w14:paraId="6E81D703"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Вътрешнотериториално и транснационално сътрудничество</w:t>
            </w:r>
          </w:p>
        </w:tc>
        <w:tc>
          <w:tcPr>
            <w:tcW w:w="2404" w:type="dxa"/>
            <w:vAlign w:val="center"/>
          </w:tcPr>
          <w:p w14:paraId="062292A4" w14:textId="77777777" w:rsidR="00E8617E" w:rsidRPr="00BC513A" w:rsidRDefault="00E8617E" w:rsidP="00922731">
            <w:pPr>
              <w:pStyle w:val="DefaultText"/>
              <w:spacing w:before="60" w:after="60" w:line="240" w:lineRule="auto"/>
              <w:jc w:val="left"/>
              <w:rPr>
                <w:rFonts w:cs="Arial"/>
                <w:sz w:val="20"/>
                <w:szCs w:val="20"/>
                <w:lang w:val="bg-BG"/>
              </w:rPr>
            </w:pPr>
            <w:r w:rsidRPr="00BC513A">
              <w:rPr>
                <w:lang w:val="bg-BG"/>
              </w:rPr>
              <w:t>Наредба № 14 от 11.09.2012 г</w:t>
            </w:r>
          </w:p>
        </w:tc>
      </w:tr>
      <w:tr w:rsidR="00E8617E" w:rsidRPr="00BC513A" w14:paraId="0467C289" w14:textId="77777777" w:rsidTr="00922731">
        <w:tc>
          <w:tcPr>
            <w:tcW w:w="1051" w:type="dxa"/>
            <w:vAlign w:val="center"/>
          </w:tcPr>
          <w:p w14:paraId="46EF824A" w14:textId="77777777" w:rsidR="00E8617E" w:rsidRPr="00BC513A" w:rsidRDefault="00E8617E" w:rsidP="00922731">
            <w:pPr>
              <w:pStyle w:val="DefaultText"/>
              <w:spacing w:before="60" w:after="60" w:line="240" w:lineRule="auto"/>
              <w:jc w:val="left"/>
              <w:rPr>
                <w:rFonts w:cs="Arial"/>
                <w:sz w:val="20"/>
                <w:szCs w:val="20"/>
                <w:lang w:val="bg-BG"/>
              </w:rPr>
            </w:pPr>
            <w:r w:rsidRPr="00BC513A">
              <w:rPr>
                <w:rFonts w:cs="Arial"/>
                <w:sz w:val="20"/>
                <w:szCs w:val="20"/>
                <w:lang w:val="bg-BG"/>
              </w:rPr>
              <w:t>431</w:t>
            </w:r>
          </w:p>
        </w:tc>
        <w:tc>
          <w:tcPr>
            <w:tcW w:w="8009" w:type="dxa"/>
            <w:gridSpan w:val="2"/>
            <w:vAlign w:val="center"/>
          </w:tcPr>
          <w:p w14:paraId="6D6630B7" w14:textId="77777777" w:rsidR="00E8617E" w:rsidRPr="00BC513A" w:rsidRDefault="00E8617E" w:rsidP="00922731">
            <w:pPr>
              <w:pStyle w:val="DefaultText"/>
              <w:spacing w:before="60" w:after="60" w:line="240" w:lineRule="auto"/>
              <w:jc w:val="left"/>
              <w:rPr>
                <w:rFonts w:cs="Arial"/>
                <w:sz w:val="20"/>
                <w:szCs w:val="20"/>
                <w:lang w:val="bg-BG"/>
              </w:rPr>
            </w:pPr>
            <w:r w:rsidRPr="00BC513A">
              <w:rPr>
                <w:sz w:val="20"/>
                <w:szCs w:val="20"/>
                <w:lang w:val="bg-BG"/>
              </w:rPr>
              <w:t>Административни разходи на МИГ, придобиване на умения и оживяване на територията</w:t>
            </w:r>
          </w:p>
        </w:tc>
      </w:tr>
      <w:tr w:rsidR="00E8617E" w:rsidRPr="00BC513A" w14:paraId="559CE732" w14:textId="77777777" w:rsidTr="00922731">
        <w:tc>
          <w:tcPr>
            <w:tcW w:w="1051" w:type="dxa"/>
            <w:vAlign w:val="center"/>
          </w:tcPr>
          <w:p w14:paraId="1B9EC488" w14:textId="77777777" w:rsidR="00E8617E" w:rsidRPr="00BC513A" w:rsidRDefault="00E8617E" w:rsidP="00922731">
            <w:pPr>
              <w:pStyle w:val="DefaultText"/>
              <w:spacing w:before="60" w:after="60" w:line="240" w:lineRule="auto"/>
              <w:jc w:val="left"/>
              <w:rPr>
                <w:rFonts w:cs="Arial"/>
                <w:i/>
                <w:sz w:val="20"/>
                <w:szCs w:val="20"/>
                <w:lang w:val="bg-BG"/>
              </w:rPr>
            </w:pPr>
            <w:r w:rsidRPr="00BC513A">
              <w:rPr>
                <w:rFonts w:cs="Arial"/>
                <w:i/>
                <w:sz w:val="20"/>
                <w:szCs w:val="20"/>
                <w:lang w:val="bg-BG"/>
              </w:rPr>
              <w:t>431-1</w:t>
            </w:r>
          </w:p>
        </w:tc>
        <w:tc>
          <w:tcPr>
            <w:tcW w:w="5605" w:type="dxa"/>
            <w:vAlign w:val="center"/>
          </w:tcPr>
          <w:p w14:paraId="34E6692D" w14:textId="77777777" w:rsidR="00E8617E" w:rsidRPr="00BC513A" w:rsidRDefault="00E8617E" w:rsidP="00922731">
            <w:pPr>
              <w:pStyle w:val="DefaultText"/>
              <w:spacing w:before="60" w:after="60" w:line="240" w:lineRule="auto"/>
              <w:jc w:val="left"/>
              <w:rPr>
                <w:rFonts w:cs="Arial"/>
                <w:i/>
                <w:sz w:val="20"/>
                <w:szCs w:val="20"/>
                <w:lang w:val="bg-BG"/>
              </w:rPr>
            </w:pPr>
            <w:r w:rsidRPr="00BC513A">
              <w:rPr>
                <w:rFonts w:cs="Arial"/>
                <w:i/>
                <w:sz w:val="20"/>
                <w:szCs w:val="20"/>
                <w:lang w:val="bg-BG"/>
              </w:rPr>
              <w:t xml:space="preserve">Управление на МИГ, придобиване на умения и постигане на обществена активност в териториите </w:t>
            </w:r>
            <w:r w:rsidRPr="00BC513A">
              <w:rPr>
                <w:rFonts w:cs="Arial"/>
                <w:i/>
                <w:sz w:val="20"/>
                <w:szCs w:val="20"/>
                <w:lang w:val="bg-BG"/>
              </w:rPr>
              <w:lastRenderedPageBreak/>
              <w:t>на избрани и одобрени МИГ</w:t>
            </w:r>
          </w:p>
        </w:tc>
        <w:tc>
          <w:tcPr>
            <w:tcW w:w="2404" w:type="dxa"/>
            <w:vAlign w:val="center"/>
          </w:tcPr>
          <w:p w14:paraId="065DC00A" w14:textId="77777777" w:rsidR="00E8617E" w:rsidRPr="00BC513A" w:rsidRDefault="00E8617E" w:rsidP="00922731">
            <w:pPr>
              <w:pStyle w:val="DefaultText"/>
              <w:spacing w:before="60" w:after="60" w:line="240" w:lineRule="auto"/>
              <w:jc w:val="left"/>
              <w:rPr>
                <w:rFonts w:cs="Arial"/>
                <w:i/>
                <w:sz w:val="20"/>
                <w:szCs w:val="20"/>
                <w:lang w:val="bg-BG"/>
              </w:rPr>
            </w:pPr>
            <w:r w:rsidRPr="00BC513A">
              <w:rPr>
                <w:rFonts w:cs="Arial"/>
                <w:i/>
                <w:sz w:val="20"/>
                <w:szCs w:val="20"/>
                <w:lang w:val="bg-BG"/>
              </w:rPr>
              <w:lastRenderedPageBreak/>
              <w:t>Наредба № 23 от 18.12.2009</w:t>
            </w:r>
          </w:p>
        </w:tc>
      </w:tr>
      <w:tr w:rsidR="00E8617E" w:rsidRPr="00BC513A" w14:paraId="1EE708A1" w14:textId="77777777" w:rsidTr="00922731">
        <w:tc>
          <w:tcPr>
            <w:tcW w:w="1051" w:type="dxa"/>
            <w:vAlign w:val="center"/>
          </w:tcPr>
          <w:p w14:paraId="7F5E3F67" w14:textId="77777777" w:rsidR="00E8617E" w:rsidRPr="00BC513A" w:rsidRDefault="00E8617E" w:rsidP="00922731">
            <w:pPr>
              <w:pStyle w:val="DefaultText"/>
              <w:spacing w:before="60" w:after="60" w:line="240" w:lineRule="auto"/>
              <w:jc w:val="left"/>
              <w:rPr>
                <w:rFonts w:cs="Arial"/>
                <w:i/>
                <w:sz w:val="20"/>
                <w:szCs w:val="20"/>
                <w:lang w:val="bg-BG"/>
              </w:rPr>
            </w:pPr>
            <w:r w:rsidRPr="00BC513A">
              <w:rPr>
                <w:rFonts w:cs="Arial"/>
                <w:i/>
                <w:sz w:val="20"/>
                <w:szCs w:val="20"/>
                <w:lang w:val="bg-BG"/>
              </w:rPr>
              <w:lastRenderedPageBreak/>
              <w:t>431-2</w:t>
            </w:r>
          </w:p>
        </w:tc>
        <w:tc>
          <w:tcPr>
            <w:tcW w:w="5605" w:type="dxa"/>
            <w:vAlign w:val="center"/>
          </w:tcPr>
          <w:p w14:paraId="5DB3553E" w14:textId="77777777" w:rsidR="00E8617E" w:rsidRPr="00BC513A" w:rsidRDefault="00E8617E" w:rsidP="00922731">
            <w:pPr>
              <w:pStyle w:val="DefaultText"/>
              <w:spacing w:before="60" w:after="60" w:line="240" w:lineRule="auto"/>
              <w:jc w:val="left"/>
              <w:rPr>
                <w:rFonts w:cs="Arial"/>
                <w:i/>
                <w:sz w:val="20"/>
                <w:szCs w:val="20"/>
                <w:lang w:val="bg-BG"/>
              </w:rPr>
            </w:pPr>
            <w:r w:rsidRPr="00BC513A">
              <w:rPr>
                <w:rFonts w:cs="Arial"/>
                <w:i/>
                <w:sz w:val="20"/>
                <w:szCs w:val="20"/>
                <w:lang w:val="bg-BG"/>
              </w:rPr>
              <w:t>Придобиване на умения и постигане на обществена активност за територията на потенциални местни инициативни групи</w:t>
            </w:r>
          </w:p>
        </w:tc>
        <w:tc>
          <w:tcPr>
            <w:tcW w:w="2404" w:type="dxa"/>
            <w:vAlign w:val="center"/>
          </w:tcPr>
          <w:p w14:paraId="43DA0B0F" w14:textId="77777777" w:rsidR="00E8617E" w:rsidRPr="00BC513A" w:rsidRDefault="00E8617E" w:rsidP="00922731">
            <w:pPr>
              <w:pStyle w:val="DefaultText"/>
              <w:spacing w:before="60" w:after="60" w:line="240" w:lineRule="auto"/>
              <w:jc w:val="left"/>
              <w:rPr>
                <w:rFonts w:cs="Arial"/>
                <w:i/>
                <w:sz w:val="20"/>
                <w:szCs w:val="20"/>
                <w:lang w:val="bg-BG"/>
              </w:rPr>
            </w:pPr>
            <w:r w:rsidRPr="00BC513A">
              <w:rPr>
                <w:rFonts w:cs="Arial"/>
                <w:i/>
                <w:sz w:val="20"/>
                <w:szCs w:val="20"/>
                <w:lang w:val="bg-BG"/>
              </w:rPr>
              <w:t>Наредба № 14 от 03.04.2008</w:t>
            </w:r>
          </w:p>
        </w:tc>
      </w:tr>
    </w:tbl>
    <w:p w14:paraId="2042DB96" w14:textId="74758019"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По </w:t>
      </w:r>
      <w:r w:rsidR="00213E30">
        <w:rPr>
          <w:sz w:val="22"/>
          <w:szCs w:val="22"/>
          <w:lang w:val="bg-BG"/>
        </w:rPr>
        <w:t>м</w:t>
      </w:r>
      <w:r w:rsidRPr="00BC513A">
        <w:rPr>
          <w:sz w:val="22"/>
          <w:szCs w:val="22"/>
          <w:lang w:val="bg-BG"/>
        </w:rPr>
        <w:t>ярка 511 се предоставя техническа помощ за изпълнение на ПРСР 2007-2013</w:t>
      </w:r>
      <w:r w:rsidR="00C73176">
        <w:rPr>
          <w:sz w:val="22"/>
          <w:szCs w:val="22"/>
          <w:lang w:val="bg-BG"/>
        </w:rPr>
        <w:t> </w:t>
      </w:r>
      <w:r w:rsidRPr="00BC513A">
        <w:rPr>
          <w:sz w:val="22"/>
          <w:szCs w:val="22"/>
          <w:lang w:val="bg-BG"/>
        </w:rPr>
        <w:t>г. Основни бенефициенти по мярката са МЗХГ и ДФЗ. Изпълнението на мярката се осъществява съгласно Наредба № 13 от 3.04.2008 г. за организацията по предоставяне на финансова помощ за изпълнение на дейностите по линия на техническа помощ от Програмата за развитие на селските райони за периода 2007 - 2013 г.</w:t>
      </w:r>
    </w:p>
    <w:p w14:paraId="3FEECDD4" w14:textId="4A5B5A15"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В допълнение по мярка 611 се предоставят доплащания към директните плащания. </w:t>
      </w:r>
      <w:r w:rsidR="002C702E">
        <w:rPr>
          <w:sz w:val="22"/>
          <w:szCs w:val="22"/>
          <w:lang w:val="bg-BG"/>
        </w:rPr>
        <w:t>М</w:t>
      </w:r>
      <w:r w:rsidRPr="00BC513A">
        <w:rPr>
          <w:sz w:val="22"/>
          <w:szCs w:val="22"/>
          <w:lang w:val="bg-BG"/>
        </w:rPr>
        <w:t xml:space="preserve">ярка 611 се прилага за периода 2007-2009 според Анекс VIII Раздел I E от Договора за присъединяване на България и Румъния, изменен с Решение на Съвета 2006/664/EC и </w:t>
      </w:r>
      <w:r w:rsidR="002C702E">
        <w:rPr>
          <w:sz w:val="22"/>
          <w:szCs w:val="22"/>
          <w:lang w:val="bg-BG"/>
        </w:rPr>
        <w:t>ч</w:t>
      </w:r>
      <w:r w:rsidRPr="00BC513A">
        <w:rPr>
          <w:sz w:val="22"/>
          <w:szCs w:val="22"/>
          <w:lang w:val="bg-BG"/>
        </w:rPr>
        <w:t>л. 39 (a) и точка 5.3.5.1 от Анекс II на Регламент (</w:t>
      </w:r>
      <w:r w:rsidR="002C702E" w:rsidRPr="00BC513A">
        <w:rPr>
          <w:sz w:val="22"/>
          <w:szCs w:val="22"/>
          <w:lang w:val="bg-BG"/>
        </w:rPr>
        <w:t>E</w:t>
      </w:r>
      <w:r w:rsidR="002C702E">
        <w:rPr>
          <w:sz w:val="22"/>
          <w:szCs w:val="22"/>
          <w:lang w:val="bg-BG"/>
        </w:rPr>
        <w:t>О</w:t>
      </w:r>
      <w:r w:rsidRPr="00BC513A">
        <w:rPr>
          <w:sz w:val="22"/>
          <w:szCs w:val="22"/>
          <w:lang w:val="bg-BG"/>
        </w:rPr>
        <w:t xml:space="preserve">) 1974/2006. Националните доплащания към директните плащания (НДДП) са определяни ежегодно в съответствие с чл.132 от Регламент </w:t>
      </w:r>
      <w:r w:rsidR="002C702E">
        <w:rPr>
          <w:sz w:val="22"/>
          <w:szCs w:val="22"/>
          <w:lang w:val="bg-BG"/>
        </w:rPr>
        <w:t>(ЕО)</w:t>
      </w:r>
      <w:r w:rsidRPr="00BC513A">
        <w:rPr>
          <w:sz w:val="22"/>
          <w:szCs w:val="22"/>
          <w:lang w:val="bg-BG"/>
        </w:rPr>
        <w:t xml:space="preserve"> </w:t>
      </w:r>
      <w:r w:rsidR="002C702E">
        <w:rPr>
          <w:sz w:val="22"/>
          <w:szCs w:val="22"/>
          <w:lang w:val="bg-BG"/>
        </w:rPr>
        <w:t xml:space="preserve">№ </w:t>
      </w:r>
      <w:r w:rsidRPr="00BC513A">
        <w:rPr>
          <w:sz w:val="22"/>
          <w:szCs w:val="22"/>
          <w:lang w:val="bg-BG"/>
        </w:rPr>
        <w:t xml:space="preserve">73/2009 след одобрение на ЕК. Мярката е приключила </w:t>
      </w:r>
      <w:r w:rsidR="002C702E">
        <w:rPr>
          <w:sz w:val="22"/>
          <w:szCs w:val="22"/>
          <w:lang w:val="bg-BG"/>
        </w:rPr>
        <w:t>през</w:t>
      </w:r>
      <w:r w:rsidR="002C702E" w:rsidRPr="00BC513A">
        <w:rPr>
          <w:sz w:val="22"/>
          <w:szCs w:val="22"/>
          <w:lang w:val="bg-BG"/>
        </w:rPr>
        <w:t xml:space="preserve"> </w:t>
      </w:r>
      <w:r w:rsidRPr="00BC513A">
        <w:rPr>
          <w:sz w:val="22"/>
          <w:szCs w:val="22"/>
          <w:lang w:val="bg-BG"/>
        </w:rPr>
        <w:t xml:space="preserve">2009 г. и предвидените по нея средства за усвоени и разплатени </w:t>
      </w:r>
      <w:r w:rsidR="004748A4">
        <w:rPr>
          <w:sz w:val="22"/>
          <w:szCs w:val="22"/>
          <w:lang w:val="bg-BG"/>
        </w:rPr>
        <w:t xml:space="preserve">на </w:t>
      </w:r>
      <w:r w:rsidRPr="00BC513A">
        <w:rPr>
          <w:sz w:val="22"/>
          <w:szCs w:val="22"/>
          <w:lang w:val="bg-BG"/>
        </w:rPr>
        <w:t xml:space="preserve">100%. </w:t>
      </w:r>
    </w:p>
    <w:p w14:paraId="475B0AAB" w14:textId="77777777" w:rsidR="00E8617E" w:rsidRPr="00BC513A" w:rsidRDefault="00E8617E" w:rsidP="00E8617E">
      <w:pPr>
        <w:pStyle w:val="Heading2"/>
        <w:numPr>
          <w:ilvl w:val="1"/>
          <w:numId w:val="6"/>
        </w:numPr>
        <w:ind w:left="1134" w:hanging="567"/>
      </w:pPr>
      <w:bookmarkStart w:id="46" w:name="_Toc504136140"/>
      <w:r w:rsidRPr="00BC513A">
        <w:t xml:space="preserve">Логика на интервенция на </w:t>
      </w:r>
      <w:r w:rsidR="000F57E9">
        <w:t>п</w:t>
      </w:r>
      <w:r w:rsidRPr="00BC513A">
        <w:t>рограмата</w:t>
      </w:r>
      <w:bookmarkEnd w:id="46"/>
    </w:p>
    <w:p w14:paraId="0AB514FF" w14:textId="77777777" w:rsidR="00E8617E" w:rsidRPr="00BC513A" w:rsidRDefault="00E8617E" w:rsidP="00E8617E">
      <w:pPr>
        <w:pStyle w:val="Heading3"/>
        <w:numPr>
          <w:ilvl w:val="2"/>
          <w:numId w:val="6"/>
        </w:numPr>
        <w:ind w:left="851" w:hanging="284"/>
      </w:pPr>
      <w:bookmarkStart w:id="47" w:name="_Toc504136141"/>
      <w:r w:rsidRPr="00BC513A">
        <w:t>Принос за постигане на националните цели и целите на Общността в периода 2007-2013 г.</w:t>
      </w:r>
      <w:bookmarkEnd w:id="47"/>
    </w:p>
    <w:p w14:paraId="5FF32A11"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ПРСР 2007-2013 в много голяма степен отразява</w:t>
      </w:r>
      <w:r w:rsidRPr="00BC513A">
        <w:rPr>
          <w:b/>
          <w:sz w:val="22"/>
          <w:szCs w:val="22"/>
          <w:lang w:val="bg-BG"/>
        </w:rPr>
        <w:t xml:space="preserve"> националните и европейски приоритети</w:t>
      </w:r>
      <w:r w:rsidRPr="00BC513A">
        <w:rPr>
          <w:sz w:val="22"/>
          <w:szCs w:val="22"/>
          <w:lang w:val="bg-BG"/>
        </w:rPr>
        <w:t xml:space="preserve"> в областта на развитието на селските райони за периода. Четирите основни оси на </w:t>
      </w:r>
      <w:r w:rsidR="000F57E9">
        <w:rPr>
          <w:sz w:val="22"/>
          <w:szCs w:val="22"/>
          <w:lang w:val="bg-BG"/>
        </w:rPr>
        <w:t>п</w:t>
      </w:r>
      <w:r w:rsidRPr="00BC513A">
        <w:rPr>
          <w:sz w:val="22"/>
          <w:szCs w:val="22"/>
          <w:lang w:val="bg-BG"/>
        </w:rPr>
        <w:t>рограмата директно адресират четирите основни приоритета на Националния стратегически план за развитие на селските райони</w:t>
      </w:r>
      <w:r w:rsidRPr="00BC513A">
        <w:rPr>
          <w:rStyle w:val="FootnoteReference"/>
          <w:sz w:val="22"/>
          <w:szCs w:val="22"/>
          <w:lang w:val="bg-BG"/>
        </w:rPr>
        <w:footnoteReference w:id="13"/>
      </w:r>
      <w:r w:rsidRPr="00BC513A">
        <w:rPr>
          <w:sz w:val="22"/>
          <w:szCs w:val="22"/>
          <w:lang w:val="bg-BG"/>
        </w:rPr>
        <w:t>. Програмата като цяло съответства и на стратегическите насоки на Общността за периода 2007-2013 г.</w:t>
      </w:r>
      <w:r w:rsidRPr="00BC513A">
        <w:rPr>
          <w:rStyle w:val="FootnoteReference"/>
          <w:sz w:val="22"/>
          <w:szCs w:val="22"/>
          <w:lang w:val="bg-BG"/>
        </w:rPr>
        <w:footnoteReference w:id="14"/>
      </w:r>
      <w:r w:rsidRPr="00BC513A">
        <w:rPr>
          <w:sz w:val="22"/>
          <w:szCs w:val="22"/>
          <w:lang w:val="bg-BG"/>
        </w:rPr>
        <w:t xml:space="preserve"> и Регламент (ЕО) № 1698/2005</w:t>
      </w:r>
      <w:r w:rsidRPr="00BC513A">
        <w:rPr>
          <w:rStyle w:val="FootnoteReference"/>
          <w:sz w:val="22"/>
          <w:szCs w:val="22"/>
          <w:lang w:val="bg-BG"/>
        </w:rPr>
        <w:footnoteReference w:id="15"/>
      </w:r>
      <w:r w:rsidRPr="00BC513A">
        <w:rPr>
          <w:sz w:val="22"/>
          <w:szCs w:val="22"/>
          <w:lang w:val="bg-BG"/>
        </w:rPr>
        <w:t>.</w:t>
      </w:r>
    </w:p>
    <w:p w14:paraId="0EA1A732"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От своя страна </w:t>
      </w:r>
      <w:r w:rsidR="000F57E9">
        <w:rPr>
          <w:sz w:val="22"/>
          <w:szCs w:val="22"/>
          <w:lang w:val="bg-BG"/>
        </w:rPr>
        <w:t>п</w:t>
      </w:r>
      <w:r w:rsidRPr="00BC513A">
        <w:rPr>
          <w:sz w:val="22"/>
          <w:szCs w:val="22"/>
          <w:lang w:val="bg-BG"/>
        </w:rPr>
        <w:t xml:space="preserve">рограмата е използвана за изпълнение на </w:t>
      </w:r>
      <w:r w:rsidRPr="00BC513A">
        <w:rPr>
          <w:b/>
          <w:sz w:val="22"/>
          <w:szCs w:val="22"/>
          <w:lang w:val="bg-BG"/>
        </w:rPr>
        <w:t>приоритетите на местните общности</w:t>
      </w:r>
      <w:r w:rsidRPr="00BC513A">
        <w:rPr>
          <w:sz w:val="22"/>
          <w:szCs w:val="22"/>
          <w:lang w:val="bg-BG"/>
        </w:rPr>
        <w:t xml:space="preserve"> чрез залагане на мерки в общинските стратегии за развитие, които да се финансират по ПРСР 2007-2013 г. </w:t>
      </w:r>
    </w:p>
    <w:p w14:paraId="6A97D48C" w14:textId="78D72E8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Мерките по ос 2 ПРСР 2007-2013 г. са в съответствие с националните цели, включени в Национална приоритетна рамка за действие за Натура 2000, Планове за управление на защитените територии и зони, Национална стратегия за управление и развитие на водния сектор, Втори и </w:t>
      </w:r>
      <w:r w:rsidR="00D57404">
        <w:rPr>
          <w:sz w:val="22"/>
          <w:szCs w:val="22"/>
          <w:lang w:val="bg-BG"/>
        </w:rPr>
        <w:t>Т</w:t>
      </w:r>
      <w:r w:rsidRPr="00BC513A">
        <w:rPr>
          <w:sz w:val="22"/>
          <w:szCs w:val="22"/>
          <w:lang w:val="bg-BG"/>
        </w:rPr>
        <w:t>рети национален план за действие по изменение на климата.</w:t>
      </w:r>
    </w:p>
    <w:p w14:paraId="5DC1DF37" w14:textId="6D12D331"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При програмиране на мерките е търсена </w:t>
      </w:r>
      <w:r w:rsidRPr="00BC513A">
        <w:rPr>
          <w:b/>
          <w:sz w:val="22"/>
          <w:szCs w:val="22"/>
          <w:lang w:val="bg-BG"/>
        </w:rPr>
        <w:t xml:space="preserve">синергия </w:t>
      </w:r>
      <w:r w:rsidRPr="00BC513A">
        <w:rPr>
          <w:sz w:val="22"/>
          <w:szCs w:val="22"/>
          <w:lang w:val="bg-BG"/>
        </w:rPr>
        <w:t>между приоритетите и отделните мерки. Връзката между приоритетите и мерките е ка</w:t>
      </w:r>
      <w:r w:rsidR="00562AD9">
        <w:rPr>
          <w:sz w:val="22"/>
          <w:szCs w:val="22"/>
          <w:lang w:val="bg-BG"/>
        </w:rPr>
        <w:t>к</w:t>
      </w:r>
      <w:r w:rsidRPr="00BC513A">
        <w:rPr>
          <w:sz w:val="22"/>
          <w:szCs w:val="22"/>
          <w:lang w:val="bg-BG"/>
        </w:rPr>
        <w:t>то на оперативно ниво</w:t>
      </w:r>
      <w:r w:rsidR="00562AD9">
        <w:rPr>
          <w:sz w:val="22"/>
          <w:szCs w:val="22"/>
          <w:lang w:val="bg-BG"/>
        </w:rPr>
        <w:t>,</w:t>
      </w:r>
      <w:r w:rsidRPr="00BC513A">
        <w:rPr>
          <w:sz w:val="22"/>
          <w:szCs w:val="22"/>
          <w:lang w:val="bg-BG"/>
        </w:rPr>
        <w:t xml:space="preserve"> така и на ниво въздействие.</w:t>
      </w:r>
    </w:p>
    <w:p w14:paraId="719D3172" w14:textId="2FC804EC"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lastRenderedPageBreak/>
        <w:t xml:space="preserve">На ниво </w:t>
      </w:r>
      <w:r w:rsidRPr="00BC513A">
        <w:rPr>
          <w:b/>
          <w:sz w:val="22"/>
          <w:szCs w:val="22"/>
          <w:lang w:val="bg-BG"/>
        </w:rPr>
        <w:t xml:space="preserve">въздействие </w:t>
      </w:r>
      <w:r w:rsidRPr="00BC513A">
        <w:rPr>
          <w:sz w:val="22"/>
          <w:szCs w:val="22"/>
          <w:lang w:val="bg-BG"/>
        </w:rPr>
        <w:t>голяма част от мерките по ос 1 и ос 3 са програмирани така</w:t>
      </w:r>
      <w:r w:rsidR="00D57404">
        <w:rPr>
          <w:sz w:val="22"/>
          <w:szCs w:val="22"/>
          <w:lang w:val="bg-BG"/>
        </w:rPr>
        <w:t>,</w:t>
      </w:r>
      <w:r w:rsidRPr="00BC513A">
        <w:rPr>
          <w:sz w:val="22"/>
          <w:szCs w:val="22"/>
          <w:lang w:val="bg-BG"/>
        </w:rPr>
        <w:t xml:space="preserve"> че да генерират допълнителни въздействия по отношение на опазване на околната среда (</w:t>
      </w:r>
      <w:r w:rsidR="00AB2B2B">
        <w:rPr>
          <w:sz w:val="22"/>
          <w:szCs w:val="22"/>
          <w:lang w:val="bg-BG"/>
        </w:rPr>
        <w:t>о</w:t>
      </w:r>
      <w:r w:rsidRPr="00BC513A">
        <w:rPr>
          <w:sz w:val="22"/>
          <w:szCs w:val="22"/>
          <w:lang w:val="bg-BG"/>
        </w:rPr>
        <w:t>с</w:t>
      </w:r>
      <w:r w:rsidR="00D57404">
        <w:rPr>
          <w:sz w:val="22"/>
          <w:szCs w:val="22"/>
          <w:lang w:val="bg-BG"/>
        </w:rPr>
        <w:t xml:space="preserve"> </w:t>
      </w:r>
      <w:r w:rsidRPr="00BC513A">
        <w:rPr>
          <w:sz w:val="22"/>
          <w:szCs w:val="22"/>
          <w:lang w:val="bg-BG"/>
        </w:rPr>
        <w:t>2) (таблица 5). При модернизиране на земеделските стопанства (мярка 121) се подпомагат дейности допринасящи за опазване на околната среда, включително площадки за съхранение на торове, обработване на отпадъчни води/утайки, намаляване на вредните емисии и отпадъци, увеличаване използването на възобновяеми природни ресурси и подобряване на ефективността на използваните при производството суровини. По мерки 123 и 141 (добавяне на стойност към земеделски и горски продукти и подпомагане за преструктуриране на полупазарни стопанства) също се подкрепят дейности, които биха имали положително въздействие върху околната среда, като намаляване на вредните емисии и отпадъци, изграждане на мощности за преработка на биомаса и подобряване на възможностите за производство на биологични храни (123), преминаване от конвенционално към биологично земеделие (141).</w:t>
      </w:r>
    </w:p>
    <w:p w14:paraId="367ED4E8"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 ос 3 мерки 312 и 321 също се очаква да имат положителен принос към целите за опазване на околната среда. По мярка 312 се подкрепя производството на възобновяема енергия, което се очаква да има положително въздействие върху климатичните промени. Положително въздействие върху климатичните промени се очаква и от мярка 321 чрез инвестиции в инсталации за производство на енергия от възобновяеми източници за общински сгради и инвестиции в подобряване на енергийната ефективност. Планирано е мярката да има и положителен принос към качеството на водата, чрез изграждане на канализационни системи и съоръжения.</w:t>
      </w:r>
    </w:p>
    <w:p w14:paraId="3ABA90BD"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Мерките по ос 1 и ос 3 се допълват по отношение на създаване на предпоставки за оживяване на селската икономика и създаване на условия за икономически растеж и заетост. </w:t>
      </w:r>
    </w:p>
    <w:p w14:paraId="224F6EF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Ос 4 ЛИДЕР е хоризонтална по своя характер и се очаква да има допълнителен принос към постигане на целите на оси 1, 2 и 3. </w:t>
      </w:r>
    </w:p>
    <w:p w14:paraId="5C5FC394" w14:textId="5AC03DEF"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Само мерките по ос 2 нямат ясен допълнителен ефект по отношение на дефинираните индикатори за въздействие, свързани с икономически растеж, заетост и производителност на труда, а са фокусирани върху въздействията върху околната среда. Мерките за плащания в необлагодетелствани райони обаче (211 и 212) имат принос към намаляване на проблемите, свързани с изоставяне на земи и обезлюдяване на селските райони.</w:t>
      </w:r>
    </w:p>
    <w:p w14:paraId="60DEEF2A" w14:textId="77777777" w:rsidR="00E8617E" w:rsidRPr="00BC513A" w:rsidRDefault="00E8617E" w:rsidP="00E8617E">
      <w:pPr>
        <w:pStyle w:val="DefaultText"/>
        <w:spacing w:after="120" w:line="300" w:lineRule="atLeast"/>
        <w:ind w:firstLine="708"/>
        <w:rPr>
          <w:sz w:val="22"/>
          <w:szCs w:val="22"/>
          <w:lang w:val="bg-BG"/>
        </w:rPr>
      </w:pPr>
    </w:p>
    <w:p w14:paraId="6389F566" w14:textId="77777777" w:rsidR="00E8617E" w:rsidRPr="00BC513A" w:rsidRDefault="00E8617E" w:rsidP="00E8617E">
      <w:pPr>
        <w:pStyle w:val="DefaultText"/>
        <w:spacing w:after="120" w:line="300" w:lineRule="atLeast"/>
        <w:ind w:firstLine="708"/>
        <w:rPr>
          <w:sz w:val="22"/>
          <w:szCs w:val="22"/>
          <w:lang w:val="bg-BG"/>
        </w:rPr>
        <w:sectPr w:rsidR="00E8617E" w:rsidRPr="00BC513A" w:rsidSect="00922731">
          <w:footerReference w:type="default" r:id="rId19"/>
          <w:pgSz w:w="11906" w:h="16838" w:code="9"/>
          <w:pgMar w:top="1418" w:right="1418" w:bottom="1418" w:left="1418" w:header="709" w:footer="709" w:gutter="0"/>
          <w:cols w:space="708"/>
          <w:docGrid w:linePitch="360"/>
        </w:sectPr>
      </w:pPr>
    </w:p>
    <w:p w14:paraId="3E982D69"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48" w:name="_Toc504136177"/>
      <w:r w:rsidRPr="00BC513A">
        <w:rPr>
          <w:rFonts w:ascii="Arial" w:hAnsi="Arial" w:cs="Arial"/>
          <w:b/>
          <w:i w:val="0"/>
          <w:color w:val="0070C0"/>
          <w:sz w:val="20"/>
          <w:szCs w:val="20"/>
        </w:rPr>
        <w:lastRenderedPageBreak/>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5</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xml:space="preserve">. Връзка между мерките в </w:t>
      </w:r>
      <w:r w:rsidR="000F57E9">
        <w:rPr>
          <w:rFonts w:ascii="Arial" w:hAnsi="Arial" w:cs="Arial"/>
          <w:b/>
          <w:i w:val="0"/>
          <w:color w:val="0070C0"/>
          <w:sz w:val="20"/>
          <w:szCs w:val="20"/>
        </w:rPr>
        <w:t>п</w:t>
      </w:r>
      <w:r w:rsidRPr="00BC513A">
        <w:rPr>
          <w:rFonts w:ascii="Arial" w:hAnsi="Arial" w:cs="Arial"/>
          <w:b/>
          <w:i w:val="0"/>
          <w:color w:val="0070C0"/>
          <w:sz w:val="20"/>
          <w:szCs w:val="20"/>
        </w:rPr>
        <w:t>рограмата по отношение на въздействие</w:t>
      </w:r>
      <w:bookmarkEnd w:id="48"/>
    </w:p>
    <w:tbl>
      <w:tblPr>
        <w:tblStyle w:val="TableGrid"/>
        <w:tblW w:w="13603" w:type="dxa"/>
        <w:tblLayout w:type="fixed"/>
        <w:tblLook w:val="04A0" w:firstRow="1" w:lastRow="0" w:firstColumn="1" w:lastColumn="0" w:noHBand="0" w:noVBand="1"/>
      </w:tblPr>
      <w:tblGrid>
        <w:gridCol w:w="562"/>
        <w:gridCol w:w="993"/>
        <w:gridCol w:w="1559"/>
        <w:gridCol w:w="1417"/>
        <w:gridCol w:w="1985"/>
        <w:gridCol w:w="1923"/>
        <w:gridCol w:w="1904"/>
        <w:gridCol w:w="1538"/>
        <w:gridCol w:w="1722"/>
      </w:tblGrid>
      <w:tr w:rsidR="00E8617E" w:rsidRPr="00BC513A" w14:paraId="21E59785" w14:textId="77777777" w:rsidTr="00922731">
        <w:tc>
          <w:tcPr>
            <w:tcW w:w="562" w:type="dxa"/>
            <w:vMerge w:val="restart"/>
            <w:vAlign w:val="center"/>
          </w:tcPr>
          <w:p w14:paraId="6F12E970" w14:textId="4A522BCE" w:rsidR="00E8617E" w:rsidRPr="00BC513A" w:rsidRDefault="00E8617E" w:rsidP="00AB2B2B">
            <w:pPr>
              <w:jc w:val="center"/>
              <w:rPr>
                <w:rFonts w:ascii="Arial" w:hAnsi="Arial" w:cs="Arial"/>
                <w:b/>
                <w:sz w:val="20"/>
                <w:szCs w:val="20"/>
              </w:rPr>
            </w:pPr>
            <w:r w:rsidRPr="00BC513A">
              <w:rPr>
                <w:rFonts w:ascii="Arial" w:hAnsi="Arial" w:cs="Arial"/>
                <w:b/>
                <w:sz w:val="20"/>
                <w:szCs w:val="20"/>
              </w:rPr>
              <w:t>О</w:t>
            </w:r>
            <w:r w:rsidR="00AB2B2B">
              <w:rPr>
                <w:rFonts w:ascii="Arial" w:hAnsi="Arial" w:cs="Arial"/>
                <w:b/>
                <w:sz w:val="20"/>
                <w:szCs w:val="20"/>
              </w:rPr>
              <w:t>с</w:t>
            </w:r>
          </w:p>
        </w:tc>
        <w:tc>
          <w:tcPr>
            <w:tcW w:w="993" w:type="dxa"/>
            <w:vMerge w:val="restart"/>
            <w:shd w:val="clear" w:color="auto" w:fill="auto"/>
            <w:vAlign w:val="center"/>
          </w:tcPr>
          <w:p w14:paraId="439254CA"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Мярка</w:t>
            </w:r>
          </w:p>
        </w:tc>
        <w:tc>
          <w:tcPr>
            <w:tcW w:w="12048" w:type="dxa"/>
            <w:gridSpan w:val="7"/>
            <w:shd w:val="clear" w:color="auto" w:fill="auto"/>
            <w:vAlign w:val="center"/>
          </w:tcPr>
          <w:p w14:paraId="5FCBA0D3" w14:textId="77777777" w:rsidR="00E8617E" w:rsidRPr="00BC513A" w:rsidRDefault="00E8617E" w:rsidP="00922731">
            <w:pPr>
              <w:jc w:val="center"/>
              <w:rPr>
                <w:rFonts w:ascii="Arial" w:hAnsi="Arial" w:cs="Arial"/>
                <w:sz w:val="20"/>
                <w:szCs w:val="20"/>
                <w:lang w:eastAsia="de-DE"/>
              </w:rPr>
            </w:pPr>
            <w:r w:rsidRPr="00BC513A">
              <w:rPr>
                <w:rFonts w:ascii="Arial" w:hAnsi="Arial" w:cs="Arial"/>
                <w:b/>
                <w:sz w:val="20"/>
                <w:szCs w:val="20"/>
              </w:rPr>
              <w:t>Индикатор за въздействие</w:t>
            </w:r>
          </w:p>
        </w:tc>
      </w:tr>
      <w:tr w:rsidR="00E8617E" w:rsidRPr="00BC513A" w14:paraId="5963C2F4" w14:textId="77777777" w:rsidTr="00CA65A8">
        <w:tc>
          <w:tcPr>
            <w:tcW w:w="562" w:type="dxa"/>
            <w:vMerge/>
          </w:tcPr>
          <w:p w14:paraId="7FF28D1F" w14:textId="77777777" w:rsidR="00E8617E" w:rsidRPr="00BC513A" w:rsidRDefault="00E8617E" w:rsidP="00922731">
            <w:pPr>
              <w:rPr>
                <w:rFonts w:ascii="Arial" w:hAnsi="Arial" w:cs="Arial"/>
                <w:b/>
                <w:sz w:val="20"/>
                <w:szCs w:val="20"/>
              </w:rPr>
            </w:pPr>
          </w:p>
        </w:tc>
        <w:tc>
          <w:tcPr>
            <w:tcW w:w="993" w:type="dxa"/>
            <w:vMerge/>
            <w:shd w:val="clear" w:color="auto" w:fill="auto"/>
          </w:tcPr>
          <w:p w14:paraId="171CED3A" w14:textId="77777777" w:rsidR="00E8617E" w:rsidRPr="00BC513A" w:rsidRDefault="00E8617E" w:rsidP="00922731">
            <w:pPr>
              <w:rPr>
                <w:rFonts w:ascii="Arial" w:hAnsi="Arial" w:cs="Arial"/>
                <w:b/>
                <w:sz w:val="20"/>
                <w:szCs w:val="20"/>
              </w:rPr>
            </w:pPr>
          </w:p>
        </w:tc>
        <w:tc>
          <w:tcPr>
            <w:tcW w:w="1559" w:type="dxa"/>
            <w:shd w:val="clear" w:color="auto" w:fill="auto"/>
            <w:vAlign w:val="center"/>
          </w:tcPr>
          <w:p w14:paraId="4BC5936D" w14:textId="77777777" w:rsidR="00E8617E" w:rsidRPr="00CA65A8" w:rsidRDefault="00E8617E" w:rsidP="00922731">
            <w:pPr>
              <w:jc w:val="center"/>
              <w:rPr>
                <w:rFonts w:ascii="Arial" w:hAnsi="Arial" w:cs="Arial"/>
                <w:b/>
                <w:sz w:val="18"/>
                <w:szCs w:val="18"/>
              </w:rPr>
            </w:pPr>
            <w:r w:rsidRPr="00CA65A8">
              <w:rPr>
                <w:rFonts w:ascii="Arial" w:hAnsi="Arial" w:cs="Arial"/>
                <w:sz w:val="18"/>
                <w:szCs w:val="18"/>
                <w:lang w:eastAsia="de-DE"/>
              </w:rPr>
              <w:t>Икономически растеж</w:t>
            </w:r>
          </w:p>
        </w:tc>
        <w:tc>
          <w:tcPr>
            <w:tcW w:w="1417" w:type="dxa"/>
            <w:shd w:val="clear" w:color="auto" w:fill="auto"/>
            <w:vAlign w:val="center"/>
          </w:tcPr>
          <w:p w14:paraId="75B58FC4" w14:textId="77777777" w:rsidR="00E8617E" w:rsidRPr="00CA65A8" w:rsidRDefault="00E8617E" w:rsidP="00922731">
            <w:pPr>
              <w:jc w:val="center"/>
              <w:rPr>
                <w:rFonts w:ascii="Arial" w:hAnsi="Arial" w:cs="Arial"/>
                <w:b/>
                <w:sz w:val="18"/>
                <w:szCs w:val="18"/>
              </w:rPr>
            </w:pPr>
            <w:r w:rsidRPr="00CA65A8">
              <w:rPr>
                <w:rFonts w:ascii="Arial" w:hAnsi="Arial" w:cs="Arial"/>
                <w:sz w:val="18"/>
                <w:szCs w:val="18"/>
                <w:lang w:eastAsia="de-DE"/>
              </w:rPr>
              <w:t>Създаване на заетост</w:t>
            </w:r>
          </w:p>
        </w:tc>
        <w:tc>
          <w:tcPr>
            <w:tcW w:w="1985" w:type="dxa"/>
            <w:shd w:val="clear" w:color="auto" w:fill="auto"/>
            <w:vAlign w:val="center"/>
          </w:tcPr>
          <w:p w14:paraId="515943DE" w14:textId="77777777" w:rsidR="00E8617E" w:rsidRPr="00CA65A8" w:rsidRDefault="00E8617E" w:rsidP="00922731">
            <w:pPr>
              <w:jc w:val="center"/>
              <w:rPr>
                <w:rFonts w:ascii="Arial" w:hAnsi="Arial" w:cs="Arial"/>
                <w:b/>
                <w:sz w:val="18"/>
                <w:szCs w:val="18"/>
              </w:rPr>
            </w:pPr>
            <w:r w:rsidRPr="00CA65A8">
              <w:rPr>
                <w:rFonts w:ascii="Arial" w:hAnsi="Arial" w:cs="Arial"/>
                <w:sz w:val="18"/>
                <w:szCs w:val="18"/>
                <w:lang w:eastAsia="de-DE"/>
              </w:rPr>
              <w:t>Производителност на труда</w:t>
            </w:r>
          </w:p>
        </w:tc>
        <w:tc>
          <w:tcPr>
            <w:tcW w:w="1923" w:type="dxa"/>
            <w:shd w:val="clear" w:color="auto" w:fill="auto"/>
            <w:vAlign w:val="center"/>
          </w:tcPr>
          <w:p w14:paraId="688D8A9D" w14:textId="77777777" w:rsidR="00E8617E" w:rsidRPr="00CA65A8" w:rsidRDefault="00E8617E" w:rsidP="00922731">
            <w:pPr>
              <w:jc w:val="center"/>
              <w:rPr>
                <w:rFonts w:ascii="Arial" w:hAnsi="Arial" w:cs="Arial"/>
                <w:b/>
                <w:sz w:val="18"/>
                <w:szCs w:val="18"/>
              </w:rPr>
            </w:pPr>
            <w:r w:rsidRPr="00CA65A8">
              <w:rPr>
                <w:rFonts w:ascii="Arial" w:hAnsi="Arial" w:cs="Arial"/>
                <w:sz w:val="18"/>
                <w:szCs w:val="18"/>
                <w:lang w:eastAsia="de-DE"/>
              </w:rPr>
              <w:t>Промяна в намаляването на биоразнообразието</w:t>
            </w:r>
          </w:p>
        </w:tc>
        <w:tc>
          <w:tcPr>
            <w:tcW w:w="1904" w:type="dxa"/>
            <w:shd w:val="clear" w:color="auto" w:fill="auto"/>
            <w:vAlign w:val="center"/>
          </w:tcPr>
          <w:p w14:paraId="190BA99D" w14:textId="77777777" w:rsidR="00E8617E" w:rsidRPr="00CA65A8" w:rsidRDefault="00E8617E" w:rsidP="00922731">
            <w:pPr>
              <w:jc w:val="center"/>
              <w:rPr>
                <w:rFonts w:ascii="Arial" w:hAnsi="Arial" w:cs="Arial"/>
                <w:b/>
                <w:sz w:val="18"/>
                <w:szCs w:val="18"/>
              </w:rPr>
            </w:pPr>
            <w:r w:rsidRPr="00CA65A8">
              <w:rPr>
                <w:rFonts w:ascii="Arial" w:hAnsi="Arial" w:cs="Arial"/>
                <w:sz w:val="18"/>
                <w:szCs w:val="18"/>
                <w:lang w:eastAsia="de-DE"/>
              </w:rPr>
              <w:t>Поддръжка на ВПС на обработваемата земя и горското стопанство</w:t>
            </w:r>
          </w:p>
        </w:tc>
        <w:tc>
          <w:tcPr>
            <w:tcW w:w="1538" w:type="dxa"/>
            <w:shd w:val="clear" w:color="auto" w:fill="auto"/>
            <w:vAlign w:val="center"/>
          </w:tcPr>
          <w:p w14:paraId="6F76BA2F" w14:textId="77777777" w:rsidR="00E8617E" w:rsidRPr="00CA65A8" w:rsidRDefault="00E8617E" w:rsidP="00922731">
            <w:pPr>
              <w:jc w:val="center"/>
              <w:rPr>
                <w:rFonts w:ascii="Arial" w:hAnsi="Arial" w:cs="Arial"/>
                <w:b/>
                <w:sz w:val="18"/>
                <w:szCs w:val="18"/>
              </w:rPr>
            </w:pPr>
            <w:r w:rsidRPr="00CA65A8">
              <w:rPr>
                <w:rFonts w:ascii="Arial" w:hAnsi="Arial" w:cs="Arial"/>
                <w:sz w:val="18"/>
                <w:szCs w:val="18"/>
                <w:lang w:eastAsia="de-DE"/>
              </w:rPr>
              <w:t>Подобряване на качеството на водите</w:t>
            </w:r>
          </w:p>
        </w:tc>
        <w:tc>
          <w:tcPr>
            <w:tcW w:w="1722" w:type="dxa"/>
            <w:shd w:val="clear" w:color="auto" w:fill="auto"/>
            <w:vAlign w:val="center"/>
          </w:tcPr>
          <w:p w14:paraId="38D18839" w14:textId="77777777" w:rsidR="00E8617E" w:rsidRPr="00CA65A8" w:rsidRDefault="00E8617E" w:rsidP="00922731">
            <w:pPr>
              <w:jc w:val="center"/>
              <w:rPr>
                <w:rFonts w:ascii="Arial" w:hAnsi="Arial" w:cs="Arial"/>
                <w:b/>
                <w:sz w:val="18"/>
                <w:szCs w:val="18"/>
              </w:rPr>
            </w:pPr>
            <w:r w:rsidRPr="00CA65A8">
              <w:rPr>
                <w:rFonts w:ascii="Arial" w:hAnsi="Arial" w:cs="Arial"/>
                <w:sz w:val="18"/>
                <w:szCs w:val="18"/>
                <w:lang w:eastAsia="de-DE"/>
              </w:rPr>
              <w:t>Принос към борбата с изменението на климата</w:t>
            </w:r>
          </w:p>
        </w:tc>
      </w:tr>
      <w:tr w:rsidR="00E8617E" w:rsidRPr="00BC513A" w14:paraId="2F2E9379" w14:textId="77777777" w:rsidTr="00CA65A8">
        <w:tc>
          <w:tcPr>
            <w:tcW w:w="562" w:type="dxa"/>
            <w:vMerge w:val="restart"/>
            <w:vAlign w:val="center"/>
          </w:tcPr>
          <w:p w14:paraId="633AF915" w14:textId="77777777" w:rsidR="00E8617E" w:rsidRPr="00BC513A" w:rsidRDefault="00E8617E" w:rsidP="00205C7B">
            <w:pPr>
              <w:jc w:val="center"/>
              <w:rPr>
                <w:rFonts w:ascii="Arial" w:eastAsia="Times New Roman" w:hAnsi="Arial" w:cs="Arial"/>
                <w:sz w:val="18"/>
                <w:szCs w:val="18"/>
                <w:lang w:eastAsia="bg-BG"/>
              </w:rPr>
            </w:pPr>
            <w:r w:rsidRPr="00205C7B">
              <w:rPr>
                <w:rFonts w:ascii="Arial" w:hAnsi="Arial" w:cs="Arial"/>
                <w:sz w:val="20"/>
                <w:szCs w:val="20"/>
                <w:lang w:eastAsia="de-DE"/>
              </w:rPr>
              <w:t>Ос 1</w:t>
            </w:r>
          </w:p>
        </w:tc>
        <w:tc>
          <w:tcPr>
            <w:tcW w:w="993" w:type="dxa"/>
            <w:shd w:val="clear" w:color="auto" w:fill="auto"/>
            <w:vAlign w:val="center"/>
          </w:tcPr>
          <w:p w14:paraId="687290CA"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111</w:t>
            </w:r>
          </w:p>
        </w:tc>
        <w:tc>
          <w:tcPr>
            <w:tcW w:w="1559" w:type="dxa"/>
            <w:shd w:val="clear" w:color="auto" w:fill="auto"/>
            <w:vAlign w:val="center"/>
          </w:tcPr>
          <w:p w14:paraId="0E298062"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692EF1C3" w14:textId="77777777" w:rsidR="00E8617E" w:rsidRPr="00BC513A" w:rsidRDefault="00E8617E" w:rsidP="00922731">
            <w:pPr>
              <w:jc w:val="center"/>
              <w:rPr>
                <w:rFonts w:ascii="Arial" w:hAnsi="Arial" w:cs="Arial"/>
                <w:sz w:val="20"/>
                <w:szCs w:val="20"/>
                <w:lang w:eastAsia="de-DE"/>
              </w:rPr>
            </w:pPr>
          </w:p>
        </w:tc>
        <w:tc>
          <w:tcPr>
            <w:tcW w:w="1985" w:type="dxa"/>
            <w:shd w:val="clear" w:color="auto" w:fill="FBE4D5" w:themeFill="accent2" w:themeFillTint="33"/>
            <w:vAlign w:val="center"/>
          </w:tcPr>
          <w:p w14:paraId="48FDAE9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c>
          <w:tcPr>
            <w:tcW w:w="1923" w:type="dxa"/>
            <w:shd w:val="clear" w:color="auto" w:fill="auto"/>
            <w:vAlign w:val="center"/>
          </w:tcPr>
          <w:p w14:paraId="471FAE26" w14:textId="77777777" w:rsidR="00E8617E" w:rsidRPr="00BC513A" w:rsidRDefault="00E8617E" w:rsidP="00922731">
            <w:pPr>
              <w:jc w:val="center"/>
              <w:rPr>
                <w:rFonts w:ascii="Arial" w:hAnsi="Arial" w:cs="Arial"/>
                <w:sz w:val="20"/>
                <w:szCs w:val="20"/>
              </w:rPr>
            </w:pPr>
          </w:p>
        </w:tc>
        <w:tc>
          <w:tcPr>
            <w:tcW w:w="1904" w:type="dxa"/>
            <w:shd w:val="clear" w:color="auto" w:fill="auto"/>
            <w:vAlign w:val="center"/>
          </w:tcPr>
          <w:p w14:paraId="2568B2BC" w14:textId="77777777" w:rsidR="00E8617E" w:rsidRPr="00BC513A" w:rsidRDefault="00E8617E" w:rsidP="00922731">
            <w:pPr>
              <w:jc w:val="center"/>
              <w:rPr>
                <w:rFonts w:ascii="Arial" w:hAnsi="Arial" w:cs="Arial"/>
                <w:sz w:val="20"/>
                <w:szCs w:val="20"/>
              </w:rPr>
            </w:pPr>
          </w:p>
        </w:tc>
        <w:tc>
          <w:tcPr>
            <w:tcW w:w="1538" w:type="dxa"/>
            <w:shd w:val="clear" w:color="auto" w:fill="auto"/>
            <w:vAlign w:val="center"/>
          </w:tcPr>
          <w:p w14:paraId="3C9DA25A" w14:textId="77777777" w:rsidR="00E8617E" w:rsidRPr="00BC513A" w:rsidRDefault="00E8617E" w:rsidP="00922731">
            <w:pPr>
              <w:jc w:val="center"/>
              <w:rPr>
                <w:rFonts w:ascii="Arial" w:hAnsi="Arial" w:cs="Arial"/>
                <w:sz w:val="20"/>
                <w:szCs w:val="20"/>
              </w:rPr>
            </w:pPr>
          </w:p>
        </w:tc>
        <w:tc>
          <w:tcPr>
            <w:tcW w:w="1722" w:type="dxa"/>
            <w:shd w:val="clear" w:color="auto" w:fill="auto"/>
            <w:vAlign w:val="center"/>
          </w:tcPr>
          <w:p w14:paraId="066A1830" w14:textId="77777777" w:rsidR="00E8617E" w:rsidRPr="00BC513A" w:rsidRDefault="00E8617E" w:rsidP="00922731">
            <w:pPr>
              <w:jc w:val="center"/>
              <w:rPr>
                <w:rFonts w:ascii="Arial" w:hAnsi="Arial" w:cs="Arial"/>
                <w:sz w:val="20"/>
                <w:szCs w:val="20"/>
              </w:rPr>
            </w:pPr>
          </w:p>
        </w:tc>
      </w:tr>
      <w:tr w:rsidR="00E8617E" w:rsidRPr="00BC513A" w14:paraId="1B5DF60B" w14:textId="77777777" w:rsidTr="00CA65A8">
        <w:tc>
          <w:tcPr>
            <w:tcW w:w="562" w:type="dxa"/>
            <w:vMerge/>
            <w:vAlign w:val="center"/>
          </w:tcPr>
          <w:p w14:paraId="28DC5EFA" w14:textId="77777777" w:rsidR="00E8617E" w:rsidRPr="00BC513A" w:rsidRDefault="00E8617E" w:rsidP="00922731">
            <w:pPr>
              <w:jc w:val="center"/>
              <w:outlineLvl w:val="0"/>
              <w:rPr>
                <w:rFonts w:ascii="Arial" w:eastAsia="Times New Roman" w:hAnsi="Arial" w:cs="Arial"/>
                <w:sz w:val="18"/>
                <w:szCs w:val="18"/>
                <w:lang w:eastAsia="bg-BG"/>
              </w:rPr>
            </w:pPr>
          </w:p>
        </w:tc>
        <w:tc>
          <w:tcPr>
            <w:tcW w:w="993" w:type="dxa"/>
            <w:shd w:val="clear" w:color="auto" w:fill="auto"/>
            <w:vAlign w:val="center"/>
          </w:tcPr>
          <w:p w14:paraId="29346461"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112</w:t>
            </w:r>
          </w:p>
        </w:tc>
        <w:tc>
          <w:tcPr>
            <w:tcW w:w="1559" w:type="dxa"/>
            <w:shd w:val="clear" w:color="auto" w:fill="FBE4D5" w:themeFill="accent2" w:themeFillTint="33"/>
            <w:vAlign w:val="center"/>
          </w:tcPr>
          <w:p w14:paraId="59FBA29F"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417" w:type="dxa"/>
            <w:shd w:val="clear" w:color="auto" w:fill="auto"/>
            <w:vAlign w:val="center"/>
          </w:tcPr>
          <w:p w14:paraId="259A8F3F" w14:textId="77777777" w:rsidR="00E8617E" w:rsidRPr="00BC513A" w:rsidRDefault="00E8617E" w:rsidP="00922731">
            <w:pPr>
              <w:jc w:val="center"/>
              <w:rPr>
                <w:rFonts w:ascii="Arial" w:hAnsi="Arial" w:cs="Arial"/>
                <w:sz w:val="20"/>
                <w:szCs w:val="20"/>
                <w:lang w:eastAsia="de-DE"/>
              </w:rPr>
            </w:pPr>
          </w:p>
        </w:tc>
        <w:tc>
          <w:tcPr>
            <w:tcW w:w="1985" w:type="dxa"/>
            <w:shd w:val="clear" w:color="auto" w:fill="FBE4D5" w:themeFill="accent2" w:themeFillTint="33"/>
            <w:vAlign w:val="center"/>
          </w:tcPr>
          <w:p w14:paraId="3576236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c>
          <w:tcPr>
            <w:tcW w:w="1923" w:type="dxa"/>
            <w:shd w:val="clear" w:color="auto" w:fill="auto"/>
            <w:vAlign w:val="center"/>
          </w:tcPr>
          <w:p w14:paraId="1039E7A4" w14:textId="77777777" w:rsidR="00E8617E" w:rsidRPr="00BC513A" w:rsidRDefault="00E8617E" w:rsidP="00922731">
            <w:pPr>
              <w:jc w:val="center"/>
              <w:rPr>
                <w:rFonts w:ascii="Arial" w:hAnsi="Arial" w:cs="Arial"/>
                <w:sz w:val="20"/>
                <w:szCs w:val="20"/>
              </w:rPr>
            </w:pPr>
          </w:p>
        </w:tc>
        <w:tc>
          <w:tcPr>
            <w:tcW w:w="1904" w:type="dxa"/>
            <w:shd w:val="clear" w:color="auto" w:fill="auto"/>
            <w:vAlign w:val="center"/>
          </w:tcPr>
          <w:p w14:paraId="1878264B" w14:textId="77777777" w:rsidR="00E8617E" w:rsidRPr="00BC513A" w:rsidRDefault="00E8617E" w:rsidP="00922731">
            <w:pPr>
              <w:jc w:val="center"/>
              <w:rPr>
                <w:rFonts w:ascii="Arial" w:hAnsi="Arial" w:cs="Arial"/>
                <w:sz w:val="20"/>
                <w:szCs w:val="20"/>
              </w:rPr>
            </w:pPr>
          </w:p>
        </w:tc>
        <w:tc>
          <w:tcPr>
            <w:tcW w:w="1538" w:type="dxa"/>
            <w:shd w:val="clear" w:color="auto" w:fill="auto"/>
            <w:vAlign w:val="center"/>
          </w:tcPr>
          <w:p w14:paraId="5461C910" w14:textId="77777777" w:rsidR="00E8617E" w:rsidRPr="00BC513A" w:rsidRDefault="00E8617E" w:rsidP="00922731">
            <w:pPr>
              <w:jc w:val="center"/>
              <w:rPr>
                <w:rFonts w:ascii="Arial" w:hAnsi="Arial" w:cs="Arial"/>
                <w:sz w:val="20"/>
                <w:szCs w:val="20"/>
              </w:rPr>
            </w:pPr>
          </w:p>
        </w:tc>
        <w:tc>
          <w:tcPr>
            <w:tcW w:w="1722" w:type="dxa"/>
            <w:shd w:val="clear" w:color="auto" w:fill="auto"/>
            <w:vAlign w:val="center"/>
          </w:tcPr>
          <w:p w14:paraId="466B3F08" w14:textId="77777777" w:rsidR="00E8617E" w:rsidRPr="00BC513A" w:rsidRDefault="00E8617E" w:rsidP="00922731">
            <w:pPr>
              <w:jc w:val="center"/>
              <w:rPr>
                <w:rFonts w:ascii="Arial" w:hAnsi="Arial" w:cs="Arial"/>
                <w:sz w:val="20"/>
                <w:szCs w:val="20"/>
              </w:rPr>
            </w:pPr>
          </w:p>
        </w:tc>
      </w:tr>
      <w:tr w:rsidR="00E8617E" w:rsidRPr="00BC513A" w14:paraId="46228EC5" w14:textId="77777777" w:rsidTr="00CA65A8">
        <w:tc>
          <w:tcPr>
            <w:tcW w:w="562" w:type="dxa"/>
            <w:vMerge/>
            <w:vAlign w:val="center"/>
          </w:tcPr>
          <w:p w14:paraId="7EB4B931" w14:textId="77777777" w:rsidR="00E8617E" w:rsidRPr="00BC513A" w:rsidRDefault="00E8617E" w:rsidP="00922731">
            <w:pPr>
              <w:jc w:val="center"/>
              <w:outlineLvl w:val="0"/>
              <w:rPr>
                <w:rFonts w:ascii="Arial" w:eastAsia="Times New Roman" w:hAnsi="Arial" w:cs="Arial"/>
                <w:sz w:val="18"/>
                <w:szCs w:val="18"/>
                <w:lang w:eastAsia="bg-BG"/>
              </w:rPr>
            </w:pPr>
          </w:p>
        </w:tc>
        <w:tc>
          <w:tcPr>
            <w:tcW w:w="993" w:type="dxa"/>
            <w:shd w:val="clear" w:color="auto" w:fill="auto"/>
            <w:vAlign w:val="center"/>
          </w:tcPr>
          <w:p w14:paraId="76318BA7"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114</w:t>
            </w:r>
          </w:p>
        </w:tc>
        <w:tc>
          <w:tcPr>
            <w:tcW w:w="1559" w:type="dxa"/>
            <w:shd w:val="clear" w:color="auto" w:fill="auto"/>
            <w:vAlign w:val="center"/>
          </w:tcPr>
          <w:p w14:paraId="65C77370"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2FA46D93" w14:textId="77777777" w:rsidR="00E8617E" w:rsidRPr="00BC513A" w:rsidRDefault="00E8617E" w:rsidP="00922731">
            <w:pPr>
              <w:jc w:val="center"/>
              <w:rPr>
                <w:rFonts w:ascii="Arial" w:hAnsi="Arial" w:cs="Arial"/>
                <w:sz w:val="20"/>
                <w:szCs w:val="20"/>
                <w:lang w:eastAsia="de-DE"/>
              </w:rPr>
            </w:pPr>
          </w:p>
        </w:tc>
        <w:tc>
          <w:tcPr>
            <w:tcW w:w="1985" w:type="dxa"/>
            <w:shd w:val="clear" w:color="auto" w:fill="FBE4D5" w:themeFill="accent2" w:themeFillTint="33"/>
            <w:vAlign w:val="center"/>
          </w:tcPr>
          <w:p w14:paraId="520C6ABB"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23" w:type="dxa"/>
            <w:shd w:val="clear" w:color="auto" w:fill="auto"/>
            <w:vAlign w:val="center"/>
          </w:tcPr>
          <w:p w14:paraId="416768F7"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3732AE30" w14:textId="77777777" w:rsidR="00E8617E" w:rsidRPr="00BC513A" w:rsidRDefault="00E8617E" w:rsidP="00922731">
            <w:pPr>
              <w:jc w:val="center"/>
              <w:rPr>
                <w:rFonts w:ascii="Arial" w:hAnsi="Arial" w:cs="Arial"/>
                <w:sz w:val="20"/>
                <w:szCs w:val="20"/>
                <w:lang w:eastAsia="de-DE"/>
              </w:rPr>
            </w:pPr>
          </w:p>
        </w:tc>
        <w:tc>
          <w:tcPr>
            <w:tcW w:w="1538" w:type="dxa"/>
            <w:shd w:val="clear" w:color="auto" w:fill="auto"/>
            <w:vAlign w:val="center"/>
          </w:tcPr>
          <w:p w14:paraId="2E5134D7"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7C64E7EE" w14:textId="77777777" w:rsidR="00E8617E" w:rsidRPr="00BC513A" w:rsidRDefault="00E8617E" w:rsidP="00922731">
            <w:pPr>
              <w:jc w:val="center"/>
              <w:rPr>
                <w:rFonts w:ascii="Arial" w:hAnsi="Arial" w:cs="Arial"/>
                <w:sz w:val="20"/>
                <w:szCs w:val="20"/>
                <w:lang w:eastAsia="de-DE"/>
              </w:rPr>
            </w:pPr>
          </w:p>
        </w:tc>
      </w:tr>
      <w:tr w:rsidR="00E8617E" w:rsidRPr="00BC513A" w14:paraId="653ADB79" w14:textId="77777777" w:rsidTr="00CA65A8">
        <w:tc>
          <w:tcPr>
            <w:tcW w:w="562" w:type="dxa"/>
            <w:vMerge/>
            <w:vAlign w:val="center"/>
          </w:tcPr>
          <w:p w14:paraId="36CBF867" w14:textId="77777777" w:rsidR="00E8617E" w:rsidRPr="00BC513A" w:rsidRDefault="00E8617E" w:rsidP="00922731">
            <w:pPr>
              <w:jc w:val="center"/>
              <w:outlineLvl w:val="0"/>
              <w:rPr>
                <w:rFonts w:ascii="Arial" w:eastAsia="Times New Roman" w:hAnsi="Arial" w:cs="Arial"/>
                <w:sz w:val="18"/>
                <w:szCs w:val="18"/>
                <w:lang w:eastAsia="bg-BG"/>
              </w:rPr>
            </w:pPr>
          </w:p>
        </w:tc>
        <w:tc>
          <w:tcPr>
            <w:tcW w:w="993" w:type="dxa"/>
            <w:shd w:val="clear" w:color="auto" w:fill="auto"/>
            <w:vAlign w:val="center"/>
          </w:tcPr>
          <w:p w14:paraId="4A056348"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121</w:t>
            </w:r>
          </w:p>
        </w:tc>
        <w:tc>
          <w:tcPr>
            <w:tcW w:w="1559" w:type="dxa"/>
            <w:shd w:val="clear" w:color="auto" w:fill="FBE4D5" w:themeFill="accent2" w:themeFillTint="33"/>
            <w:vAlign w:val="center"/>
          </w:tcPr>
          <w:p w14:paraId="4BBE8F28"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417" w:type="dxa"/>
            <w:shd w:val="clear" w:color="auto" w:fill="auto"/>
            <w:vAlign w:val="center"/>
          </w:tcPr>
          <w:p w14:paraId="6886CEBD" w14:textId="77777777" w:rsidR="00E8617E" w:rsidRPr="00BC513A" w:rsidRDefault="00E8617E" w:rsidP="00922731">
            <w:pPr>
              <w:jc w:val="center"/>
              <w:rPr>
                <w:rFonts w:ascii="Arial" w:hAnsi="Arial" w:cs="Arial"/>
                <w:sz w:val="20"/>
                <w:szCs w:val="20"/>
                <w:lang w:eastAsia="de-DE"/>
              </w:rPr>
            </w:pPr>
          </w:p>
        </w:tc>
        <w:tc>
          <w:tcPr>
            <w:tcW w:w="1985" w:type="dxa"/>
            <w:shd w:val="clear" w:color="auto" w:fill="FBE4D5" w:themeFill="accent2" w:themeFillTint="33"/>
            <w:vAlign w:val="center"/>
          </w:tcPr>
          <w:p w14:paraId="16B6275E"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23" w:type="dxa"/>
            <w:shd w:val="clear" w:color="auto" w:fill="auto"/>
            <w:vAlign w:val="center"/>
          </w:tcPr>
          <w:p w14:paraId="6510FA8B"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57688594" w14:textId="77777777" w:rsidR="00E8617E" w:rsidRPr="00BC513A" w:rsidRDefault="00E8617E" w:rsidP="00922731">
            <w:pPr>
              <w:jc w:val="center"/>
              <w:rPr>
                <w:rFonts w:ascii="Arial" w:hAnsi="Arial" w:cs="Arial"/>
                <w:sz w:val="20"/>
                <w:szCs w:val="20"/>
                <w:lang w:eastAsia="de-DE"/>
              </w:rPr>
            </w:pPr>
          </w:p>
        </w:tc>
        <w:tc>
          <w:tcPr>
            <w:tcW w:w="1538" w:type="dxa"/>
            <w:shd w:val="clear" w:color="auto" w:fill="FBE4D5" w:themeFill="accent2" w:themeFillTint="33"/>
            <w:vAlign w:val="center"/>
          </w:tcPr>
          <w:p w14:paraId="5FD96BDC" w14:textId="77777777" w:rsidR="00E8617E" w:rsidRPr="00BC513A" w:rsidRDefault="00E8617E" w:rsidP="00922731">
            <w:pPr>
              <w:jc w:val="center"/>
              <w:rPr>
                <w:rFonts w:ascii="Arial" w:hAnsi="Arial" w:cs="Arial"/>
                <w:sz w:val="20"/>
                <w:szCs w:val="20"/>
                <w:lang w:eastAsia="de-DE"/>
              </w:rPr>
            </w:pPr>
          </w:p>
        </w:tc>
        <w:tc>
          <w:tcPr>
            <w:tcW w:w="1722" w:type="dxa"/>
            <w:shd w:val="clear" w:color="auto" w:fill="FBE4D5" w:themeFill="accent2" w:themeFillTint="33"/>
            <w:vAlign w:val="center"/>
          </w:tcPr>
          <w:p w14:paraId="330BC2BF" w14:textId="77777777" w:rsidR="00E8617E" w:rsidRPr="00BC513A" w:rsidRDefault="00E8617E" w:rsidP="00922731">
            <w:pPr>
              <w:jc w:val="center"/>
              <w:rPr>
                <w:rFonts w:ascii="Arial" w:hAnsi="Arial" w:cs="Arial"/>
                <w:sz w:val="20"/>
                <w:szCs w:val="20"/>
                <w:lang w:eastAsia="de-DE"/>
              </w:rPr>
            </w:pPr>
          </w:p>
        </w:tc>
      </w:tr>
      <w:tr w:rsidR="00E8617E" w:rsidRPr="00BC513A" w14:paraId="3D586A7E" w14:textId="77777777" w:rsidTr="00CA65A8">
        <w:tc>
          <w:tcPr>
            <w:tcW w:w="562" w:type="dxa"/>
            <w:vMerge/>
            <w:vAlign w:val="center"/>
          </w:tcPr>
          <w:p w14:paraId="1E0292BE" w14:textId="77777777" w:rsidR="00E8617E" w:rsidRPr="00BC513A" w:rsidRDefault="00E8617E" w:rsidP="00922731">
            <w:pPr>
              <w:jc w:val="center"/>
              <w:outlineLvl w:val="0"/>
              <w:rPr>
                <w:rFonts w:ascii="Arial" w:eastAsia="Times New Roman" w:hAnsi="Arial" w:cs="Arial"/>
                <w:sz w:val="18"/>
                <w:szCs w:val="18"/>
                <w:lang w:eastAsia="bg-BG"/>
              </w:rPr>
            </w:pPr>
          </w:p>
        </w:tc>
        <w:tc>
          <w:tcPr>
            <w:tcW w:w="993" w:type="dxa"/>
            <w:shd w:val="clear" w:color="auto" w:fill="auto"/>
            <w:vAlign w:val="center"/>
          </w:tcPr>
          <w:p w14:paraId="63C43812"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122</w:t>
            </w:r>
          </w:p>
        </w:tc>
        <w:tc>
          <w:tcPr>
            <w:tcW w:w="1559" w:type="dxa"/>
            <w:shd w:val="clear" w:color="auto" w:fill="FBE4D5" w:themeFill="accent2" w:themeFillTint="33"/>
            <w:vAlign w:val="center"/>
          </w:tcPr>
          <w:p w14:paraId="79A7FB74"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417" w:type="dxa"/>
            <w:shd w:val="clear" w:color="auto" w:fill="auto"/>
            <w:vAlign w:val="center"/>
          </w:tcPr>
          <w:p w14:paraId="3C668714" w14:textId="77777777" w:rsidR="00E8617E" w:rsidRPr="00BC513A" w:rsidRDefault="00E8617E" w:rsidP="00922731">
            <w:pPr>
              <w:jc w:val="center"/>
              <w:rPr>
                <w:rFonts w:ascii="Arial" w:hAnsi="Arial" w:cs="Arial"/>
                <w:sz w:val="20"/>
                <w:szCs w:val="20"/>
                <w:lang w:eastAsia="de-DE"/>
              </w:rPr>
            </w:pPr>
          </w:p>
        </w:tc>
        <w:tc>
          <w:tcPr>
            <w:tcW w:w="1985" w:type="dxa"/>
            <w:shd w:val="clear" w:color="auto" w:fill="FBE4D5" w:themeFill="accent2" w:themeFillTint="33"/>
            <w:vAlign w:val="center"/>
          </w:tcPr>
          <w:p w14:paraId="4458E082"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23" w:type="dxa"/>
            <w:shd w:val="clear" w:color="auto" w:fill="auto"/>
            <w:vAlign w:val="center"/>
          </w:tcPr>
          <w:p w14:paraId="20A9B7B1"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29F8BA53" w14:textId="77777777" w:rsidR="00E8617E" w:rsidRPr="00BC513A" w:rsidRDefault="00E8617E" w:rsidP="00922731">
            <w:pPr>
              <w:jc w:val="center"/>
              <w:rPr>
                <w:rFonts w:ascii="Arial" w:hAnsi="Arial" w:cs="Arial"/>
                <w:sz w:val="20"/>
                <w:szCs w:val="20"/>
                <w:lang w:eastAsia="de-DE"/>
              </w:rPr>
            </w:pPr>
          </w:p>
        </w:tc>
        <w:tc>
          <w:tcPr>
            <w:tcW w:w="1538" w:type="dxa"/>
            <w:shd w:val="clear" w:color="auto" w:fill="auto"/>
            <w:vAlign w:val="center"/>
          </w:tcPr>
          <w:p w14:paraId="4610BE65"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0B650408" w14:textId="77777777" w:rsidR="00E8617E" w:rsidRPr="00BC513A" w:rsidRDefault="00E8617E" w:rsidP="00922731">
            <w:pPr>
              <w:jc w:val="center"/>
              <w:rPr>
                <w:rFonts w:ascii="Arial" w:hAnsi="Arial" w:cs="Arial"/>
                <w:sz w:val="20"/>
                <w:szCs w:val="20"/>
                <w:lang w:eastAsia="de-DE"/>
              </w:rPr>
            </w:pPr>
          </w:p>
        </w:tc>
      </w:tr>
      <w:tr w:rsidR="00E8617E" w:rsidRPr="00BC513A" w14:paraId="1203D019" w14:textId="77777777" w:rsidTr="00CA65A8">
        <w:tc>
          <w:tcPr>
            <w:tcW w:w="562" w:type="dxa"/>
            <w:vMerge/>
            <w:vAlign w:val="center"/>
          </w:tcPr>
          <w:p w14:paraId="03FA3779" w14:textId="77777777" w:rsidR="00E8617E" w:rsidRPr="00BC513A" w:rsidRDefault="00E8617E" w:rsidP="00922731">
            <w:pPr>
              <w:jc w:val="center"/>
              <w:outlineLvl w:val="0"/>
              <w:rPr>
                <w:rFonts w:ascii="Arial" w:eastAsia="Times New Roman" w:hAnsi="Arial" w:cs="Arial"/>
                <w:sz w:val="18"/>
                <w:szCs w:val="18"/>
                <w:lang w:eastAsia="bg-BG"/>
              </w:rPr>
            </w:pPr>
          </w:p>
        </w:tc>
        <w:tc>
          <w:tcPr>
            <w:tcW w:w="993" w:type="dxa"/>
            <w:shd w:val="clear" w:color="auto" w:fill="auto"/>
            <w:vAlign w:val="center"/>
          </w:tcPr>
          <w:p w14:paraId="312ECC50"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123</w:t>
            </w:r>
          </w:p>
        </w:tc>
        <w:tc>
          <w:tcPr>
            <w:tcW w:w="1559" w:type="dxa"/>
            <w:shd w:val="clear" w:color="auto" w:fill="FBE4D5" w:themeFill="accent2" w:themeFillTint="33"/>
            <w:vAlign w:val="center"/>
          </w:tcPr>
          <w:p w14:paraId="6B60EB1B"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417" w:type="dxa"/>
            <w:shd w:val="clear" w:color="auto" w:fill="auto"/>
            <w:vAlign w:val="center"/>
          </w:tcPr>
          <w:p w14:paraId="0028670B" w14:textId="77777777" w:rsidR="00E8617E" w:rsidRPr="00BC513A" w:rsidRDefault="00E8617E" w:rsidP="00922731">
            <w:pPr>
              <w:jc w:val="center"/>
              <w:rPr>
                <w:rFonts w:ascii="Arial" w:hAnsi="Arial" w:cs="Arial"/>
                <w:sz w:val="20"/>
                <w:szCs w:val="20"/>
                <w:lang w:eastAsia="de-DE"/>
              </w:rPr>
            </w:pPr>
          </w:p>
        </w:tc>
        <w:tc>
          <w:tcPr>
            <w:tcW w:w="1985" w:type="dxa"/>
            <w:shd w:val="clear" w:color="auto" w:fill="FBE4D5" w:themeFill="accent2" w:themeFillTint="33"/>
            <w:vAlign w:val="center"/>
          </w:tcPr>
          <w:p w14:paraId="2905CAC4"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23" w:type="dxa"/>
            <w:shd w:val="clear" w:color="auto" w:fill="FBE4D5" w:themeFill="accent2" w:themeFillTint="33"/>
            <w:vAlign w:val="center"/>
          </w:tcPr>
          <w:p w14:paraId="5E409CC4"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6FCAF214" w14:textId="77777777" w:rsidR="00E8617E" w:rsidRPr="00BC513A" w:rsidRDefault="00E8617E" w:rsidP="00922731">
            <w:pPr>
              <w:jc w:val="center"/>
              <w:rPr>
                <w:rFonts w:ascii="Arial" w:hAnsi="Arial" w:cs="Arial"/>
                <w:sz w:val="20"/>
                <w:szCs w:val="20"/>
                <w:lang w:eastAsia="de-DE"/>
              </w:rPr>
            </w:pPr>
          </w:p>
        </w:tc>
        <w:tc>
          <w:tcPr>
            <w:tcW w:w="1538" w:type="dxa"/>
            <w:shd w:val="clear" w:color="auto" w:fill="FBE4D5" w:themeFill="accent2" w:themeFillTint="33"/>
            <w:vAlign w:val="center"/>
          </w:tcPr>
          <w:p w14:paraId="57B5D22A" w14:textId="77777777" w:rsidR="00E8617E" w:rsidRPr="00BC513A" w:rsidRDefault="00E8617E" w:rsidP="00922731">
            <w:pPr>
              <w:jc w:val="center"/>
              <w:rPr>
                <w:rFonts w:ascii="Arial" w:hAnsi="Arial" w:cs="Arial"/>
                <w:sz w:val="20"/>
                <w:szCs w:val="20"/>
                <w:lang w:eastAsia="de-DE"/>
              </w:rPr>
            </w:pPr>
          </w:p>
        </w:tc>
        <w:tc>
          <w:tcPr>
            <w:tcW w:w="1722" w:type="dxa"/>
            <w:shd w:val="clear" w:color="auto" w:fill="FBE4D5" w:themeFill="accent2" w:themeFillTint="33"/>
            <w:vAlign w:val="center"/>
          </w:tcPr>
          <w:p w14:paraId="754C7A7C" w14:textId="77777777" w:rsidR="00E8617E" w:rsidRPr="00BC513A" w:rsidRDefault="00E8617E" w:rsidP="00922731">
            <w:pPr>
              <w:jc w:val="center"/>
              <w:rPr>
                <w:rFonts w:ascii="Arial" w:hAnsi="Arial" w:cs="Arial"/>
                <w:sz w:val="20"/>
                <w:szCs w:val="20"/>
                <w:lang w:eastAsia="de-DE"/>
              </w:rPr>
            </w:pPr>
          </w:p>
        </w:tc>
      </w:tr>
      <w:tr w:rsidR="00E8617E" w:rsidRPr="00BC513A" w14:paraId="34EC5084" w14:textId="77777777" w:rsidTr="00CA65A8">
        <w:tc>
          <w:tcPr>
            <w:tcW w:w="562" w:type="dxa"/>
            <w:vMerge/>
            <w:vAlign w:val="center"/>
          </w:tcPr>
          <w:p w14:paraId="37531C09" w14:textId="77777777" w:rsidR="00E8617E" w:rsidRPr="00BC513A" w:rsidRDefault="00E8617E" w:rsidP="00922731">
            <w:pPr>
              <w:jc w:val="center"/>
              <w:outlineLvl w:val="0"/>
              <w:rPr>
                <w:rFonts w:ascii="Arial" w:eastAsia="Times New Roman" w:hAnsi="Arial" w:cs="Arial"/>
                <w:sz w:val="18"/>
                <w:szCs w:val="18"/>
                <w:lang w:eastAsia="bg-BG"/>
              </w:rPr>
            </w:pPr>
          </w:p>
        </w:tc>
        <w:tc>
          <w:tcPr>
            <w:tcW w:w="993" w:type="dxa"/>
            <w:shd w:val="clear" w:color="auto" w:fill="auto"/>
            <w:vAlign w:val="center"/>
          </w:tcPr>
          <w:p w14:paraId="0A674DA7"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141</w:t>
            </w:r>
          </w:p>
        </w:tc>
        <w:tc>
          <w:tcPr>
            <w:tcW w:w="1559" w:type="dxa"/>
            <w:shd w:val="clear" w:color="auto" w:fill="auto"/>
            <w:vAlign w:val="center"/>
          </w:tcPr>
          <w:p w14:paraId="381AC4FA"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76038555" w14:textId="77777777" w:rsidR="00E8617E" w:rsidRPr="00BC513A" w:rsidRDefault="00E8617E" w:rsidP="00922731">
            <w:pPr>
              <w:jc w:val="center"/>
              <w:rPr>
                <w:rFonts w:ascii="Arial" w:hAnsi="Arial" w:cs="Arial"/>
                <w:sz w:val="20"/>
                <w:szCs w:val="20"/>
                <w:lang w:eastAsia="de-DE"/>
              </w:rPr>
            </w:pPr>
          </w:p>
        </w:tc>
        <w:tc>
          <w:tcPr>
            <w:tcW w:w="1985" w:type="dxa"/>
            <w:shd w:val="clear" w:color="auto" w:fill="FBE4D5" w:themeFill="accent2" w:themeFillTint="33"/>
            <w:vAlign w:val="center"/>
          </w:tcPr>
          <w:p w14:paraId="001EF7E8"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23" w:type="dxa"/>
            <w:shd w:val="clear" w:color="auto" w:fill="FBE4D5" w:themeFill="accent2" w:themeFillTint="33"/>
            <w:vAlign w:val="center"/>
          </w:tcPr>
          <w:p w14:paraId="3F1933A8" w14:textId="77777777" w:rsidR="00E8617E" w:rsidRPr="00BC513A" w:rsidRDefault="00E8617E" w:rsidP="00922731">
            <w:pPr>
              <w:jc w:val="center"/>
              <w:rPr>
                <w:rFonts w:ascii="Arial" w:hAnsi="Arial" w:cs="Arial"/>
                <w:sz w:val="20"/>
                <w:szCs w:val="20"/>
                <w:lang w:eastAsia="de-DE"/>
              </w:rPr>
            </w:pPr>
          </w:p>
        </w:tc>
        <w:tc>
          <w:tcPr>
            <w:tcW w:w="1904" w:type="dxa"/>
            <w:shd w:val="clear" w:color="auto" w:fill="FBE4D5" w:themeFill="accent2" w:themeFillTint="33"/>
            <w:vAlign w:val="center"/>
          </w:tcPr>
          <w:p w14:paraId="44DF8C99" w14:textId="77777777" w:rsidR="00E8617E" w:rsidRPr="00BC513A" w:rsidRDefault="00E8617E" w:rsidP="00922731">
            <w:pPr>
              <w:jc w:val="center"/>
              <w:rPr>
                <w:rFonts w:ascii="Arial" w:hAnsi="Arial" w:cs="Arial"/>
                <w:sz w:val="20"/>
                <w:szCs w:val="20"/>
                <w:lang w:eastAsia="de-DE"/>
              </w:rPr>
            </w:pPr>
          </w:p>
        </w:tc>
        <w:tc>
          <w:tcPr>
            <w:tcW w:w="1538" w:type="dxa"/>
            <w:shd w:val="clear" w:color="auto" w:fill="FBE4D5" w:themeFill="accent2" w:themeFillTint="33"/>
            <w:vAlign w:val="center"/>
          </w:tcPr>
          <w:p w14:paraId="4F21A645"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58F472FE" w14:textId="77777777" w:rsidR="00E8617E" w:rsidRPr="00BC513A" w:rsidRDefault="00E8617E" w:rsidP="00922731">
            <w:pPr>
              <w:jc w:val="center"/>
              <w:rPr>
                <w:rFonts w:ascii="Arial" w:hAnsi="Arial" w:cs="Arial"/>
                <w:sz w:val="20"/>
                <w:szCs w:val="20"/>
                <w:lang w:eastAsia="de-DE"/>
              </w:rPr>
            </w:pPr>
          </w:p>
        </w:tc>
      </w:tr>
      <w:tr w:rsidR="00E8617E" w:rsidRPr="00BC513A" w14:paraId="114694F5" w14:textId="77777777" w:rsidTr="00CA65A8">
        <w:tc>
          <w:tcPr>
            <w:tcW w:w="562" w:type="dxa"/>
            <w:vMerge/>
            <w:vAlign w:val="center"/>
          </w:tcPr>
          <w:p w14:paraId="68D9B46A" w14:textId="77777777" w:rsidR="00E8617E" w:rsidRPr="00BC513A" w:rsidRDefault="00E8617E" w:rsidP="00922731">
            <w:pPr>
              <w:jc w:val="center"/>
              <w:outlineLvl w:val="0"/>
              <w:rPr>
                <w:rFonts w:ascii="Arial" w:eastAsia="Times New Roman" w:hAnsi="Arial" w:cs="Arial"/>
                <w:sz w:val="18"/>
                <w:szCs w:val="18"/>
                <w:lang w:eastAsia="bg-BG"/>
              </w:rPr>
            </w:pPr>
          </w:p>
        </w:tc>
        <w:tc>
          <w:tcPr>
            <w:tcW w:w="993" w:type="dxa"/>
            <w:shd w:val="clear" w:color="auto" w:fill="auto"/>
            <w:vAlign w:val="center"/>
          </w:tcPr>
          <w:p w14:paraId="02EB25E5"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142</w:t>
            </w:r>
          </w:p>
        </w:tc>
        <w:tc>
          <w:tcPr>
            <w:tcW w:w="1559" w:type="dxa"/>
            <w:shd w:val="clear" w:color="auto" w:fill="auto"/>
            <w:vAlign w:val="center"/>
          </w:tcPr>
          <w:p w14:paraId="12197E70"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771443A9" w14:textId="77777777" w:rsidR="00E8617E" w:rsidRPr="00BC513A" w:rsidRDefault="00E8617E" w:rsidP="00922731">
            <w:pPr>
              <w:jc w:val="center"/>
              <w:rPr>
                <w:rFonts w:ascii="Arial" w:hAnsi="Arial" w:cs="Arial"/>
                <w:sz w:val="20"/>
                <w:szCs w:val="20"/>
                <w:lang w:eastAsia="de-DE"/>
              </w:rPr>
            </w:pPr>
          </w:p>
        </w:tc>
        <w:tc>
          <w:tcPr>
            <w:tcW w:w="1985" w:type="dxa"/>
            <w:shd w:val="clear" w:color="auto" w:fill="FBE4D5" w:themeFill="accent2" w:themeFillTint="33"/>
            <w:vAlign w:val="center"/>
          </w:tcPr>
          <w:p w14:paraId="5F74AB58"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23" w:type="dxa"/>
            <w:shd w:val="clear" w:color="auto" w:fill="auto"/>
            <w:vAlign w:val="center"/>
          </w:tcPr>
          <w:p w14:paraId="19DE400A"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7E4B76C7" w14:textId="77777777" w:rsidR="00E8617E" w:rsidRPr="00BC513A" w:rsidRDefault="00E8617E" w:rsidP="00922731">
            <w:pPr>
              <w:jc w:val="center"/>
              <w:rPr>
                <w:rFonts w:ascii="Arial" w:hAnsi="Arial" w:cs="Arial"/>
                <w:sz w:val="20"/>
                <w:szCs w:val="20"/>
                <w:lang w:eastAsia="de-DE"/>
              </w:rPr>
            </w:pPr>
          </w:p>
        </w:tc>
        <w:tc>
          <w:tcPr>
            <w:tcW w:w="1538" w:type="dxa"/>
            <w:shd w:val="clear" w:color="auto" w:fill="auto"/>
            <w:vAlign w:val="center"/>
          </w:tcPr>
          <w:p w14:paraId="3018A482"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3C6BDE93" w14:textId="77777777" w:rsidR="00E8617E" w:rsidRPr="00BC513A" w:rsidRDefault="00E8617E" w:rsidP="00922731">
            <w:pPr>
              <w:jc w:val="center"/>
              <w:rPr>
                <w:rFonts w:ascii="Arial" w:hAnsi="Arial" w:cs="Arial"/>
                <w:sz w:val="20"/>
                <w:szCs w:val="20"/>
                <w:lang w:eastAsia="de-DE"/>
              </w:rPr>
            </w:pPr>
          </w:p>
        </w:tc>
      </w:tr>
      <w:tr w:rsidR="00E8617E" w:rsidRPr="00BC513A" w14:paraId="7C5783AB" w14:textId="77777777" w:rsidTr="00CA65A8">
        <w:tc>
          <w:tcPr>
            <w:tcW w:w="562" w:type="dxa"/>
            <w:vMerge/>
            <w:vAlign w:val="center"/>
          </w:tcPr>
          <w:p w14:paraId="5BCD2F87" w14:textId="77777777" w:rsidR="00E8617E" w:rsidRPr="00BC513A" w:rsidRDefault="00E8617E" w:rsidP="00922731">
            <w:pPr>
              <w:jc w:val="center"/>
              <w:outlineLvl w:val="0"/>
              <w:rPr>
                <w:rFonts w:ascii="Arial" w:eastAsia="Times New Roman" w:hAnsi="Arial" w:cs="Arial"/>
                <w:sz w:val="18"/>
                <w:szCs w:val="18"/>
                <w:lang w:eastAsia="bg-BG"/>
              </w:rPr>
            </w:pPr>
          </w:p>
        </w:tc>
        <w:tc>
          <w:tcPr>
            <w:tcW w:w="993" w:type="dxa"/>
            <w:shd w:val="clear" w:color="auto" w:fill="auto"/>
            <w:vAlign w:val="center"/>
          </w:tcPr>
          <w:p w14:paraId="69A5348B"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143</w:t>
            </w:r>
          </w:p>
        </w:tc>
        <w:tc>
          <w:tcPr>
            <w:tcW w:w="1559" w:type="dxa"/>
            <w:shd w:val="clear" w:color="auto" w:fill="auto"/>
            <w:vAlign w:val="center"/>
          </w:tcPr>
          <w:p w14:paraId="01DDA4EC"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2F0C9ED8" w14:textId="77777777" w:rsidR="00E8617E" w:rsidRPr="00BC513A" w:rsidRDefault="00E8617E" w:rsidP="00922731">
            <w:pPr>
              <w:jc w:val="center"/>
              <w:rPr>
                <w:rFonts w:ascii="Arial" w:hAnsi="Arial" w:cs="Arial"/>
                <w:sz w:val="20"/>
                <w:szCs w:val="20"/>
                <w:lang w:eastAsia="de-DE"/>
              </w:rPr>
            </w:pPr>
          </w:p>
        </w:tc>
        <w:tc>
          <w:tcPr>
            <w:tcW w:w="1985" w:type="dxa"/>
            <w:shd w:val="clear" w:color="auto" w:fill="FBE4D5" w:themeFill="accent2" w:themeFillTint="33"/>
            <w:vAlign w:val="center"/>
          </w:tcPr>
          <w:p w14:paraId="1236854A"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23" w:type="dxa"/>
            <w:shd w:val="clear" w:color="auto" w:fill="auto"/>
            <w:vAlign w:val="center"/>
          </w:tcPr>
          <w:p w14:paraId="50A41091"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411C7CB8" w14:textId="77777777" w:rsidR="00E8617E" w:rsidRPr="00BC513A" w:rsidRDefault="00E8617E" w:rsidP="00922731">
            <w:pPr>
              <w:jc w:val="center"/>
              <w:rPr>
                <w:rFonts w:ascii="Arial" w:hAnsi="Arial" w:cs="Arial"/>
                <w:sz w:val="20"/>
                <w:szCs w:val="20"/>
                <w:lang w:eastAsia="de-DE"/>
              </w:rPr>
            </w:pPr>
          </w:p>
        </w:tc>
        <w:tc>
          <w:tcPr>
            <w:tcW w:w="1538" w:type="dxa"/>
            <w:shd w:val="clear" w:color="auto" w:fill="auto"/>
            <w:vAlign w:val="center"/>
          </w:tcPr>
          <w:p w14:paraId="7CE963D9"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20A88733" w14:textId="77777777" w:rsidR="00E8617E" w:rsidRPr="00BC513A" w:rsidRDefault="00E8617E" w:rsidP="00922731">
            <w:pPr>
              <w:jc w:val="center"/>
              <w:rPr>
                <w:rFonts w:ascii="Arial" w:hAnsi="Arial" w:cs="Arial"/>
                <w:sz w:val="20"/>
                <w:szCs w:val="20"/>
                <w:lang w:eastAsia="de-DE"/>
              </w:rPr>
            </w:pPr>
          </w:p>
        </w:tc>
      </w:tr>
      <w:tr w:rsidR="00E8617E" w:rsidRPr="00BC513A" w14:paraId="433A3B85" w14:textId="77777777" w:rsidTr="00CA65A8">
        <w:tc>
          <w:tcPr>
            <w:tcW w:w="562" w:type="dxa"/>
            <w:vMerge w:val="restart"/>
            <w:vAlign w:val="center"/>
          </w:tcPr>
          <w:p w14:paraId="446336A6"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Ос 2</w:t>
            </w:r>
          </w:p>
        </w:tc>
        <w:tc>
          <w:tcPr>
            <w:tcW w:w="993" w:type="dxa"/>
            <w:shd w:val="clear" w:color="auto" w:fill="auto"/>
            <w:vAlign w:val="center"/>
          </w:tcPr>
          <w:p w14:paraId="2D345E24"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211</w:t>
            </w:r>
          </w:p>
        </w:tc>
        <w:tc>
          <w:tcPr>
            <w:tcW w:w="1559" w:type="dxa"/>
            <w:shd w:val="clear" w:color="auto" w:fill="auto"/>
            <w:vAlign w:val="center"/>
          </w:tcPr>
          <w:p w14:paraId="4D0C4AC4"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6B9D2A2D" w14:textId="77777777" w:rsidR="00E8617E" w:rsidRPr="00BC513A" w:rsidRDefault="00E8617E" w:rsidP="00922731">
            <w:pPr>
              <w:jc w:val="center"/>
              <w:rPr>
                <w:rFonts w:ascii="Arial" w:hAnsi="Arial" w:cs="Arial"/>
                <w:sz w:val="20"/>
                <w:szCs w:val="20"/>
                <w:lang w:eastAsia="de-DE"/>
              </w:rPr>
            </w:pPr>
          </w:p>
        </w:tc>
        <w:tc>
          <w:tcPr>
            <w:tcW w:w="1985" w:type="dxa"/>
            <w:shd w:val="clear" w:color="auto" w:fill="auto"/>
            <w:vAlign w:val="center"/>
          </w:tcPr>
          <w:p w14:paraId="0767EC8C" w14:textId="77777777" w:rsidR="00E8617E" w:rsidRPr="00BC513A" w:rsidRDefault="00E8617E" w:rsidP="00922731">
            <w:pPr>
              <w:jc w:val="center"/>
              <w:rPr>
                <w:rFonts w:ascii="Arial" w:hAnsi="Arial" w:cs="Arial"/>
                <w:sz w:val="20"/>
                <w:szCs w:val="20"/>
                <w:lang w:eastAsia="de-DE"/>
              </w:rPr>
            </w:pPr>
          </w:p>
        </w:tc>
        <w:tc>
          <w:tcPr>
            <w:tcW w:w="1923" w:type="dxa"/>
            <w:shd w:val="clear" w:color="auto" w:fill="DEEAF6" w:themeFill="accent1" w:themeFillTint="33"/>
            <w:vAlign w:val="center"/>
          </w:tcPr>
          <w:p w14:paraId="38EA756D"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04" w:type="dxa"/>
            <w:shd w:val="clear" w:color="auto" w:fill="DEEAF6" w:themeFill="accent1" w:themeFillTint="33"/>
            <w:vAlign w:val="center"/>
          </w:tcPr>
          <w:p w14:paraId="15A7A3C7"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538" w:type="dxa"/>
            <w:shd w:val="clear" w:color="auto" w:fill="auto"/>
            <w:vAlign w:val="center"/>
          </w:tcPr>
          <w:p w14:paraId="5B42C037"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2AD4DD4A" w14:textId="77777777" w:rsidR="00E8617E" w:rsidRPr="00BC513A" w:rsidRDefault="00E8617E" w:rsidP="00922731">
            <w:pPr>
              <w:jc w:val="center"/>
              <w:rPr>
                <w:rFonts w:ascii="Arial" w:hAnsi="Arial" w:cs="Arial"/>
                <w:sz w:val="20"/>
                <w:szCs w:val="20"/>
                <w:lang w:eastAsia="de-DE"/>
              </w:rPr>
            </w:pPr>
          </w:p>
        </w:tc>
      </w:tr>
      <w:tr w:rsidR="00E8617E" w:rsidRPr="00BC513A" w14:paraId="4FC66D88" w14:textId="77777777" w:rsidTr="00CA65A8">
        <w:tc>
          <w:tcPr>
            <w:tcW w:w="562" w:type="dxa"/>
            <w:vMerge/>
          </w:tcPr>
          <w:p w14:paraId="2C0A3CC7"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1FCA6182"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212</w:t>
            </w:r>
          </w:p>
        </w:tc>
        <w:tc>
          <w:tcPr>
            <w:tcW w:w="1559" w:type="dxa"/>
            <w:shd w:val="clear" w:color="auto" w:fill="auto"/>
            <w:vAlign w:val="center"/>
          </w:tcPr>
          <w:p w14:paraId="320B6915"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7ACB0E96" w14:textId="77777777" w:rsidR="00E8617E" w:rsidRPr="00BC513A" w:rsidRDefault="00E8617E" w:rsidP="00922731">
            <w:pPr>
              <w:jc w:val="center"/>
              <w:rPr>
                <w:rFonts w:ascii="Arial" w:hAnsi="Arial" w:cs="Arial"/>
                <w:sz w:val="20"/>
                <w:szCs w:val="20"/>
                <w:lang w:eastAsia="de-DE"/>
              </w:rPr>
            </w:pPr>
          </w:p>
        </w:tc>
        <w:tc>
          <w:tcPr>
            <w:tcW w:w="1985" w:type="dxa"/>
            <w:shd w:val="clear" w:color="auto" w:fill="auto"/>
            <w:vAlign w:val="center"/>
          </w:tcPr>
          <w:p w14:paraId="5AFB8707" w14:textId="77777777" w:rsidR="00E8617E" w:rsidRPr="00BC513A" w:rsidRDefault="00E8617E" w:rsidP="00922731">
            <w:pPr>
              <w:jc w:val="center"/>
              <w:rPr>
                <w:rFonts w:ascii="Arial" w:hAnsi="Arial" w:cs="Arial"/>
                <w:sz w:val="20"/>
                <w:szCs w:val="20"/>
                <w:lang w:eastAsia="de-DE"/>
              </w:rPr>
            </w:pPr>
          </w:p>
        </w:tc>
        <w:tc>
          <w:tcPr>
            <w:tcW w:w="1923" w:type="dxa"/>
            <w:shd w:val="clear" w:color="auto" w:fill="DEEAF6" w:themeFill="accent1" w:themeFillTint="33"/>
            <w:vAlign w:val="center"/>
          </w:tcPr>
          <w:p w14:paraId="7E77FF2A"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04" w:type="dxa"/>
            <w:shd w:val="clear" w:color="auto" w:fill="DEEAF6" w:themeFill="accent1" w:themeFillTint="33"/>
            <w:vAlign w:val="center"/>
          </w:tcPr>
          <w:p w14:paraId="5C84F67A"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538" w:type="dxa"/>
            <w:shd w:val="clear" w:color="auto" w:fill="auto"/>
            <w:vAlign w:val="center"/>
          </w:tcPr>
          <w:p w14:paraId="73F088D9"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6DBEE790" w14:textId="77777777" w:rsidR="00E8617E" w:rsidRPr="00BC513A" w:rsidRDefault="00E8617E" w:rsidP="00922731">
            <w:pPr>
              <w:jc w:val="center"/>
              <w:rPr>
                <w:rFonts w:ascii="Arial" w:hAnsi="Arial" w:cs="Arial"/>
                <w:sz w:val="20"/>
                <w:szCs w:val="20"/>
                <w:lang w:eastAsia="de-DE"/>
              </w:rPr>
            </w:pPr>
          </w:p>
        </w:tc>
      </w:tr>
      <w:tr w:rsidR="00E8617E" w:rsidRPr="00BC513A" w14:paraId="7CD11658" w14:textId="77777777" w:rsidTr="00CA65A8">
        <w:tc>
          <w:tcPr>
            <w:tcW w:w="562" w:type="dxa"/>
            <w:vMerge/>
          </w:tcPr>
          <w:p w14:paraId="0A64DBBE"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5A4EB9A0"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213</w:t>
            </w:r>
          </w:p>
        </w:tc>
        <w:tc>
          <w:tcPr>
            <w:tcW w:w="1559" w:type="dxa"/>
            <w:shd w:val="clear" w:color="auto" w:fill="auto"/>
            <w:vAlign w:val="center"/>
          </w:tcPr>
          <w:p w14:paraId="19341268"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7DB2ED1B" w14:textId="77777777" w:rsidR="00E8617E" w:rsidRPr="00BC513A" w:rsidRDefault="00E8617E" w:rsidP="00922731">
            <w:pPr>
              <w:jc w:val="center"/>
              <w:rPr>
                <w:rFonts w:ascii="Arial" w:hAnsi="Arial" w:cs="Arial"/>
                <w:sz w:val="20"/>
                <w:szCs w:val="20"/>
                <w:lang w:eastAsia="de-DE"/>
              </w:rPr>
            </w:pPr>
          </w:p>
        </w:tc>
        <w:tc>
          <w:tcPr>
            <w:tcW w:w="1985" w:type="dxa"/>
            <w:shd w:val="clear" w:color="auto" w:fill="auto"/>
            <w:vAlign w:val="center"/>
          </w:tcPr>
          <w:p w14:paraId="543F1008" w14:textId="77777777" w:rsidR="00E8617E" w:rsidRPr="00BC513A" w:rsidRDefault="00E8617E" w:rsidP="00922731">
            <w:pPr>
              <w:jc w:val="center"/>
              <w:rPr>
                <w:rFonts w:ascii="Arial" w:hAnsi="Arial" w:cs="Arial"/>
                <w:sz w:val="20"/>
                <w:szCs w:val="20"/>
                <w:lang w:eastAsia="de-DE"/>
              </w:rPr>
            </w:pPr>
          </w:p>
        </w:tc>
        <w:tc>
          <w:tcPr>
            <w:tcW w:w="1923" w:type="dxa"/>
            <w:shd w:val="clear" w:color="auto" w:fill="DEEAF6" w:themeFill="accent1" w:themeFillTint="33"/>
            <w:vAlign w:val="center"/>
          </w:tcPr>
          <w:p w14:paraId="1256DA0D"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04" w:type="dxa"/>
            <w:shd w:val="clear" w:color="auto" w:fill="DEEAF6" w:themeFill="accent1" w:themeFillTint="33"/>
            <w:vAlign w:val="center"/>
          </w:tcPr>
          <w:p w14:paraId="28F7E1B7"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538" w:type="dxa"/>
            <w:shd w:val="clear" w:color="auto" w:fill="DEEAF6" w:themeFill="accent1" w:themeFillTint="33"/>
            <w:vAlign w:val="center"/>
          </w:tcPr>
          <w:p w14:paraId="489AFDC6"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722" w:type="dxa"/>
            <w:shd w:val="clear" w:color="auto" w:fill="auto"/>
            <w:vAlign w:val="center"/>
          </w:tcPr>
          <w:p w14:paraId="7D067C07" w14:textId="77777777" w:rsidR="00E8617E" w:rsidRPr="00BC513A" w:rsidRDefault="00E8617E" w:rsidP="00922731">
            <w:pPr>
              <w:jc w:val="center"/>
              <w:rPr>
                <w:rFonts w:ascii="Arial" w:hAnsi="Arial" w:cs="Arial"/>
                <w:sz w:val="20"/>
                <w:szCs w:val="20"/>
                <w:lang w:eastAsia="de-DE"/>
              </w:rPr>
            </w:pPr>
          </w:p>
        </w:tc>
      </w:tr>
      <w:tr w:rsidR="00E8617E" w:rsidRPr="00BC513A" w14:paraId="74F582FC" w14:textId="77777777" w:rsidTr="00CA65A8">
        <w:tc>
          <w:tcPr>
            <w:tcW w:w="562" w:type="dxa"/>
            <w:vMerge/>
          </w:tcPr>
          <w:p w14:paraId="7C532D45"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1DFCA149"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214</w:t>
            </w:r>
          </w:p>
        </w:tc>
        <w:tc>
          <w:tcPr>
            <w:tcW w:w="1559" w:type="dxa"/>
            <w:shd w:val="clear" w:color="auto" w:fill="auto"/>
            <w:vAlign w:val="center"/>
          </w:tcPr>
          <w:p w14:paraId="7FC432AD"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24D909CA" w14:textId="77777777" w:rsidR="00E8617E" w:rsidRPr="00BC513A" w:rsidRDefault="00E8617E" w:rsidP="00922731">
            <w:pPr>
              <w:jc w:val="center"/>
              <w:rPr>
                <w:rFonts w:ascii="Arial" w:hAnsi="Arial" w:cs="Arial"/>
                <w:sz w:val="20"/>
                <w:szCs w:val="20"/>
                <w:lang w:eastAsia="de-DE"/>
              </w:rPr>
            </w:pPr>
          </w:p>
        </w:tc>
        <w:tc>
          <w:tcPr>
            <w:tcW w:w="1985" w:type="dxa"/>
            <w:shd w:val="clear" w:color="auto" w:fill="auto"/>
            <w:vAlign w:val="center"/>
          </w:tcPr>
          <w:p w14:paraId="35595670" w14:textId="77777777" w:rsidR="00E8617E" w:rsidRPr="00BC513A" w:rsidRDefault="00E8617E" w:rsidP="00922731">
            <w:pPr>
              <w:jc w:val="center"/>
              <w:rPr>
                <w:rFonts w:ascii="Arial" w:hAnsi="Arial" w:cs="Arial"/>
                <w:sz w:val="20"/>
                <w:szCs w:val="20"/>
                <w:lang w:eastAsia="de-DE"/>
              </w:rPr>
            </w:pPr>
          </w:p>
        </w:tc>
        <w:tc>
          <w:tcPr>
            <w:tcW w:w="1923" w:type="dxa"/>
            <w:shd w:val="clear" w:color="auto" w:fill="DEEAF6" w:themeFill="accent1" w:themeFillTint="33"/>
            <w:vAlign w:val="center"/>
          </w:tcPr>
          <w:p w14:paraId="3F55C82D"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04" w:type="dxa"/>
            <w:shd w:val="clear" w:color="auto" w:fill="DEEAF6" w:themeFill="accent1" w:themeFillTint="33"/>
            <w:vAlign w:val="center"/>
          </w:tcPr>
          <w:p w14:paraId="58ED36BF"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538" w:type="dxa"/>
            <w:shd w:val="clear" w:color="auto" w:fill="DEEAF6" w:themeFill="accent1" w:themeFillTint="33"/>
            <w:vAlign w:val="center"/>
          </w:tcPr>
          <w:p w14:paraId="1F5A1368"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722" w:type="dxa"/>
            <w:shd w:val="clear" w:color="auto" w:fill="auto"/>
            <w:vAlign w:val="center"/>
          </w:tcPr>
          <w:p w14:paraId="5DA74456" w14:textId="77777777" w:rsidR="00E8617E" w:rsidRPr="00BC513A" w:rsidRDefault="00E8617E" w:rsidP="00922731">
            <w:pPr>
              <w:jc w:val="center"/>
              <w:rPr>
                <w:rFonts w:ascii="Arial" w:hAnsi="Arial" w:cs="Arial"/>
                <w:sz w:val="20"/>
                <w:szCs w:val="20"/>
                <w:lang w:eastAsia="de-DE"/>
              </w:rPr>
            </w:pPr>
          </w:p>
        </w:tc>
      </w:tr>
      <w:tr w:rsidR="00E8617E" w:rsidRPr="00BC513A" w14:paraId="286D7997" w14:textId="77777777" w:rsidTr="00CA65A8">
        <w:tc>
          <w:tcPr>
            <w:tcW w:w="562" w:type="dxa"/>
            <w:vMerge/>
          </w:tcPr>
          <w:p w14:paraId="09AF0565"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1A6EB34F"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223</w:t>
            </w:r>
          </w:p>
        </w:tc>
        <w:tc>
          <w:tcPr>
            <w:tcW w:w="1559" w:type="dxa"/>
            <w:shd w:val="clear" w:color="auto" w:fill="auto"/>
            <w:vAlign w:val="center"/>
          </w:tcPr>
          <w:p w14:paraId="23E19958"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20C48EED" w14:textId="77777777" w:rsidR="00E8617E" w:rsidRPr="00BC513A" w:rsidRDefault="00E8617E" w:rsidP="00922731">
            <w:pPr>
              <w:jc w:val="center"/>
              <w:rPr>
                <w:rFonts w:ascii="Arial" w:hAnsi="Arial" w:cs="Arial"/>
                <w:sz w:val="20"/>
                <w:szCs w:val="20"/>
                <w:lang w:eastAsia="de-DE"/>
              </w:rPr>
            </w:pPr>
          </w:p>
        </w:tc>
        <w:tc>
          <w:tcPr>
            <w:tcW w:w="1985" w:type="dxa"/>
            <w:shd w:val="clear" w:color="auto" w:fill="auto"/>
            <w:vAlign w:val="center"/>
          </w:tcPr>
          <w:p w14:paraId="2FABD84A" w14:textId="77777777" w:rsidR="00E8617E" w:rsidRPr="00BC513A" w:rsidRDefault="00E8617E" w:rsidP="00922731">
            <w:pPr>
              <w:jc w:val="center"/>
              <w:rPr>
                <w:rFonts w:ascii="Arial" w:hAnsi="Arial" w:cs="Arial"/>
                <w:sz w:val="20"/>
                <w:szCs w:val="20"/>
                <w:lang w:eastAsia="de-DE"/>
              </w:rPr>
            </w:pPr>
          </w:p>
        </w:tc>
        <w:tc>
          <w:tcPr>
            <w:tcW w:w="1923" w:type="dxa"/>
            <w:shd w:val="clear" w:color="auto" w:fill="auto"/>
            <w:vAlign w:val="center"/>
          </w:tcPr>
          <w:p w14:paraId="6E955F94" w14:textId="77777777" w:rsidR="00E8617E" w:rsidRPr="00BC513A" w:rsidRDefault="00E8617E" w:rsidP="00922731">
            <w:pPr>
              <w:jc w:val="center"/>
              <w:rPr>
                <w:rFonts w:ascii="Arial" w:hAnsi="Arial" w:cs="Arial"/>
                <w:sz w:val="20"/>
                <w:szCs w:val="20"/>
                <w:lang w:eastAsia="de-DE"/>
              </w:rPr>
            </w:pPr>
          </w:p>
        </w:tc>
        <w:tc>
          <w:tcPr>
            <w:tcW w:w="1904" w:type="dxa"/>
            <w:shd w:val="clear" w:color="auto" w:fill="DEEAF6" w:themeFill="accent1" w:themeFillTint="33"/>
            <w:vAlign w:val="center"/>
          </w:tcPr>
          <w:p w14:paraId="7380A2A7"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538" w:type="dxa"/>
            <w:shd w:val="clear" w:color="auto" w:fill="auto"/>
            <w:vAlign w:val="center"/>
          </w:tcPr>
          <w:p w14:paraId="28ECE478" w14:textId="77777777" w:rsidR="00E8617E" w:rsidRPr="00BC513A" w:rsidRDefault="00E8617E" w:rsidP="00922731">
            <w:pPr>
              <w:jc w:val="center"/>
              <w:rPr>
                <w:rFonts w:ascii="Arial" w:hAnsi="Arial" w:cs="Arial"/>
                <w:sz w:val="20"/>
                <w:szCs w:val="20"/>
                <w:lang w:eastAsia="de-DE"/>
              </w:rPr>
            </w:pPr>
          </w:p>
        </w:tc>
        <w:tc>
          <w:tcPr>
            <w:tcW w:w="1722" w:type="dxa"/>
            <w:shd w:val="clear" w:color="auto" w:fill="DEEAF6" w:themeFill="accent1" w:themeFillTint="33"/>
            <w:vAlign w:val="center"/>
          </w:tcPr>
          <w:p w14:paraId="2305968E"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r>
      <w:tr w:rsidR="00E8617E" w:rsidRPr="00BC513A" w14:paraId="7DCC8DDF" w14:textId="77777777" w:rsidTr="00CA65A8">
        <w:tc>
          <w:tcPr>
            <w:tcW w:w="562" w:type="dxa"/>
            <w:vMerge/>
          </w:tcPr>
          <w:p w14:paraId="0ADE4B95"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0D064FAD"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226</w:t>
            </w:r>
          </w:p>
        </w:tc>
        <w:tc>
          <w:tcPr>
            <w:tcW w:w="1559" w:type="dxa"/>
            <w:shd w:val="clear" w:color="auto" w:fill="auto"/>
            <w:vAlign w:val="center"/>
          </w:tcPr>
          <w:p w14:paraId="462B4A55"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05CF7859" w14:textId="77777777" w:rsidR="00E8617E" w:rsidRPr="00BC513A" w:rsidRDefault="00E8617E" w:rsidP="00922731">
            <w:pPr>
              <w:jc w:val="center"/>
              <w:rPr>
                <w:rFonts w:ascii="Arial" w:hAnsi="Arial" w:cs="Arial"/>
                <w:sz w:val="20"/>
                <w:szCs w:val="20"/>
                <w:lang w:eastAsia="de-DE"/>
              </w:rPr>
            </w:pPr>
          </w:p>
        </w:tc>
        <w:tc>
          <w:tcPr>
            <w:tcW w:w="1985" w:type="dxa"/>
            <w:shd w:val="clear" w:color="auto" w:fill="auto"/>
            <w:vAlign w:val="center"/>
          </w:tcPr>
          <w:p w14:paraId="03489D2B" w14:textId="77777777" w:rsidR="00E8617E" w:rsidRPr="00BC513A" w:rsidRDefault="00E8617E" w:rsidP="00922731">
            <w:pPr>
              <w:jc w:val="center"/>
              <w:rPr>
                <w:rFonts w:ascii="Arial" w:hAnsi="Arial" w:cs="Arial"/>
                <w:sz w:val="20"/>
                <w:szCs w:val="20"/>
                <w:lang w:eastAsia="de-DE"/>
              </w:rPr>
            </w:pPr>
          </w:p>
        </w:tc>
        <w:tc>
          <w:tcPr>
            <w:tcW w:w="1923" w:type="dxa"/>
            <w:shd w:val="clear" w:color="auto" w:fill="auto"/>
            <w:vAlign w:val="center"/>
          </w:tcPr>
          <w:p w14:paraId="13C21BE4" w14:textId="77777777" w:rsidR="00E8617E" w:rsidRPr="00BC513A" w:rsidRDefault="00E8617E" w:rsidP="00922731">
            <w:pPr>
              <w:jc w:val="center"/>
              <w:rPr>
                <w:rFonts w:ascii="Arial" w:hAnsi="Arial" w:cs="Arial"/>
                <w:sz w:val="20"/>
                <w:szCs w:val="20"/>
                <w:lang w:eastAsia="de-DE"/>
              </w:rPr>
            </w:pPr>
          </w:p>
        </w:tc>
        <w:tc>
          <w:tcPr>
            <w:tcW w:w="1904" w:type="dxa"/>
            <w:shd w:val="clear" w:color="auto" w:fill="DEEAF6" w:themeFill="accent1" w:themeFillTint="33"/>
            <w:vAlign w:val="center"/>
          </w:tcPr>
          <w:p w14:paraId="18B4C62F"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538" w:type="dxa"/>
            <w:shd w:val="clear" w:color="auto" w:fill="auto"/>
            <w:vAlign w:val="center"/>
          </w:tcPr>
          <w:p w14:paraId="6A23C713" w14:textId="77777777" w:rsidR="00E8617E" w:rsidRPr="00BC513A" w:rsidRDefault="00E8617E" w:rsidP="00922731">
            <w:pPr>
              <w:jc w:val="center"/>
              <w:rPr>
                <w:rFonts w:ascii="Arial" w:hAnsi="Arial" w:cs="Arial"/>
                <w:sz w:val="20"/>
                <w:szCs w:val="20"/>
                <w:lang w:eastAsia="de-DE"/>
              </w:rPr>
            </w:pPr>
          </w:p>
        </w:tc>
        <w:tc>
          <w:tcPr>
            <w:tcW w:w="1722" w:type="dxa"/>
            <w:shd w:val="clear" w:color="auto" w:fill="DEEAF6" w:themeFill="accent1" w:themeFillTint="33"/>
            <w:vAlign w:val="center"/>
          </w:tcPr>
          <w:p w14:paraId="7999011C"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r>
      <w:tr w:rsidR="00E8617E" w:rsidRPr="00BC513A" w14:paraId="573E3A58" w14:textId="77777777" w:rsidTr="00CA65A8">
        <w:tc>
          <w:tcPr>
            <w:tcW w:w="562" w:type="dxa"/>
            <w:vMerge w:val="restart"/>
            <w:vAlign w:val="center"/>
          </w:tcPr>
          <w:p w14:paraId="2B6BAA36"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Ос3</w:t>
            </w:r>
          </w:p>
        </w:tc>
        <w:tc>
          <w:tcPr>
            <w:tcW w:w="993" w:type="dxa"/>
            <w:shd w:val="clear" w:color="auto" w:fill="auto"/>
            <w:vAlign w:val="center"/>
          </w:tcPr>
          <w:p w14:paraId="5C6D9961"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311</w:t>
            </w:r>
          </w:p>
        </w:tc>
        <w:tc>
          <w:tcPr>
            <w:tcW w:w="1559" w:type="dxa"/>
            <w:shd w:val="clear" w:color="auto" w:fill="E2EFD9" w:themeFill="accent6" w:themeFillTint="33"/>
            <w:vAlign w:val="center"/>
          </w:tcPr>
          <w:p w14:paraId="73A20E2E"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417" w:type="dxa"/>
            <w:shd w:val="clear" w:color="auto" w:fill="E2EFD9" w:themeFill="accent6" w:themeFillTint="33"/>
            <w:vAlign w:val="center"/>
          </w:tcPr>
          <w:p w14:paraId="2B06E2CA"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85" w:type="dxa"/>
            <w:shd w:val="clear" w:color="auto" w:fill="auto"/>
            <w:vAlign w:val="center"/>
          </w:tcPr>
          <w:p w14:paraId="42371E66" w14:textId="77777777" w:rsidR="00E8617E" w:rsidRPr="00BC513A" w:rsidRDefault="00E8617E" w:rsidP="00922731">
            <w:pPr>
              <w:jc w:val="center"/>
              <w:rPr>
                <w:rFonts w:ascii="Arial" w:hAnsi="Arial" w:cs="Arial"/>
                <w:sz w:val="20"/>
                <w:szCs w:val="20"/>
                <w:lang w:eastAsia="de-DE"/>
              </w:rPr>
            </w:pPr>
          </w:p>
        </w:tc>
        <w:tc>
          <w:tcPr>
            <w:tcW w:w="1923" w:type="dxa"/>
            <w:shd w:val="clear" w:color="auto" w:fill="auto"/>
            <w:vAlign w:val="center"/>
          </w:tcPr>
          <w:p w14:paraId="5795FFAD"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307E7AC6" w14:textId="77777777" w:rsidR="00E8617E" w:rsidRPr="00BC513A" w:rsidRDefault="00E8617E" w:rsidP="00922731">
            <w:pPr>
              <w:jc w:val="center"/>
              <w:rPr>
                <w:rFonts w:ascii="Arial" w:hAnsi="Arial" w:cs="Arial"/>
                <w:sz w:val="20"/>
                <w:szCs w:val="20"/>
                <w:lang w:eastAsia="de-DE"/>
              </w:rPr>
            </w:pPr>
          </w:p>
        </w:tc>
        <w:tc>
          <w:tcPr>
            <w:tcW w:w="1538" w:type="dxa"/>
            <w:shd w:val="clear" w:color="auto" w:fill="auto"/>
            <w:vAlign w:val="center"/>
          </w:tcPr>
          <w:p w14:paraId="7F38B91F"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3E22C722" w14:textId="77777777" w:rsidR="00E8617E" w:rsidRPr="00BC513A" w:rsidRDefault="00E8617E" w:rsidP="00922731">
            <w:pPr>
              <w:jc w:val="center"/>
              <w:rPr>
                <w:rFonts w:ascii="Arial" w:hAnsi="Arial" w:cs="Arial"/>
                <w:sz w:val="20"/>
                <w:szCs w:val="20"/>
                <w:lang w:eastAsia="de-DE"/>
              </w:rPr>
            </w:pPr>
          </w:p>
        </w:tc>
      </w:tr>
      <w:tr w:rsidR="00E8617E" w:rsidRPr="00BC513A" w14:paraId="43B8B0B3" w14:textId="77777777" w:rsidTr="00CA65A8">
        <w:tc>
          <w:tcPr>
            <w:tcW w:w="562" w:type="dxa"/>
            <w:vMerge/>
          </w:tcPr>
          <w:p w14:paraId="09511764"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06FB0D81"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312</w:t>
            </w:r>
          </w:p>
        </w:tc>
        <w:tc>
          <w:tcPr>
            <w:tcW w:w="1559" w:type="dxa"/>
            <w:shd w:val="clear" w:color="auto" w:fill="E2EFD9" w:themeFill="accent6" w:themeFillTint="33"/>
            <w:vAlign w:val="center"/>
          </w:tcPr>
          <w:p w14:paraId="6841CDDA"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417" w:type="dxa"/>
            <w:shd w:val="clear" w:color="auto" w:fill="E2EFD9" w:themeFill="accent6" w:themeFillTint="33"/>
            <w:vAlign w:val="center"/>
          </w:tcPr>
          <w:p w14:paraId="3F8302AE"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85" w:type="dxa"/>
            <w:shd w:val="clear" w:color="auto" w:fill="auto"/>
            <w:vAlign w:val="center"/>
          </w:tcPr>
          <w:p w14:paraId="200AA8ED" w14:textId="77777777" w:rsidR="00E8617E" w:rsidRPr="00BC513A" w:rsidRDefault="00E8617E" w:rsidP="00922731">
            <w:pPr>
              <w:jc w:val="center"/>
              <w:rPr>
                <w:rFonts w:ascii="Arial" w:hAnsi="Arial" w:cs="Arial"/>
                <w:sz w:val="20"/>
                <w:szCs w:val="20"/>
                <w:lang w:eastAsia="de-DE"/>
              </w:rPr>
            </w:pPr>
          </w:p>
        </w:tc>
        <w:tc>
          <w:tcPr>
            <w:tcW w:w="1923" w:type="dxa"/>
            <w:shd w:val="clear" w:color="auto" w:fill="auto"/>
            <w:vAlign w:val="center"/>
          </w:tcPr>
          <w:p w14:paraId="53FF4C29"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0419A65A" w14:textId="77777777" w:rsidR="00E8617E" w:rsidRPr="00BC513A" w:rsidRDefault="00E8617E" w:rsidP="00922731">
            <w:pPr>
              <w:jc w:val="center"/>
              <w:rPr>
                <w:rFonts w:ascii="Arial" w:hAnsi="Arial" w:cs="Arial"/>
                <w:sz w:val="20"/>
                <w:szCs w:val="20"/>
                <w:lang w:eastAsia="de-DE"/>
              </w:rPr>
            </w:pPr>
          </w:p>
        </w:tc>
        <w:tc>
          <w:tcPr>
            <w:tcW w:w="1538" w:type="dxa"/>
            <w:shd w:val="clear" w:color="auto" w:fill="auto"/>
            <w:vAlign w:val="center"/>
          </w:tcPr>
          <w:p w14:paraId="670F7BEC" w14:textId="77777777" w:rsidR="00E8617E" w:rsidRPr="00BC513A" w:rsidRDefault="00E8617E" w:rsidP="00922731">
            <w:pPr>
              <w:jc w:val="center"/>
              <w:rPr>
                <w:rFonts w:ascii="Arial" w:hAnsi="Arial" w:cs="Arial"/>
                <w:sz w:val="20"/>
                <w:szCs w:val="20"/>
                <w:lang w:eastAsia="de-DE"/>
              </w:rPr>
            </w:pPr>
          </w:p>
        </w:tc>
        <w:tc>
          <w:tcPr>
            <w:tcW w:w="1722" w:type="dxa"/>
            <w:shd w:val="clear" w:color="auto" w:fill="E2EFD9" w:themeFill="accent6" w:themeFillTint="33"/>
            <w:vAlign w:val="center"/>
          </w:tcPr>
          <w:p w14:paraId="5811F389" w14:textId="77777777" w:rsidR="00E8617E" w:rsidRPr="00BC513A" w:rsidRDefault="00E8617E" w:rsidP="00922731">
            <w:pPr>
              <w:jc w:val="center"/>
              <w:rPr>
                <w:rFonts w:ascii="Arial" w:hAnsi="Arial" w:cs="Arial"/>
                <w:sz w:val="20"/>
                <w:szCs w:val="20"/>
                <w:lang w:eastAsia="de-DE"/>
              </w:rPr>
            </w:pPr>
          </w:p>
        </w:tc>
      </w:tr>
      <w:tr w:rsidR="00E8617E" w:rsidRPr="00BC513A" w14:paraId="0A3A41BD" w14:textId="77777777" w:rsidTr="00CA65A8">
        <w:tc>
          <w:tcPr>
            <w:tcW w:w="562" w:type="dxa"/>
            <w:vMerge/>
          </w:tcPr>
          <w:p w14:paraId="1F5FAC61"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3464C78D"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313</w:t>
            </w:r>
          </w:p>
        </w:tc>
        <w:tc>
          <w:tcPr>
            <w:tcW w:w="1559" w:type="dxa"/>
            <w:shd w:val="clear" w:color="auto" w:fill="E2EFD9" w:themeFill="accent6" w:themeFillTint="33"/>
            <w:vAlign w:val="center"/>
          </w:tcPr>
          <w:p w14:paraId="19483C8C"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417" w:type="dxa"/>
            <w:shd w:val="clear" w:color="auto" w:fill="E2EFD9" w:themeFill="accent6" w:themeFillTint="33"/>
            <w:vAlign w:val="center"/>
          </w:tcPr>
          <w:p w14:paraId="034795EA"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85" w:type="dxa"/>
            <w:shd w:val="clear" w:color="auto" w:fill="auto"/>
            <w:vAlign w:val="center"/>
          </w:tcPr>
          <w:p w14:paraId="6C4ED752" w14:textId="77777777" w:rsidR="00E8617E" w:rsidRPr="00BC513A" w:rsidRDefault="00E8617E" w:rsidP="00922731">
            <w:pPr>
              <w:jc w:val="center"/>
              <w:rPr>
                <w:rFonts w:ascii="Arial" w:hAnsi="Arial" w:cs="Arial"/>
                <w:sz w:val="20"/>
                <w:szCs w:val="20"/>
                <w:lang w:eastAsia="de-DE"/>
              </w:rPr>
            </w:pPr>
          </w:p>
        </w:tc>
        <w:tc>
          <w:tcPr>
            <w:tcW w:w="1923" w:type="dxa"/>
            <w:shd w:val="clear" w:color="auto" w:fill="auto"/>
            <w:vAlign w:val="center"/>
          </w:tcPr>
          <w:p w14:paraId="27A7502A"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58BB30E6" w14:textId="77777777" w:rsidR="00E8617E" w:rsidRPr="00BC513A" w:rsidRDefault="00E8617E" w:rsidP="00922731">
            <w:pPr>
              <w:jc w:val="center"/>
              <w:rPr>
                <w:rFonts w:ascii="Arial" w:hAnsi="Arial" w:cs="Arial"/>
                <w:sz w:val="20"/>
                <w:szCs w:val="20"/>
                <w:lang w:eastAsia="de-DE"/>
              </w:rPr>
            </w:pPr>
          </w:p>
        </w:tc>
        <w:tc>
          <w:tcPr>
            <w:tcW w:w="1538" w:type="dxa"/>
            <w:shd w:val="clear" w:color="auto" w:fill="auto"/>
            <w:vAlign w:val="center"/>
          </w:tcPr>
          <w:p w14:paraId="204FD900"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324488A0" w14:textId="77777777" w:rsidR="00E8617E" w:rsidRPr="00BC513A" w:rsidRDefault="00E8617E" w:rsidP="00922731">
            <w:pPr>
              <w:jc w:val="center"/>
              <w:rPr>
                <w:rFonts w:ascii="Arial" w:hAnsi="Arial" w:cs="Arial"/>
                <w:sz w:val="20"/>
                <w:szCs w:val="20"/>
                <w:lang w:eastAsia="de-DE"/>
              </w:rPr>
            </w:pPr>
          </w:p>
        </w:tc>
      </w:tr>
      <w:tr w:rsidR="00E8617E" w:rsidRPr="00BC513A" w14:paraId="61AA7776" w14:textId="77777777" w:rsidTr="00CA65A8">
        <w:tc>
          <w:tcPr>
            <w:tcW w:w="562" w:type="dxa"/>
            <w:vMerge/>
          </w:tcPr>
          <w:p w14:paraId="77F89A71"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1749D664"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321</w:t>
            </w:r>
          </w:p>
        </w:tc>
        <w:tc>
          <w:tcPr>
            <w:tcW w:w="1559" w:type="dxa"/>
            <w:shd w:val="clear" w:color="auto" w:fill="E2EFD9" w:themeFill="accent6" w:themeFillTint="33"/>
            <w:vAlign w:val="center"/>
          </w:tcPr>
          <w:p w14:paraId="06B27F31"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417" w:type="dxa"/>
            <w:shd w:val="clear" w:color="auto" w:fill="E2EFD9" w:themeFill="accent6" w:themeFillTint="33"/>
            <w:vAlign w:val="center"/>
          </w:tcPr>
          <w:p w14:paraId="08C62B82"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85" w:type="dxa"/>
            <w:shd w:val="clear" w:color="auto" w:fill="auto"/>
            <w:vAlign w:val="center"/>
          </w:tcPr>
          <w:p w14:paraId="357FD040" w14:textId="77777777" w:rsidR="00E8617E" w:rsidRPr="00BC513A" w:rsidRDefault="00E8617E" w:rsidP="00922731">
            <w:pPr>
              <w:jc w:val="center"/>
              <w:rPr>
                <w:rFonts w:ascii="Arial" w:hAnsi="Arial" w:cs="Arial"/>
                <w:sz w:val="20"/>
                <w:szCs w:val="20"/>
                <w:lang w:eastAsia="de-DE"/>
              </w:rPr>
            </w:pPr>
          </w:p>
        </w:tc>
        <w:tc>
          <w:tcPr>
            <w:tcW w:w="1923" w:type="dxa"/>
            <w:shd w:val="clear" w:color="auto" w:fill="auto"/>
            <w:vAlign w:val="center"/>
          </w:tcPr>
          <w:p w14:paraId="0364FFAB"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54B1037C" w14:textId="77777777" w:rsidR="00E8617E" w:rsidRPr="00BC513A" w:rsidRDefault="00E8617E" w:rsidP="00922731">
            <w:pPr>
              <w:jc w:val="center"/>
              <w:rPr>
                <w:rFonts w:ascii="Arial" w:hAnsi="Arial" w:cs="Arial"/>
                <w:sz w:val="20"/>
                <w:szCs w:val="20"/>
                <w:lang w:eastAsia="de-DE"/>
              </w:rPr>
            </w:pPr>
          </w:p>
        </w:tc>
        <w:tc>
          <w:tcPr>
            <w:tcW w:w="1538" w:type="dxa"/>
            <w:shd w:val="clear" w:color="auto" w:fill="E2EFD9" w:themeFill="accent6" w:themeFillTint="33"/>
            <w:vAlign w:val="center"/>
          </w:tcPr>
          <w:p w14:paraId="25DF8703"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0B4B4533" w14:textId="77777777" w:rsidR="00E8617E" w:rsidRPr="00BC513A" w:rsidRDefault="00E8617E" w:rsidP="00922731">
            <w:pPr>
              <w:jc w:val="center"/>
              <w:rPr>
                <w:rFonts w:ascii="Arial" w:hAnsi="Arial" w:cs="Arial"/>
                <w:sz w:val="20"/>
                <w:szCs w:val="20"/>
                <w:lang w:eastAsia="de-DE"/>
              </w:rPr>
            </w:pPr>
          </w:p>
        </w:tc>
      </w:tr>
      <w:tr w:rsidR="00E8617E" w:rsidRPr="00BC513A" w14:paraId="4A82696F" w14:textId="77777777" w:rsidTr="00CA65A8">
        <w:tc>
          <w:tcPr>
            <w:tcW w:w="562" w:type="dxa"/>
            <w:vMerge/>
          </w:tcPr>
          <w:p w14:paraId="63B5E413"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53FB908E"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322</w:t>
            </w:r>
          </w:p>
        </w:tc>
        <w:tc>
          <w:tcPr>
            <w:tcW w:w="1559" w:type="dxa"/>
            <w:shd w:val="clear" w:color="auto" w:fill="E2EFD9" w:themeFill="accent6" w:themeFillTint="33"/>
            <w:vAlign w:val="center"/>
          </w:tcPr>
          <w:p w14:paraId="74E587C0"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417" w:type="dxa"/>
            <w:shd w:val="clear" w:color="auto" w:fill="E2EFD9" w:themeFill="accent6" w:themeFillTint="33"/>
            <w:vAlign w:val="center"/>
          </w:tcPr>
          <w:p w14:paraId="2495CDBB"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85" w:type="dxa"/>
            <w:shd w:val="clear" w:color="auto" w:fill="auto"/>
            <w:vAlign w:val="center"/>
          </w:tcPr>
          <w:p w14:paraId="220257E0" w14:textId="77777777" w:rsidR="00E8617E" w:rsidRPr="00BC513A" w:rsidRDefault="00E8617E" w:rsidP="00922731">
            <w:pPr>
              <w:jc w:val="center"/>
              <w:rPr>
                <w:rFonts w:ascii="Arial" w:hAnsi="Arial" w:cs="Arial"/>
                <w:sz w:val="20"/>
                <w:szCs w:val="20"/>
                <w:lang w:eastAsia="de-DE"/>
              </w:rPr>
            </w:pPr>
          </w:p>
        </w:tc>
        <w:tc>
          <w:tcPr>
            <w:tcW w:w="1923" w:type="dxa"/>
            <w:shd w:val="clear" w:color="auto" w:fill="auto"/>
            <w:vAlign w:val="center"/>
          </w:tcPr>
          <w:p w14:paraId="4EF1F727"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33A377A6" w14:textId="77777777" w:rsidR="00E8617E" w:rsidRPr="00BC513A" w:rsidRDefault="00E8617E" w:rsidP="00922731">
            <w:pPr>
              <w:jc w:val="center"/>
              <w:rPr>
                <w:rFonts w:ascii="Arial" w:hAnsi="Arial" w:cs="Arial"/>
                <w:sz w:val="20"/>
                <w:szCs w:val="20"/>
                <w:lang w:eastAsia="de-DE"/>
              </w:rPr>
            </w:pPr>
          </w:p>
        </w:tc>
        <w:tc>
          <w:tcPr>
            <w:tcW w:w="1538" w:type="dxa"/>
            <w:shd w:val="clear" w:color="auto" w:fill="auto"/>
            <w:vAlign w:val="center"/>
          </w:tcPr>
          <w:p w14:paraId="2131E509"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122C59EC" w14:textId="77777777" w:rsidR="00E8617E" w:rsidRPr="00BC513A" w:rsidRDefault="00E8617E" w:rsidP="00922731">
            <w:pPr>
              <w:jc w:val="center"/>
              <w:rPr>
                <w:rFonts w:ascii="Arial" w:hAnsi="Arial" w:cs="Arial"/>
                <w:sz w:val="20"/>
                <w:szCs w:val="20"/>
                <w:lang w:eastAsia="de-DE"/>
              </w:rPr>
            </w:pPr>
          </w:p>
        </w:tc>
      </w:tr>
      <w:tr w:rsidR="00E8617E" w:rsidRPr="00BC513A" w14:paraId="603CADE2" w14:textId="77777777" w:rsidTr="00CA65A8">
        <w:tc>
          <w:tcPr>
            <w:tcW w:w="562" w:type="dxa"/>
            <w:vMerge w:val="restart"/>
            <w:vAlign w:val="center"/>
          </w:tcPr>
          <w:p w14:paraId="081391BB"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Ос 4</w:t>
            </w:r>
          </w:p>
        </w:tc>
        <w:tc>
          <w:tcPr>
            <w:tcW w:w="993" w:type="dxa"/>
            <w:shd w:val="clear" w:color="auto" w:fill="auto"/>
            <w:vAlign w:val="center"/>
          </w:tcPr>
          <w:p w14:paraId="71CA7491"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41</w:t>
            </w:r>
          </w:p>
        </w:tc>
        <w:tc>
          <w:tcPr>
            <w:tcW w:w="1559" w:type="dxa"/>
            <w:shd w:val="clear" w:color="auto" w:fill="FFF2CC" w:themeFill="accent4" w:themeFillTint="33"/>
            <w:vAlign w:val="center"/>
          </w:tcPr>
          <w:p w14:paraId="7EE6E35F"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417" w:type="dxa"/>
            <w:shd w:val="clear" w:color="auto" w:fill="FFF2CC" w:themeFill="accent4" w:themeFillTint="33"/>
            <w:vAlign w:val="center"/>
          </w:tcPr>
          <w:p w14:paraId="7AADA7B9"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85" w:type="dxa"/>
            <w:shd w:val="clear" w:color="auto" w:fill="FFF2CC" w:themeFill="accent4" w:themeFillTint="33"/>
            <w:vAlign w:val="center"/>
          </w:tcPr>
          <w:p w14:paraId="730859EB" w14:textId="77777777" w:rsidR="00E8617E" w:rsidRPr="00BC513A" w:rsidRDefault="00E8617E" w:rsidP="00922731">
            <w:pPr>
              <w:jc w:val="center"/>
              <w:rPr>
                <w:rFonts w:ascii="Arial" w:hAnsi="Arial" w:cs="Arial"/>
                <w:sz w:val="20"/>
                <w:szCs w:val="20"/>
                <w:lang w:eastAsia="de-DE"/>
              </w:rPr>
            </w:pPr>
          </w:p>
        </w:tc>
        <w:tc>
          <w:tcPr>
            <w:tcW w:w="1923" w:type="dxa"/>
            <w:shd w:val="clear" w:color="auto" w:fill="FFF2CC" w:themeFill="accent4" w:themeFillTint="33"/>
            <w:vAlign w:val="center"/>
          </w:tcPr>
          <w:p w14:paraId="226E7400" w14:textId="77777777" w:rsidR="00E8617E" w:rsidRPr="00BC513A" w:rsidRDefault="00E8617E" w:rsidP="00922731">
            <w:pPr>
              <w:jc w:val="center"/>
              <w:rPr>
                <w:rFonts w:ascii="Arial" w:hAnsi="Arial" w:cs="Arial"/>
                <w:sz w:val="20"/>
                <w:szCs w:val="20"/>
                <w:lang w:eastAsia="de-DE"/>
              </w:rPr>
            </w:pPr>
          </w:p>
        </w:tc>
        <w:tc>
          <w:tcPr>
            <w:tcW w:w="1904" w:type="dxa"/>
            <w:shd w:val="clear" w:color="auto" w:fill="FFF2CC" w:themeFill="accent4" w:themeFillTint="33"/>
            <w:vAlign w:val="center"/>
          </w:tcPr>
          <w:p w14:paraId="0264DF92" w14:textId="77777777" w:rsidR="00E8617E" w:rsidRPr="00BC513A" w:rsidRDefault="00E8617E" w:rsidP="00922731">
            <w:pPr>
              <w:jc w:val="center"/>
              <w:rPr>
                <w:rFonts w:ascii="Arial" w:hAnsi="Arial" w:cs="Arial"/>
                <w:sz w:val="20"/>
                <w:szCs w:val="20"/>
                <w:lang w:eastAsia="de-DE"/>
              </w:rPr>
            </w:pPr>
          </w:p>
        </w:tc>
        <w:tc>
          <w:tcPr>
            <w:tcW w:w="1538" w:type="dxa"/>
            <w:shd w:val="clear" w:color="auto" w:fill="FFF2CC" w:themeFill="accent4" w:themeFillTint="33"/>
            <w:vAlign w:val="center"/>
          </w:tcPr>
          <w:p w14:paraId="72E1A706" w14:textId="77777777" w:rsidR="00E8617E" w:rsidRPr="00BC513A" w:rsidRDefault="00E8617E" w:rsidP="00922731">
            <w:pPr>
              <w:jc w:val="center"/>
              <w:rPr>
                <w:rFonts w:ascii="Arial" w:hAnsi="Arial" w:cs="Arial"/>
                <w:sz w:val="20"/>
                <w:szCs w:val="20"/>
                <w:lang w:eastAsia="de-DE"/>
              </w:rPr>
            </w:pPr>
          </w:p>
        </w:tc>
        <w:tc>
          <w:tcPr>
            <w:tcW w:w="1722" w:type="dxa"/>
            <w:shd w:val="clear" w:color="auto" w:fill="FFF2CC" w:themeFill="accent4" w:themeFillTint="33"/>
            <w:vAlign w:val="center"/>
          </w:tcPr>
          <w:p w14:paraId="55D179DB" w14:textId="77777777" w:rsidR="00E8617E" w:rsidRPr="00BC513A" w:rsidRDefault="00E8617E" w:rsidP="00922731">
            <w:pPr>
              <w:jc w:val="center"/>
              <w:rPr>
                <w:rFonts w:ascii="Arial" w:hAnsi="Arial" w:cs="Arial"/>
                <w:sz w:val="20"/>
                <w:szCs w:val="20"/>
                <w:lang w:eastAsia="de-DE"/>
              </w:rPr>
            </w:pPr>
          </w:p>
        </w:tc>
      </w:tr>
      <w:tr w:rsidR="00E8617E" w:rsidRPr="00BC513A" w14:paraId="186C7BC8" w14:textId="77777777" w:rsidTr="00CA65A8">
        <w:tc>
          <w:tcPr>
            <w:tcW w:w="562" w:type="dxa"/>
            <w:vMerge/>
          </w:tcPr>
          <w:p w14:paraId="12E7A373"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5B763F47"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421</w:t>
            </w:r>
          </w:p>
        </w:tc>
        <w:tc>
          <w:tcPr>
            <w:tcW w:w="1559" w:type="dxa"/>
            <w:shd w:val="clear" w:color="auto" w:fill="FFF2CC" w:themeFill="accent4" w:themeFillTint="33"/>
            <w:vAlign w:val="center"/>
          </w:tcPr>
          <w:p w14:paraId="62667217" w14:textId="77777777" w:rsidR="00E8617E" w:rsidRPr="00BC513A" w:rsidRDefault="00E8617E" w:rsidP="00922731">
            <w:pPr>
              <w:jc w:val="center"/>
              <w:rPr>
                <w:rFonts w:ascii="Arial" w:hAnsi="Arial" w:cs="Arial"/>
                <w:sz w:val="20"/>
                <w:szCs w:val="20"/>
                <w:lang w:eastAsia="de-DE"/>
              </w:rPr>
            </w:pPr>
          </w:p>
        </w:tc>
        <w:tc>
          <w:tcPr>
            <w:tcW w:w="1417" w:type="dxa"/>
            <w:shd w:val="clear" w:color="auto" w:fill="FFF2CC" w:themeFill="accent4" w:themeFillTint="33"/>
            <w:vAlign w:val="center"/>
          </w:tcPr>
          <w:p w14:paraId="0F33BA65"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1985" w:type="dxa"/>
            <w:shd w:val="clear" w:color="auto" w:fill="FFF2CC" w:themeFill="accent4" w:themeFillTint="33"/>
            <w:vAlign w:val="center"/>
          </w:tcPr>
          <w:p w14:paraId="4E826698" w14:textId="77777777" w:rsidR="00E8617E" w:rsidRPr="00BC513A" w:rsidRDefault="00E8617E" w:rsidP="00922731">
            <w:pPr>
              <w:jc w:val="center"/>
              <w:rPr>
                <w:rFonts w:ascii="Arial" w:hAnsi="Arial" w:cs="Arial"/>
                <w:sz w:val="20"/>
                <w:szCs w:val="20"/>
                <w:lang w:eastAsia="de-DE"/>
              </w:rPr>
            </w:pPr>
          </w:p>
        </w:tc>
        <w:tc>
          <w:tcPr>
            <w:tcW w:w="1923" w:type="dxa"/>
            <w:shd w:val="clear" w:color="auto" w:fill="FFF2CC" w:themeFill="accent4" w:themeFillTint="33"/>
            <w:vAlign w:val="center"/>
          </w:tcPr>
          <w:p w14:paraId="7BA6AE01" w14:textId="77777777" w:rsidR="00E8617E" w:rsidRPr="00BC513A" w:rsidRDefault="00E8617E" w:rsidP="00922731">
            <w:pPr>
              <w:jc w:val="center"/>
              <w:rPr>
                <w:rFonts w:ascii="Arial" w:hAnsi="Arial" w:cs="Arial"/>
                <w:sz w:val="20"/>
                <w:szCs w:val="20"/>
                <w:lang w:eastAsia="de-DE"/>
              </w:rPr>
            </w:pPr>
          </w:p>
        </w:tc>
        <w:tc>
          <w:tcPr>
            <w:tcW w:w="1904" w:type="dxa"/>
            <w:shd w:val="clear" w:color="auto" w:fill="FFF2CC" w:themeFill="accent4" w:themeFillTint="33"/>
            <w:vAlign w:val="center"/>
          </w:tcPr>
          <w:p w14:paraId="446E65EF" w14:textId="77777777" w:rsidR="00E8617E" w:rsidRPr="00BC513A" w:rsidRDefault="00E8617E" w:rsidP="00922731">
            <w:pPr>
              <w:jc w:val="center"/>
              <w:rPr>
                <w:rFonts w:ascii="Arial" w:hAnsi="Arial" w:cs="Arial"/>
                <w:sz w:val="20"/>
                <w:szCs w:val="20"/>
                <w:lang w:eastAsia="de-DE"/>
              </w:rPr>
            </w:pPr>
          </w:p>
        </w:tc>
        <w:tc>
          <w:tcPr>
            <w:tcW w:w="1538" w:type="dxa"/>
            <w:shd w:val="clear" w:color="auto" w:fill="FFF2CC" w:themeFill="accent4" w:themeFillTint="33"/>
            <w:vAlign w:val="center"/>
          </w:tcPr>
          <w:p w14:paraId="5A49482E" w14:textId="77777777" w:rsidR="00E8617E" w:rsidRPr="00BC513A" w:rsidRDefault="00E8617E" w:rsidP="00922731">
            <w:pPr>
              <w:jc w:val="center"/>
              <w:rPr>
                <w:rFonts w:ascii="Arial" w:hAnsi="Arial" w:cs="Arial"/>
                <w:sz w:val="20"/>
                <w:szCs w:val="20"/>
                <w:lang w:eastAsia="de-DE"/>
              </w:rPr>
            </w:pPr>
          </w:p>
        </w:tc>
        <w:tc>
          <w:tcPr>
            <w:tcW w:w="1722" w:type="dxa"/>
            <w:shd w:val="clear" w:color="auto" w:fill="FFF2CC" w:themeFill="accent4" w:themeFillTint="33"/>
            <w:vAlign w:val="center"/>
          </w:tcPr>
          <w:p w14:paraId="4862FC0E" w14:textId="77777777" w:rsidR="00E8617E" w:rsidRPr="00BC513A" w:rsidRDefault="00E8617E" w:rsidP="00922731">
            <w:pPr>
              <w:jc w:val="center"/>
              <w:rPr>
                <w:rFonts w:ascii="Arial" w:hAnsi="Arial" w:cs="Arial"/>
                <w:sz w:val="20"/>
                <w:szCs w:val="20"/>
                <w:lang w:eastAsia="de-DE"/>
              </w:rPr>
            </w:pPr>
          </w:p>
        </w:tc>
      </w:tr>
      <w:tr w:rsidR="00E8617E" w:rsidRPr="00BC513A" w14:paraId="36EC96A8" w14:textId="77777777" w:rsidTr="00CA65A8">
        <w:tc>
          <w:tcPr>
            <w:tcW w:w="562" w:type="dxa"/>
            <w:vMerge/>
          </w:tcPr>
          <w:p w14:paraId="14D56134" w14:textId="77777777" w:rsidR="00E8617E" w:rsidRPr="00BC513A" w:rsidRDefault="00E8617E" w:rsidP="00922731">
            <w:pPr>
              <w:rPr>
                <w:rFonts w:ascii="Arial" w:hAnsi="Arial" w:cs="Arial"/>
                <w:sz w:val="20"/>
                <w:szCs w:val="20"/>
                <w:lang w:eastAsia="de-DE"/>
              </w:rPr>
            </w:pPr>
          </w:p>
        </w:tc>
        <w:tc>
          <w:tcPr>
            <w:tcW w:w="993" w:type="dxa"/>
            <w:shd w:val="clear" w:color="auto" w:fill="auto"/>
            <w:vAlign w:val="center"/>
          </w:tcPr>
          <w:p w14:paraId="58FECE8C" w14:textId="77777777" w:rsidR="00E8617E" w:rsidRPr="00BC513A" w:rsidRDefault="00E8617E" w:rsidP="00922731">
            <w:pPr>
              <w:jc w:val="center"/>
              <w:rPr>
                <w:rFonts w:ascii="Arial" w:hAnsi="Arial" w:cs="Arial"/>
                <w:sz w:val="20"/>
                <w:szCs w:val="20"/>
                <w:lang w:eastAsia="bg-BG"/>
              </w:rPr>
            </w:pPr>
            <w:r w:rsidRPr="00BC513A">
              <w:rPr>
                <w:rFonts w:ascii="Arial" w:hAnsi="Arial" w:cs="Arial"/>
                <w:sz w:val="20"/>
                <w:szCs w:val="20"/>
                <w:lang w:eastAsia="bg-BG"/>
              </w:rPr>
              <w:t>432</w:t>
            </w:r>
          </w:p>
        </w:tc>
        <w:tc>
          <w:tcPr>
            <w:tcW w:w="1559" w:type="dxa"/>
            <w:shd w:val="clear" w:color="auto" w:fill="auto"/>
            <w:vAlign w:val="center"/>
          </w:tcPr>
          <w:p w14:paraId="4246B5B7" w14:textId="77777777" w:rsidR="00E8617E" w:rsidRPr="00BC513A" w:rsidRDefault="00E8617E" w:rsidP="00922731">
            <w:pPr>
              <w:jc w:val="center"/>
              <w:rPr>
                <w:rFonts w:ascii="Arial" w:hAnsi="Arial" w:cs="Arial"/>
                <w:sz w:val="20"/>
                <w:szCs w:val="20"/>
                <w:lang w:eastAsia="de-DE"/>
              </w:rPr>
            </w:pPr>
          </w:p>
        </w:tc>
        <w:tc>
          <w:tcPr>
            <w:tcW w:w="1417" w:type="dxa"/>
            <w:shd w:val="clear" w:color="auto" w:fill="auto"/>
            <w:vAlign w:val="center"/>
          </w:tcPr>
          <w:p w14:paraId="2DB5F3B1" w14:textId="77777777" w:rsidR="00E8617E" w:rsidRPr="00BC513A" w:rsidRDefault="00E8617E" w:rsidP="00922731">
            <w:pPr>
              <w:jc w:val="center"/>
              <w:rPr>
                <w:rFonts w:ascii="Arial" w:hAnsi="Arial" w:cs="Arial"/>
                <w:sz w:val="20"/>
                <w:szCs w:val="20"/>
                <w:lang w:eastAsia="de-DE"/>
              </w:rPr>
            </w:pPr>
          </w:p>
        </w:tc>
        <w:tc>
          <w:tcPr>
            <w:tcW w:w="1985" w:type="dxa"/>
            <w:shd w:val="clear" w:color="auto" w:fill="auto"/>
            <w:vAlign w:val="center"/>
          </w:tcPr>
          <w:p w14:paraId="38528858" w14:textId="77777777" w:rsidR="00E8617E" w:rsidRPr="00BC513A" w:rsidRDefault="00E8617E" w:rsidP="00922731">
            <w:pPr>
              <w:jc w:val="center"/>
              <w:rPr>
                <w:rFonts w:ascii="Arial" w:hAnsi="Arial" w:cs="Arial"/>
                <w:sz w:val="20"/>
                <w:szCs w:val="20"/>
                <w:lang w:eastAsia="de-DE"/>
              </w:rPr>
            </w:pPr>
          </w:p>
        </w:tc>
        <w:tc>
          <w:tcPr>
            <w:tcW w:w="1923" w:type="dxa"/>
            <w:shd w:val="clear" w:color="auto" w:fill="auto"/>
            <w:vAlign w:val="center"/>
          </w:tcPr>
          <w:p w14:paraId="514576E7" w14:textId="77777777" w:rsidR="00E8617E" w:rsidRPr="00BC513A" w:rsidRDefault="00E8617E" w:rsidP="00922731">
            <w:pPr>
              <w:jc w:val="center"/>
              <w:rPr>
                <w:rFonts w:ascii="Arial" w:hAnsi="Arial" w:cs="Arial"/>
                <w:sz w:val="20"/>
                <w:szCs w:val="20"/>
                <w:lang w:eastAsia="de-DE"/>
              </w:rPr>
            </w:pPr>
          </w:p>
        </w:tc>
        <w:tc>
          <w:tcPr>
            <w:tcW w:w="1904" w:type="dxa"/>
            <w:shd w:val="clear" w:color="auto" w:fill="auto"/>
            <w:vAlign w:val="center"/>
          </w:tcPr>
          <w:p w14:paraId="70EF5B13" w14:textId="77777777" w:rsidR="00E8617E" w:rsidRPr="00BC513A" w:rsidRDefault="00E8617E" w:rsidP="00922731">
            <w:pPr>
              <w:jc w:val="center"/>
              <w:rPr>
                <w:rFonts w:ascii="Arial" w:hAnsi="Arial" w:cs="Arial"/>
                <w:sz w:val="20"/>
                <w:szCs w:val="20"/>
                <w:lang w:eastAsia="de-DE"/>
              </w:rPr>
            </w:pPr>
          </w:p>
        </w:tc>
        <w:tc>
          <w:tcPr>
            <w:tcW w:w="1538" w:type="dxa"/>
            <w:shd w:val="clear" w:color="auto" w:fill="auto"/>
            <w:vAlign w:val="center"/>
          </w:tcPr>
          <w:p w14:paraId="2985DBF8" w14:textId="77777777" w:rsidR="00E8617E" w:rsidRPr="00BC513A" w:rsidRDefault="00E8617E" w:rsidP="00922731">
            <w:pPr>
              <w:jc w:val="center"/>
              <w:rPr>
                <w:rFonts w:ascii="Arial" w:hAnsi="Arial" w:cs="Arial"/>
                <w:sz w:val="20"/>
                <w:szCs w:val="20"/>
                <w:lang w:eastAsia="de-DE"/>
              </w:rPr>
            </w:pPr>
          </w:p>
        </w:tc>
        <w:tc>
          <w:tcPr>
            <w:tcW w:w="1722" w:type="dxa"/>
            <w:shd w:val="clear" w:color="auto" w:fill="auto"/>
            <w:vAlign w:val="center"/>
          </w:tcPr>
          <w:p w14:paraId="0F547A82" w14:textId="77777777" w:rsidR="00E8617E" w:rsidRPr="00BC513A" w:rsidRDefault="00E8617E" w:rsidP="00922731">
            <w:pPr>
              <w:jc w:val="center"/>
              <w:rPr>
                <w:rFonts w:ascii="Arial" w:hAnsi="Arial" w:cs="Arial"/>
                <w:sz w:val="20"/>
                <w:szCs w:val="20"/>
                <w:lang w:eastAsia="de-DE"/>
              </w:rPr>
            </w:pPr>
          </w:p>
        </w:tc>
      </w:tr>
    </w:tbl>
    <w:p w14:paraId="2D5C852C" w14:textId="77777777" w:rsidR="00E8617E" w:rsidRPr="00BC513A" w:rsidRDefault="00E8617E" w:rsidP="00E8617E">
      <w:pPr>
        <w:autoSpaceDE w:val="0"/>
        <w:autoSpaceDN w:val="0"/>
        <w:adjustRightInd w:val="0"/>
        <w:spacing w:after="0" w:line="240" w:lineRule="auto"/>
      </w:pPr>
    </w:p>
    <w:p w14:paraId="516DB02A" w14:textId="77777777" w:rsidR="00E8617E" w:rsidRPr="00BC513A" w:rsidRDefault="00E8617E" w:rsidP="00E8617E">
      <w:pPr>
        <w:autoSpaceDE w:val="0"/>
        <w:autoSpaceDN w:val="0"/>
        <w:adjustRightInd w:val="0"/>
        <w:spacing w:after="0" w:line="240" w:lineRule="auto"/>
      </w:pPr>
      <w:r w:rsidRPr="00BC513A">
        <w:t xml:space="preserve">Легенда </w:t>
      </w:r>
    </w:p>
    <w:tbl>
      <w:tblPr>
        <w:tblStyle w:val="TableGrid"/>
        <w:tblW w:w="0" w:type="auto"/>
        <w:tblLook w:val="04A0" w:firstRow="1" w:lastRow="0" w:firstColumn="1" w:lastColumn="0" w:noHBand="0" w:noVBand="1"/>
      </w:tblPr>
      <w:tblGrid>
        <w:gridCol w:w="1413"/>
        <w:gridCol w:w="12579"/>
      </w:tblGrid>
      <w:tr w:rsidR="00E8617E" w:rsidRPr="00BC513A" w14:paraId="7035DF3B" w14:textId="77777777" w:rsidTr="00922731">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80C2A86" w14:textId="77777777" w:rsidR="00E8617E" w:rsidRPr="00BC513A" w:rsidRDefault="00E8617E" w:rsidP="00922731">
            <w:pPr>
              <w:autoSpaceDE w:val="0"/>
              <w:autoSpaceDN w:val="0"/>
              <w:adjustRightInd w:val="0"/>
              <w:jc w:val="center"/>
            </w:pPr>
            <w:r w:rsidRPr="00BC513A">
              <w:t>х</w:t>
            </w:r>
          </w:p>
        </w:tc>
        <w:tc>
          <w:tcPr>
            <w:tcW w:w="12579" w:type="dxa"/>
            <w:tcBorders>
              <w:top w:val="nil"/>
              <w:left w:val="single" w:sz="4" w:space="0" w:color="auto"/>
              <w:bottom w:val="nil"/>
              <w:right w:val="nil"/>
            </w:tcBorders>
          </w:tcPr>
          <w:p w14:paraId="05C84CC5" w14:textId="77777777" w:rsidR="00E8617E" w:rsidRPr="00BC513A" w:rsidRDefault="00E8617E" w:rsidP="00922731">
            <w:pPr>
              <w:autoSpaceDE w:val="0"/>
              <w:autoSpaceDN w:val="0"/>
              <w:adjustRightInd w:val="0"/>
            </w:pPr>
            <w:r w:rsidRPr="00BC513A">
              <w:t>Основни въздействия</w:t>
            </w:r>
          </w:p>
        </w:tc>
      </w:tr>
      <w:tr w:rsidR="00E8617E" w:rsidRPr="00BC513A" w14:paraId="724C5821" w14:textId="77777777" w:rsidTr="00922731">
        <w:tc>
          <w:tcPr>
            <w:tcW w:w="1413"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5DC1C714" w14:textId="77777777" w:rsidR="00E8617E" w:rsidRPr="00BC513A" w:rsidRDefault="00E8617E" w:rsidP="00922731">
            <w:pPr>
              <w:autoSpaceDE w:val="0"/>
              <w:autoSpaceDN w:val="0"/>
              <w:adjustRightInd w:val="0"/>
              <w:jc w:val="center"/>
            </w:pPr>
          </w:p>
        </w:tc>
        <w:tc>
          <w:tcPr>
            <w:tcW w:w="12579" w:type="dxa"/>
            <w:tcBorders>
              <w:top w:val="nil"/>
              <w:left w:val="single" w:sz="4" w:space="0" w:color="auto"/>
              <w:bottom w:val="nil"/>
              <w:right w:val="nil"/>
            </w:tcBorders>
          </w:tcPr>
          <w:p w14:paraId="6DFF32CA" w14:textId="77777777" w:rsidR="00E8617E" w:rsidRPr="00BC513A" w:rsidRDefault="00E8617E" w:rsidP="00922731">
            <w:pPr>
              <w:autoSpaceDE w:val="0"/>
              <w:autoSpaceDN w:val="0"/>
              <w:adjustRightInd w:val="0"/>
            </w:pPr>
            <w:r w:rsidRPr="00BC513A">
              <w:t>Допълнителни въздействия</w:t>
            </w:r>
          </w:p>
        </w:tc>
      </w:tr>
    </w:tbl>
    <w:p w14:paraId="75DDE7CA" w14:textId="77777777" w:rsidR="00E8617E" w:rsidRPr="00BC513A" w:rsidRDefault="00E8617E" w:rsidP="00E8617E">
      <w:pPr>
        <w:autoSpaceDE w:val="0"/>
        <w:autoSpaceDN w:val="0"/>
        <w:adjustRightInd w:val="0"/>
        <w:spacing w:after="0" w:line="240" w:lineRule="auto"/>
      </w:pPr>
    </w:p>
    <w:p w14:paraId="5D122FAF" w14:textId="77777777" w:rsidR="00E8617E" w:rsidRPr="00BC513A" w:rsidRDefault="00E8617E" w:rsidP="00E8617E">
      <w:pPr>
        <w:pStyle w:val="Caption"/>
      </w:pPr>
    </w:p>
    <w:p w14:paraId="1DBC3DCB" w14:textId="77777777" w:rsidR="00E8617E" w:rsidRPr="00BC513A" w:rsidRDefault="00E8617E" w:rsidP="00E8617E">
      <w:pPr>
        <w:autoSpaceDE w:val="0"/>
        <w:autoSpaceDN w:val="0"/>
        <w:adjustRightInd w:val="0"/>
        <w:spacing w:after="0" w:line="240" w:lineRule="auto"/>
        <w:sectPr w:rsidR="00E8617E" w:rsidRPr="00BC513A" w:rsidSect="00922731">
          <w:footerReference w:type="default" r:id="rId20"/>
          <w:pgSz w:w="16838" w:h="11906" w:orient="landscape" w:code="9"/>
          <w:pgMar w:top="1418" w:right="1418" w:bottom="1418" w:left="1418" w:header="709" w:footer="709" w:gutter="0"/>
          <w:cols w:space="708"/>
          <w:docGrid w:linePitch="360"/>
        </w:sectPr>
      </w:pPr>
    </w:p>
    <w:p w14:paraId="599B59D4"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lastRenderedPageBreak/>
        <w:t xml:space="preserve">По отношение на </w:t>
      </w:r>
      <w:r w:rsidRPr="00BC513A">
        <w:rPr>
          <w:b/>
          <w:sz w:val="22"/>
          <w:szCs w:val="22"/>
          <w:lang w:val="bg-BG"/>
        </w:rPr>
        <w:t>изпълнението на мерките</w:t>
      </w:r>
      <w:r w:rsidRPr="00BC513A">
        <w:rPr>
          <w:sz w:val="22"/>
          <w:szCs w:val="22"/>
          <w:lang w:val="bg-BG"/>
        </w:rPr>
        <w:t xml:space="preserve"> също са търсени синергични ефекти както на ниво програмиране, така и по време на прилагането на мерките. </w:t>
      </w:r>
    </w:p>
    <w:p w14:paraId="37D205FD"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Мерките по първа ос за предоставяне на обучение и консултации (111, 114 и 143) имат хоризонтален характер, като целта им е да подпомогнат изпълнението на голяма част от другите мерки, включително създаване на стопанства за млади фермери (112), подкрепа за полупазарни стопанства (141); организации на производители (142); модернизиране на земеделските стопанства и насърчаване на биологичното производство и агроекологичните умения (121 и 214).</w:t>
      </w:r>
    </w:p>
    <w:p w14:paraId="0F3C8AF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Търсено е допълване между някои от мерките като подкрепата за млади фермери (112) и модернизиране на земеделските стопанства (121). Проектите на млади фермери са с приоритет по мярка 311.</w:t>
      </w:r>
    </w:p>
    <w:p w14:paraId="20AACC5E"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Инвестициите в модернизиране на земеделски стопанства (121) също така допълват подкрепата за преструктуриране на полупазарни стопанства (141) и създаване на организации на производители (142). Преструктурирането на полупазарни стопанства се допълва от подкрепата за икономическата стойност на горите и земеделските и горски продукти (122 и 123), както и агроекологичните плащания (214) и разнообразяване към неземеделски дейности (311).</w:t>
      </w:r>
    </w:p>
    <w:p w14:paraId="536EE7F2"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Използването на възобновяема енергия се насърчава по няколко мерки: 123, 311, 312, 321.Съответствието със стандартите на ЕС се подпомага при</w:t>
      </w:r>
      <w:r w:rsidR="009D0C37">
        <w:rPr>
          <w:sz w:val="22"/>
          <w:szCs w:val="22"/>
          <w:lang w:val="bg-BG"/>
        </w:rPr>
        <w:t xml:space="preserve"> </w:t>
      </w:r>
      <w:r w:rsidRPr="00BC513A">
        <w:rPr>
          <w:sz w:val="22"/>
          <w:szCs w:val="22"/>
          <w:lang w:val="bg-BG"/>
        </w:rPr>
        <w:t>мерки 121 и 123.</w:t>
      </w:r>
      <w:r w:rsidR="00D57404">
        <w:rPr>
          <w:sz w:val="22"/>
          <w:szCs w:val="22"/>
          <w:lang w:val="bg-BG"/>
        </w:rPr>
        <w:t xml:space="preserve"> </w:t>
      </w:r>
      <w:r w:rsidRPr="00BC513A">
        <w:rPr>
          <w:sz w:val="22"/>
          <w:szCs w:val="22"/>
          <w:lang w:val="bg-BG"/>
        </w:rPr>
        <w:t>Дейностите по мерки 311, 312 и 313 са насочени към развитие на селски туризъм.</w:t>
      </w:r>
    </w:p>
    <w:p w14:paraId="60C518C9"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122 има косвено отношение към мерките от ос 2 (223 и 226), като част от дейностите от тези мерки пряко засягат възможностите за изпълнение на дейностите по мярка 122, както и предвидените дейности по нея са в последващ синхрон с насочеността на мерките 223 и 226.</w:t>
      </w:r>
    </w:p>
    <w:p w14:paraId="0454CA1D"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Като цяло </w:t>
      </w:r>
      <w:r w:rsidR="000F57E9">
        <w:rPr>
          <w:sz w:val="22"/>
          <w:szCs w:val="22"/>
          <w:lang w:val="bg-BG"/>
        </w:rPr>
        <w:t>п</w:t>
      </w:r>
      <w:r w:rsidRPr="00BC513A">
        <w:rPr>
          <w:sz w:val="22"/>
          <w:szCs w:val="22"/>
          <w:lang w:val="bg-BG"/>
        </w:rPr>
        <w:t xml:space="preserve">рограмата е насочена към селските райони в страната без да се прави </w:t>
      </w:r>
      <w:r w:rsidRPr="00BC513A">
        <w:rPr>
          <w:b/>
          <w:sz w:val="22"/>
          <w:szCs w:val="22"/>
          <w:lang w:val="bg-BG"/>
        </w:rPr>
        <w:t>регионално приоритизиране</w:t>
      </w:r>
      <w:r w:rsidRPr="00BC513A">
        <w:rPr>
          <w:sz w:val="22"/>
          <w:szCs w:val="22"/>
          <w:lang w:val="bg-BG"/>
        </w:rPr>
        <w:t xml:space="preserve">. В сила са били следните изключения: </w:t>
      </w:r>
    </w:p>
    <w:p w14:paraId="43DA6E03" w14:textId="77777777" w:rsidR="00E8617E" w:rsidRPr="00BC513A" w:rsidRDefault="00E8617E" w:rsidP="00E8617E">
      <w:pPr>
        <w:pStyle w:val="DefaultText"/>
        <w:numPr>
          <w:ilvl w:val="0"/>
          <w:numId w:val="27"/>
        </w:numPr>
        <w:spacing w:after="120" w:line="300" w:lineRule="atLeast"/>
        <w:rPr>
          <w:sz w:val="22"/>
          <w:szCs w:val="22"/>
          <w:lang w:val="bg-BG"/>
        </w:rPr>
      </w:pPr>
      <w:r w:rsidRPr="00BC513A">
        <w:rPr>
          <w:sz w:val="22"/>
          <w:szCs w:val="22"/>
          <w:lang w:val="bg-BG"/>
        </w:rPr>
        <w:t>Инвестиционните мерки по ос 1 се изпълняват на територията на цялата страна, като по мерки 121 и 123 приоритет се дава на инвестициите в селските райони, за да се насърчи развитието на икономиката в тези райони.</w:t>
      </w:r>
    </w:p>
    <w:p w14:paraId="2DBB3AC3" w14:textId="77777777" w:rsidR="00E8617E" w:rsidRPr="00BC513A" w:rsidRDefault="00E8617E" w:rsidP="00E8617E">
      <w:pPr>
        <w:pStyle w:val="DefaultText"/>
        <w:numPr>
          <w:ilvl w:val="0"/>
          <w:numId w:val="27"/>
        </w:numPr>
        <w:spacing w:after="120" w:line="300" w:lineRule="atLeast"/>
        <w:rPr>
          <w:sz w:val="22"/>
          <w:szCs w:val="22"/>
          <w:lang w:val="bg-BG"/>
        </w:rPr>
      </w:pPr>
      <w:r w:rsidRPr="00BC513A">
        <w:rPr>
          <w:sz w:val="22"/>
          <w:szCs w:val="22"/>
          <w:lang w:val="bg-BG"/>
        </w:rPr>
        <w:t>Подкрепата по мерки 321 и 322 е само за общини, които са извън градските агломерационни ареали (178 общини). Тези общини са с приоритет и по мерки 311 и 312.</w:t>
      </w:r>
    </w:p>
    <w:p w14:paraId="02CA243C" w14:textId="52783919" w:rsidR="00E8617E" w:rsidRPr="00BC513A" w:rsidRDefault="00E8617E" w:rsidP="00E8617E">
      <w:pPr>
        <w:pStyle w:val="DefaultText"/>
        <w:numPr>
          <w:ilvl w:val="0"/>
          <w:numId w:val="27"/>
        </w:numPr>
        <w:spacing w:after="120" w:line="300" w:lineRule="atLeast"/>
        <w:rPr>
          <w:sz w:val="22"/>
          <w:szCs w:val="22"/>
          <w:lang w:val="bg-BG"/>
        </w:rPr>
      </w:pPr>
      <w:r w:rsidRPr="00BC513A">
        <w:rPr>
          <w:sz w:val="22"/>
          <w:szCs w:val="22"/>
          <w:lang w:val="bg-BG"/>
        </w:rPr>
        <w:t>Населените места с население от 500 до 5</w:t>
      </w:r>
      <w:r w:rsidR="00D57404" w:rsidRPr="00BC513A">
        <w:rPr>
          <w:sz w:val="22"/>
          <w:szCs w:val="22"/>
          <w:lang w:val="bg-BG"/>
        </w:rPr>
        <w:t> </w:t>
      </w:r>
      <w:r w:rsidRPr="00BC513A">
        <w:rPr>
          <w:sz w:val="22"/>
          <w:szCs w:val="22"/>
          <w:lang w:val="bg-BG"/>
        </w:rPr>
        <w:t>000 души са с приоритет по мерки 313, 321 и 322 с цел съживяване на малките населени места.</w:t>
      </w:r>
    </w:p>
    <w:p w14:paraId="1FDCB9A9" w14:textId="77777777" w:rsidR="00E8617E" w:rsidRPr="00BC513A" w:rsidRDefault="00E8617E" w:rsidP="00E8617E">
      <w:pPr>
        <w:pStyle w:val="DefaultText"/>
        <w:numPr>
          <w:ilvl w:val="0"/>
          <w:numId w:val="27"/>
        </w:numPr>
        <w:spacing w:after="120" w:line="300" w:lineRule="atLeast"/>
        <w:rPr>
          <w:sz w:val="22"/>
          <w:szCs w:val="22"/>
          <w:lang w:val="bg-BG"/>
        </w:rPr>
      </w:pPr>
      <w:r w:rsidRPr="00BC513A">
        <w:rPr>
          <w:sz w:val="22"/>
          <w:szCs w:val="22"/>
          <w:lang w:val="bg-BG"/>
        </w:rPr>
        <w:t xml:space="preserve">Общините с население до 10 000 души се ползват с приоритет по мерки 321 и 322. </w:t>
      </w:r>
    </w:p>
    <w:p w14:paraId="71CB5426" w14:textId="77777777" w:rsidR="00E8617E" w:rsidRPr="00BC513A" w:rsidRDefault="00E8617E" w:rsidP="00E8617E">
      <w:pPr>
        <w:pStyle w:val="DefaultText"/>
        <w:numPr>
          <w:ilvl w:val="0"/>
          <w:numId w:val="27"/>
        </w:numPr>
        <w:spacing w:after="120" w:line="300" w:lineRule="atLeast"/>
        <w:rPr>
          <w:sz w:val="22"/>
          <w:szCs w:val="22"/>
          <w:lang w:val="bg-BG"/>
        </w:rPr>
      </w:pPr>
      <w:r w:rsidRPr="00BC513A">
        <w:rPr>
          <w:sz w:val="22"/>
          <w:szCs w:val="22"/>
          <w:lang w:val="bg-BG"/>
        </w:rPr>
        <w:t>Развитието на туризма (мярка 313) се подпомага само в общини до 10 000 души.</w:t>
      </w:r>
    </w:p>
    <w:p w14:paraId="206818CA"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Социално-икономическото развитие на страна</w:t>
      </w:r>
      <w:r w:rsidR="00D57404">
        <w:rPr>
          <w:sz w:val="22"/>
          <w:szCs w:val="22"/>
          <w:lang w:val="bg-BG"/>
        </w:rPr>
        <w:t>та</w:t>
      </w:r>
      <w:r w:rsidRPr="00BC513A">
        <w:rPr>
          <w:sz w:val="22"/>
          <w:szCs w:val="22"/>
          <w:lang w:val="bg-BG"/>
        </w:rPr>
        <w:t xml:space="preserve"> и настъпилите промени очертават Северозападния регион за развитие като изоставащ и поради тази причина </w:t>
      </w:r>
      <w:r w:rsidRPr="00BC513A">
        <w:rPr>
          <w:sz w:val="22"/>
          <w:szCs w:val="22"/>
          <w:lang w:val="bg-BG"/>
        </w:rPr>
        <w:lastRenderedPageBreak/>
        <w:t>програмите, съфинансирани от европейските фондове за периода 2014-2020</w:t>
      </w:r>
      <w:r w:rsidR="00D57404">
        <w:rPr>
          <w:sz w:val="22"/>
          <w:szCs w:val="22"/>
          <w:lang w:val="bg-BG"/>
        </w:rPr>
        <w:t>,</w:t>
      </w:r>
      <w:r w:rsidRPr="00BC513A">
        <w:rPr>
          <w:sz w:val="22"/>
          <w:szCs w:val="22"/>
          <w:lang w:val="bg-BG"/>
        </w:rPr>
        <w:t xml:space="preserve"> предвиждат мерки за приоритизиране на инвестициите в този регион. Такава приоритизация е предвидена и в ПРСР 2014-2020 по отношение на стартова и инвестиционна помощ в неземеделски дейности. </w:t>
      </w:r>
    </w:p>
    <w:p w14:paraId="548BAEE9" w14:textId="6D398E5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По време на изпълнение на ПРСР 2007-2013 не е предоставяна приоритетна подкрепа за определени райони. Чрез Седмото изменение на ПРСР в резултат на отправена препоръка в междинната оценка на </w:t>
      </w:r>
      <w:r w:rsidR="000F57E9">
        <w:rPr>
          <w:sz w:val="22"/>
          <w:szCs w:val="22"/>
          <w:lang w:val="bg-BG"/>
        </w:rPr>
        <w:t>п</w:t>
      </w:r>
      <w:r w:rsidRPr="00BC513A">
        <w:rPr>
          <w:sz w:val="22"/>
          <w:szCs w:val="22"/>
          <w:lang w:val="bg-BG"/>
        </w:rPr>
        <w:t>рограмата по мярка 121 и мярка 112 се дава приоритет на инвестиционни проекти, които се реализират на територията на области с по-слаба реализация на инвестиционни проекти.</w:t>
      </w:r>
    </w:p>
    <w:p w14:paraId="0DC1FCF6"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Като цяло </w:t>
      </w:r>
      <w:r w:rsidRPr="00BC513A">
        <w:rPr>
          <w:b/>
          <w:sz w:val="22"/>
          <w:szCs w:val="22"/>
          <w:lang w:val="bg-BG"/>
        </w:rPr>
        <w:t xml:space="preserve">логиката на интервенция на ПРСР 2007-2013 по отношение на целите и приоритетите се запазва валидна през цялото време на изпълнение на </w:t>
      </w:r>
      <w:r w:rsidR="000F57E9">
        <w:rPr>
          <w:b/>
          <w:sz w:val="22"/>
          <w:szCs w:val="22"/>
          <w:lang w:val="bg-BG"/>
        </w:rPr>
        <w:t>п</w:t>
      </w:r>
      <w:r w:rsidRPr="00BC513A">
        <w:rPr>
          <w:b/>
          <w:sz w:val="22"/>
          <w:szCs w:val="22"/>
          <w:lang w:val="bg-BG"/>
        </w:rPr>
        <w:t>рограмата и значителни промени в това отношение не се налагат и не са правени</w:t>
      </w:r>
      <w:r w:rsidRPr="00BC513A">
        <w:rPr>
          <w:sz w:val="22"/>
          <w:szCs w:val="22"/>
          <w:lang w:val="bg-BG"/>
        </w:rPr>
        <w:t xml:space="preserve">. </w:t>
      </w:r>
    </w:p>
    <w:p w14:paraId="66121473"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Направените общо 15 на брой изменения в ПРСП 2007-2013</w:t>
      </w:r>
      <w:r w:rsidRPr="00BC513A">
        <w:rPr>
          <w:rStyle w:val="FootnoteReference"/>
          <w:sz w:val="22"/>
          <w:szCs w:val="22"/>
          <w:lang w:val="bg-BG"/>
        </w:rPr>
        <w:footnoteReference w:id="16"/>
      </w:r>
      <w:r w:rsidRPr="00BC513A">
        <w:rPr>
          <w:sz w:val="22"/>
          <w:szCs w:val="22"/>
          <w:lang w:val="bg-BG"/>
        </w:rPr>
        <w:t xml:space="preserve"> основно са свързани с промени в обхвата, критериите или условията за прилагане на мерките, удължаване на периоди на изпълнение на мерките, прехвърляне на средства между мерките, промяна в индикаторите и автоматично освобождаване на средства. Чрез третото изменение на </w:t>
      </w:r>
      <w:r w:rsidR="000F57E9">
        <w:rPr>
          <w:sz w:val="22"/>
          <w:szCs w:val="22"/>
          <w:lang w:val="bg-BG"/>
        </w:rPr>
        <w:t>п</w:t>
      </w:r>
      <w:r w:rsidRPr="00BC513A">
        <w:rPr>
          <w:sz w:val="22"/>
          <w:szCs w:val="22"/>
          <w:lang w:val="bg-BG"/>
        </w:rPr>
        <w:t xml:space="preserve">рограмата за 2009 г. и 2010 г. се добавя бюджет от 36,83 млн. евро  по линия на Европейския план за икономическо възстановяване (ЕПИВ). С осмото изменение на </w:t>
      </w:r>
      <w:r w:rsidR="000F57E9">
        <w:rPr>
          <w:sz w:val="22"/>
          <w:szCs w:val="22"/>
          <w:lang w:val="bg-BG"/>
        </w:rPr>
        <w:t>п</w:t>
      </w:r>
      <w:r w:rsidRPr="00BC513A">
        <w:rPr>
          <w:sz w:val="22"/>
          <w:szCs w:val="22"/>
          <w:lang w:val="bg-BG"/>
        </w:rPr>
        <w:t xml:space="preserve">рограмата е създаден Гаранционен фонд по ПРСР, чрез който се издават гаранции за допълване на обезпечението по заеми на предприятията по смисъла на Закона за малки и средни предприятия, бенефициенти по мерки 121,122 и 123. Промените в </w:t>
      </w:r>
      <w:r w:rsidR="000F57E9">
        <w:rPr>
          <w:sz w:val="22"/>
          <w:szCs w:val="22"/>
          <w:lang w:val="bg-BG"/>
        </w:rPr>
        <w:t>п</w:t>
      </w:r>
      <w:r w:rsidRPr="00BC513A">
        <w:rPr>
          <w:sz w:val="22"/>
          <w:szCs w:val="22"/>
          <w:lang w:val="bg-BG"/>
        </w:rPr>
        <w:t>рограмата са представени накратко в Приложение 2.</w:t>
      </w:r>
    </w:p>
    <w:p w14:paraId="5EA76AA0"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Промените в Регламент </w:t>
      </w:r>
      <w:r w:rsidR="00D57404">
        <w:rPr>
          <w:sz w:val="22"/>
          <w:szCs w:val="22"/>
          <w:lang w:val="bg-BG"/>
        </w:rPr>
        <w:t xml:space="preserve">(ЕО) № </w:t>
      </w:r>
      <w:r w:rsidRPr="00BC513A">
        <w:rPr>
          <w:sz w:val="22"/>
          <w:szCs w:val="22"/>
          <w:lang w:val="bg-BG"/>
        </w:rPr>
        <w:t>1698/2005 на базата на направения преглед (Health check) в изпълнение на реформите в Общата селскостопанска политика, въведени след 2003 г., са в съответствие с общата посока на реформата, насочена към откъсване на подкрепата от производството, повишаване ролята на пазара като регулатор на стопанската дейност и адресиране на специфични проблеми, включително опазване на околната среда. Промените предвиждат постепенно премахване на млечните квоти; премахване на по-голяма част от продуктовата обвързаната подкрепа; по-големи възможности за подкрепа за секторите със специфични проблеми; премахване на задължителното оставяне на 10% от ползваната земя под угар; опростяване на изискванията за кръстосано съответствие и допълване по отношение опазването на водите; намаляване на възможностите за пазарна интервенция; премахване на премията за енергийните култури. Тези промени са отразени в ПРСР 2007-2013 с пренасочване на допълнителните средства по линия на ЕПИВ към дейностите по ос 1 и ос 3, свързани с управлението на водите (56% от средствата), възобновяемата енергия (35%) и преструктуриране на млечния сектор (9%).</w:t>
      </w:r>
    </w:p>
    <w:p w14:paraId="57B256B6" w14:textId="54169ADD"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Икономическата криза се отразява негативно върху възможността на бенефициентите да съфинансират проектите си и да осигурят първоначалното финансиране. В тази връзка през 2009 г. е променен Регламент </w:t>
      </w:r>
      <w:r w:rsidR="00E551B8">
        <w:rPr>
          <w:sz w:val="22"/>
          <w:szCs w:val="22"/>
          <w:lang w:val="bg-BG"/>
        </w:rPr>
        <w:t xml:space="preserve">(ЕО) № </w:t>
      </w:r>
      <w:r w:rsidRPr="00BC513A">
        <w:rPr>
          <w:sz w:val="22"/>
          <w:szCs w:val="22"/>
          <w:lang w:val="bg-BG"/>
        </w:rPr>
        <w:t xml:space="preserve">1974/2006 като </w:t>
      </w:r>
      <w:r w:rsidRPr="00BC513A">
        <w:rPr>
          <w:sz w:val="22"/>
          <w:szCs w:val="22"/>
          <w:lang w:val="bg-BG"/>
        </w:rPr>
        <w:lastRenderedPageBreak/>
        <w:t>се предоставя възможност да се увеличи размер</w:t>
      </w:r>
      <w:r w:rsidR="00E551B8">
        <w:rPr>
          <w:sz w:val="22"/>
          <w:szCs w:val="22"/>
          <w:lang w:val="bg-BG"/>
        </w:rPr>
        <w:t>ът</w:t>
      </w:r>
      <w:r w:rsidRPr="00BC513A">
        <w:rPr>
          <w:sz w:val="22"/>
          <w:szCs w:val="22"/>
          <w:lang w:val="bg-BG"/>
        </w:rPr>
        <w:t xml:space="preserve"> на авансовото плащане. С последващи промени в </w:t>
      </w:r>
      <w:r w:rsidR="000F57E9">
        <w:rPr>
          <w:sz w:val="22"/>
          <w:szCs w:val="22"/>
          <w:lang w:val="bg-BG"/>
        </w:rPr>
        <w:t>п</w:t>
      </w:r>
      <w:r w:rsidRPr="00BC513A">
        <w:rPr>
          <w:sz w:val="22"/>
          <w:szCs w:val="22"/>
          <w:lang w:val="bg-BG"/>
        </w:rPr>
        <w:t xml:space="preserve">рограмата са увеличени авансовите плащания и е създаден Гаранционен фонд. </w:t>
      </w:r>
    </w:p>
    <w:p w14:paraId="6FB5751B" w14:textId="77777777" w:rsidR="00E8617E" w:rsidRPr="00BC513A" w:rsidRDefault="00E8617E" w:rsidP="00E8617E">
      <w:pPr>
        <w:pStyle w:val="Heading3"/>
        <w:numPr>
          <w:ilvl w:val="2"/>
          <w:numId w:val="6"/>
        </w:numPr>
        <w:ind w:left="851" w:hanging="284"/>
      </w:pPr>
      <w:bookmarkStart w:id="49" w:name="_Toc504136142"/>
      <w:r w:rsidRPr="00BC513A">
        <w:t>Логика на интервенция на отделните оси</w:t>
      </w:r>
      <w:bookmarkEnd w:id="49"/>
    </w:p>
    <w:p w14:paraId="1F5A89B7"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Тази част от доклада анализира логиката на интервенция на отделните оси: как предвидените цели и мерки отговарят на идентифицираните нужди, доколко мерките продължават на отговарят на промените настъпили в социално-икономически условия по време на изпълнение на </w:t>
      </w:r>
      <w:r w:rsidR="000F57E9">
        <w:rPr>
          <w:sz w:val="22"/>
          <w:szCs w:val="22"/>
          <w:lang w:val="bg-BG"/>
        </w:rPr>
        <w:t>п</w:t>
      </w:r>
      <w:r w:rsidRPr="00BC513A">
        <w:rPr>
          <w:sz w:val="22"/>
          <w:szCs w:val="22"/>
          <w:lang w:val="bg-BG"/>
        </w:rPr>
        <w:t>рограмата и доколко съществува ясна връзка между очакваните резултати и заложените индикатори, с които последните да бъдат измервани.</w:t>
      </w:r>
    </w:p>
    <w:p w14:paraId="6F620386" w14:textId="77777777" w:rsidR="00E8617E" w:rsidRPr="00BC513A" w:rsidRDefault="00E8617E" w:rsidP="00E8617E">
      <w:pPr>
        <w:pStyle w:val="DefaultText"/>
        <w:rPr>
          <w:lang w:val="bg-BG"/>
        </w:rPr>
      </w:pPr>
    </w:p>
    <w:p w14:paraId="1E2E27EA" w14:textId="77777777" w:rsidR="00E8617E" w:rsidRPr="00BC513A" w:rsidRDefault="00E8617E" w:rsidP="00E8617E">
      <w:pPr>
        <w:pStyle w:val="DefaultText"/>
        <w:shd w:val="clear" w:color="auto" w:fill="FDF0E7"/>
        <w:spacing w:after="120" w:line="300" w:lineRule="atLeast"/>
        <w:rPr>
          <w:sz w:val="22"/>
          <w:szCs w:val="22"/>
          <w:lang w:val="bg-BG"/>
        </w:rPr>
      </w:pPr>
      <w:r w:rsidRPr="00BC513A">
        <w:rPr>
          <w:rFonts w:cs="Arial"/>
          <w:b/>
          <w:color w:val="000000"/>
          <w:sz w:val="22"/>
          <w:szCs w:val="22"/>
          <w:shd w:val="clear" w:color="auto" w:fill="FDF0E7"/>
          <w:lang w:val="bg-BG"/>
        </w:rPr>
        <w:t>Ос 1: Подобряване на конкурентоспособността на земеделския и горския сектор</w:t>
      </w:r>
      <w:r w:rsidRPr="00BC513A">
        <w:rPr>
          <w:rFonts w:cs="Arial"/>
          <w:b/>
          <w:color w:val="000000"/>
          <w:sz w:val="22"/>
          <w:szCs w:val="22"/>
          <w:shd w:val="clear" w:color="auto" w:fill="FFFFFF"/>
          <w:lang w:val="bg-BG"/>
        </w:rPr>
        <w:t xml:space="preserve"> </w:t>
      </w:r>
    </w:p>
    <w:p w14:paraId="6BBDF5C6"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Общата цел на ос 1 е развитие на конкурентоспособни и основани на иновации земеделие, горско стопанство и хранително-</w:t>
      </w:r>
      <w:r w:rsidR="005C64E4">
        <w:rPr>
          <w:sz w:val="22"/>
          <w:szCs w:val="22"/>
          <w:lang w:val="bg-BG"/>
        </w:rPr>
        <w:t>вкусова промишленост Тази цел е разделена</w:t>
      </w:r>
      <w:r w:rsidRPr="00BC513A">
        <w:rPr>
          <w:sz w:val="22"/>
          <w:szCs w:val="22"/>
          <w:lang w:val="bg-BG"/>
        </w:rPr>
        <w:t xml:space="preserve"> на три под-цели (1) Преструктуриране и модернизиране на технологичната база и насърчаване на иновациите (2) Подкрепа за адаптиране на структурата на стопанствата и за кооперирането; (3) Повишаване на знанията и подобряване на човешкия потенциал, които като цяло адресират основните идентифицирани проблеми: (1) Неефективно производство и маркетинг на земеделски и горски продукти; (2) Липса на финансиране; (3) Нискоквалифицирана и застаряваща работна сила; (4) Липса на иновации. </w:t>
      </w:r>
    </w:p>
    <w:p w14:paraId="718AAEDA"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За изпълненото на целите са подбрани сравнително голям набор от мерки – 12 (виж фигурата по-долу), които са добре балансирани по отношение на бюджет и като цяло биха довели до постигане на целите. </w:t>
      </w:r>
    </w:p>
    <w:p w14:paraId="7062E032"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Очаквано най-много мерки са насочени към преструктуриране и модернизиране на технологичната база и адаптиране на стопанствата. Към тези мерки е проявен сравнително голям интерес от потенциалните бенефициенти (М112, М121, М141, М123).</w:t>
      </w:r>
    </w:p>
    <w:p w14:paraId="1C3FD9E0" w14:textId="77777777" w:rsidR="005C64E4" w:rsidRPr="00BC513A" w:rsidRDefault="005C64E4" w:rsidP="005C64E4">
      <w:pPr>
        <w:pStyle w:val="DefaultText"/>
        <w:spacing w:after="120" w:line="300" w:lineRule="atLeast"/>
        <w:ind w:firstLine="708"/>
        <w:rPr>
          <w:sz w:val="22"/>
          <w:szCs w:val="22"/>
          <w:lang w:val="bg-BG"/>
        </w:rPr>
      </w:pPr>
      <w:r w:rsidRPr="00BC513A">
        <w:rPr>
          <w:sz w:val="22"/>
          <w:szCs w:val="22"/>
          <w:lang w:val="bg-BG"/>
        </w:rPr>
        <w:t>Мярка 142 цели създаване на сдружения на производители и е много необходима, предвид на ниското ниво на сдружаване в страната. Мярката има директен принос към целите на общата селскостопанска политика за подобряване и стабилно функциониране на веригата на доставките на храни. Към мярката, обаче е проявен слаб интерес и поради това се налага значително редуциране на бюджета й с над 97%. Причините за слабия интерес са както от социално естество (липсата на взаимно доверие), така и от организационно</w:t>
      </w:r>
      <w:r>
        <w:rPr>
          <w:sz w:val="22"/>
          <w:szCs w:val="22"/>
          <w:lang w:val="bg-BG"/>
        </w:rPr>
        <w:t>. Поради л</w:t>
      </w:r>
      <w:r w:rsidRPr="00BC513A">
        <w:rPr>
          <w:sz w:val="22"/>
          <w:szCs w:val="22"/>
          <w:lang w:val="bg-BG"/>
        </w:rPr>
        <w:t>ипса</w:t>
      </w:r>
      <w:r>
        <w:rPr>
          <w:sz w:val="22"/>
          <w:szCs w:val="22"/>
          <w:lang w:val="bg-BG"/>
        </w:rPr>
        <w:t xml:space="preserve"> на</w:t>
      </w:r>
      <w:r w:rsidRPr="00BC513A">
        <w:rPr>
          <w:sz w:val="22"/>
          <w:szCs w:val="22"/>
          <w:lang w:val="bg-BG"/>
        </w:rPr>
        <w:t xml:space="preserve"> управленски и организационен капацитет, основните трудности при създаването на организации на производители са в самото начало при организиране и мобилизиране на производителите преди регистриране на организациите</w:t>
      </w:r>
      <w:r>
        <w:rPr>
          <w:sz w:val="22"/>
          <w:szCs w:val="22"/>
          <w:lang w:val="bg-BG"/>
        </w:rPr>
        <w:t xml:space="preserve">. Този факт </w:t>
      </w:r>
      <w:r w:rsidRPr="00BC513A">
        <w:rPr>
          <w:sz w:val="22"/>
          <w:szCs w:val="22"/>
          <w:lang w:val="bg-BG"/>
        </w:rPr>
        <w:t>не е взет предвид при програмиране на мярката.</w:t>
      </w:r>
    </w:p>
    <w:p w14:paraId="589615A7" w14:textId="77777777" w:rsidR="00E8617E" w:rsidRPr="00BC513A" w:rsidRDefault="00E8617E" w:rsidP="00E8617E">
      <w:pPr>
        <w:pStyle w:val="DefaultText"/>
        <w:spacing w:after="120" w:line="300" w:lineRule="atLeast"/>
        <w:ind w:firstLine="709"/>
        <w:rPr>
          <w:sz w:val="22"/>
          <w:szCs w:val="22"/>
          <w:lang w:val="bg-BG"/>
        </w:rPr>
      </w:pPr>
    </w:p>
    <w:p w14:paraId="10C9991D" w14:textId="77777777" w:rsidR="00E8617E" w:rsidRPr="00BC513A" w:rsidRDefault="00E8617E" w:rsidP="00E8617E">
      <w:pPr>
        <w:pStyle w:val="DefaultText"/>
        <w:spacing w:after="120" w:line="300" w:lineRule="atLeast"/>
        <w:ind w:firstLine="708"/>
        <w:rPr>
          <w:sz w:val="22"/>
          <w:szCs w:val="22"/>
          <w:lang w:val="bg-BG"/>
        </w:rPr>
        <w:sectPr w:rsidR="00E8617E" w:rsidRPr="00BC513A" w:rsidSect="00922731">
          <w:footerReference w:type="default" r:id="rId21"/>
          <w:pgSz w:w="11906" w:h="16838" w:code="9"/>
          <w:pgMar w:top="1418" w:right="1418" w:bottom="1418" w:left="1418" w:header="709" w:footer="709" w:gutter="0"/>
          <w:cols w:space="708"/>
          <w:docGrid w:linePitch="360"/>
        </w:sectPr>
      </w:pPr>
    </w:p>
    <w:p w14:paraId="2103A12A" w14:textId="77777777" w:rsidR="00E8617E" w:rsidRPr="00BC513A" w:rsidRDefault="00E8617E" w:rsidP="00E8617E">
      <w:pPr>
        <w:pStyle w:val="DefaultText"/>
        <w:spacing w:after="120" w:line="300" w:lineRule="atLeast"/>
        <w:ind w:left="426"/>
        <w:rPr>
          <w:sz w:val="22"/>
          <w:szCs w:val="22"/>
          <w:lang w:val="bg-BG"/>
        </w:rPr>
      </w:pPr>
      <w:r w:rsidRPr="00BC513A">
        <w:rPr>
          <w:noProof/>
          <w:sz w:val="22"/>
          <w:szCs w:val="22"/>
          <w:lang w:val="en-US" w:eastAsia="en-US"/>
        </w:rPr>
        <w:lastRenderedPageBreak/>
        <w:drawing>
          <wp:inline distT="0" distB="0" distL="0" distR="0" wp14:anchorId="58964CBF" wp14:editId="190B1EF8">
            <wp:extent cx="8118709" cy="53721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25677" cy="5376711"/>
                    </a:xfrm>
                    <a:prstGeom prst="rect">
                      <a:avLst/>
                    </a:prstGeom>
                    <a:noFill/>
                    <a:ln>
                      <a:noFill/>
                    </a:ln>
                  </pic:spPr>
                </pic:pic>
              </a:graphicData>
            </a:graphic>
          </wp:inline>
        </w:drawing>
      </w:r>
    </w:p>
    <w:p w14:paraId="234A8181" w14:textId="77777777" w:rsidR="00E8617E" w:rsidRPr="00BC513A" w:rsidRDefault="00E8617E" w:rsidP="00E8617E">
      <w:pPr>
        <w:pStyle w:val="Caption"/>
        <w:keepNext/>
        <w:spacing w:before="240" w:after="60"/>
        <w:jc w:val="center"/>
        <w:rPr>
          <w:rFonts w:ascii="Arial" w:hAnsi="Arial" w:cs="Arial"/>
          <w:b/>
          <w:i w:val="0"/>
          <w:color w:val="0070C0"/>
          <w:sz w:val="20"/>
          <w:szCs w:val="20"/>
        </w:rPr>
      </w:pPr>
      <w:bookmarkStart w:id="50" w:name="_Toc506984707"/>
      <w:r w:rsidRPr="00BC513A">
        <w:rPr>
          <w:rFonts w:ascii="Arial" w:hAnsi="Arial" w:cs="Arial"/>
          <w:b/>
          <w:i w:val="0"/>
          <w:color w:val="0070C0"/>
          <w:sz w:val="20"/>
          <w:szCs w:val="20"/>
        </w:rPr>
        <w:t xml:space="preserve">Фигура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Фигура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Логика на интервенция на ос 1</w:t>
      </w:r>
      <w:bookmarkEnd w:id="50"/>
    </w:p>
    <w:p w14:paraId="7C570302" w14:textId="77777777" w:rsidR="00E8617E" w:rsidRPr="00BC513A" w:rsidRDefault="00E8617E" w:rsidP="00E8617E">
      <w:pPr>
        <w:pStyle w:val="Caption"/>
        <w:keepNext/>
        <w:spacing w:before="240" w:after="60"/>
        <w:jc w:val="center"/>
        <w:rPr>
          <w:rFonts w:ascii="Arial" w:hAnsi="Arial" w:cs="Arial"/>
          <w:b/>
          <w:i w:val="0"/>
          <w:color w:val="0070C0"/>
          <w:sz w:val="20"/>
          <w:szCs w:val="20"/>
        </w:rPr>
        <w:sectPr w:rsidR="00E8617E" w:rsidRPr="00BC513A" w:rsidSect="00922731">
          <w:footerReference w:type="default" r:id="rId23"/>
          <w:pgSz w:w="16838" w:h="11906" w:orient="landscape" w:code="9"/>
          <w:pgMar w:top="1418" w:right="1418" w:bottom="1418" w:left="1418" w:header="709" w:footer="709" w:gutter="0"/>
          <w:cols w:space="708"/>
          <w:docGrid w:linePitch="360"/>
        </w:sectPr>
      </w:pPr>
    </w:p>
    <w:p w14:paraId="311B5911"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lastRenderedPageBreak/>
        <w:t xml:space="preserve">Предвидени са мерки за повишаване на знанията и подпомагане на земеделските производители със съвети и консултантски услуги, както и за въвеждане на нови технологии и продукти. С тези мерки се цели да се повиши квалификацията на заетите и да се подпомогне подобри ефективността на производство.  Мярка 111, която цели повишаване на знанията е добре приета и интересът към нея от страна на потенциалните бенефициенти  е голям, тъй като обучаващи организации използват финансирането за развитие на допълнителен бизнес. Интересът на целевите групи (обучаемите) обаче е сравнително по-малък. Земеделските стопани трудно отделят време да присъстват на обучения и техните интереси са свързани предимно с обучение/консултации на място. Бюджетът на мярката е намален </w:t>
      </w:r>
      <w:r w:rsidR="003E1B15">
        <w:rPr>
          <w:sz w:val="22"/>
          <w:szCs w:val="22"/>
          <w:lang w:val="bg-BG"/>
        </w:rPr>
        <w:t>повече от 4</w:t>
      </w:r>
      <w:r w:rsidR="0077113C">
        <w:rPr>
          <w:sz w:val="22"/>
          <w:szCs w:val="22"/>
          <w:lang w:val="bg-BG"/>
        </w:rPr>
        <w:t>-</w:t>
      </w:r>
      <w:r w:rsidR="003E1B15">
        <w:rPr>
          <w:sz w:val="22"/>
          <w:szCs w:val="22"/>
          <w:lang w:val="bg-BG"/>
        </w:rPr>
        <w:t>тири пъти спрямо първоначално заложения</w:t>
      </w:r>
      <w:r w:rsidRPr="00BC513A">
        <w:rPr>
          <w:sz w:val="22"/>
          <w:szCs w:val="22"/>
          <w:lang w:val="bg-BG"/>
        </w:rPr>
        <w:t>. Мярка 143 предвид, че бенефициент по нея е НССЗ, която предоставя безплатни консултации и услуги за подготовка на проекти</w:t>
      </w:r>
      <w:r w:rsidR="0077113C">
        <w:rPr>
          <w:sz w:val="22"/>
          <w:szCs w:val="22"/>
          <w:lang w:val="bg-BG"/>
        </w:rPr>
        <w:t>,</w:t>
      </w:r>
      <w:r w:rsidRPr="00BC513A">
        <w:rPr>
          <w:sz w:val="22"/>
          <w:szCs w:val="22"/>
          <w:lang w:val="bg-BG"/>
        </w:rPr>
        <w:t xml:space="preserve"> разходва изцяло заделения за нея бюджет.</w:t>
      </w:r>
    </w:p>
    <w:p w14:paraId="0134A60A"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Мярка 124 </w:t>
      </w:r>
      <w:r w:rsidRPr="00BC513A">
        <w:rPr>
          <w:i/>
          <w:sz w:val="22"/>
          <w:szCs w:val="22"/>
          <w:lang w:val="bg-BG"/>
        </w:rPr>
        <w:t>Сътрудничество за разработване на нови продукти, процеси и технологии в земеделието и хранителния сектор</w:t>
      </w:r>
      <w:r w:rsidRPr="00BC513A">
        <w:rPr>
          <w:sz w:val="22"/>
          <w:szCs w:val="22"/>
          <w:lang w:val="bg-BG"/>
        </w:rPr>
        <w:t xml:space="preserve"> на практика е било трудно да се приложи. Заради липса на формален и неформален опит за сътрудничество между държавата, в лицето на нейните институции от една страна и агробизнеса и академичните центрове от друга,  мярката не е стартирала. Анализите към подготовката на новата ПРСР 2014-2020 сочат, че предоставянето на консултантски услуги и трансфер на знания в страната нямат системен характер. Резултатите от научните изследвания, като иновации за въвеждане в земеделските стопанства се представят главно на академични конференции или изложби без да се популяризират сред потенциалните ползватели. ССА, поради ограничения си бюджет представя резултати само на демонстрационни полета. От друга страна темите на научните разработки, макар като цяло да покриват ключови проблеми в земеделието, не са обвързани с конкретни проблеми на конкретни земеделски стопанства или на определени сектори. Нестартирането на тази мярка е една от причините по цели, насочени към въвеждане на нови продукти и технологии, по мерки 121, 122 и 123 да се отчетат по-слаби резултати. В последствие, по време на изпълнение на програмата мярка 124 е интегрирана в мярка 121. </w:t>
      </w:r>
    </w:p>
    <w:p w14:paraId="5BD27E56" w14:textId="2C55FF6C"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Предвидените за стартиране на по-късен етап мерки 125 </w:t>
      </w:r>
      <w:r w:rsidRPr="00BC513A">
        <w:rPr>
          <w:i/>
          <w:sz w:val="22"/>
          <w:szCs w:val="22"/>
          <w:lang w:val="bg-BG"/>
        </w:rPr>
        <w:t>Подобряване и развитие на инфраструктура, свързана с развитието и адаптирането на земеделието и горското стопанство</w:t>
      </w:r>
      <w:r w:rsidRPr="00BC513A">
        <w:rPr>
          <w:sz w:val="22"/>
          <w:szCs w:val="22"/>
          <w:lang w:val="bg-BG"/>
        </w:rPr>
        <w:t xml:space="preserve"> и мярка 126 </w:t>
      </w:r>
      <w:r w:rsidRPr="00BC513A">
        <w:rPr>
          <w:i/>
          <w:sz w:val="22"/>
          <w:szCs w:val="22"/>
          <w:lang w:val="bg-BG"/>
        </w:rPr>
        <w:t>Възстановяване на селскостопанския производствен потенциал, разрушен от природни бедствия и въвеждане на превантивни дейности</w:t>
      </w:r>
      <w:r w:rsidRPr="00BC513A">
        <w:rPr>
          <w:sz w:val="22"/>
          <w:szCs w:val="22"/>
          <w:lang w:val="bg-BG"/>
        </w:rPr>
        <w:t xml:space="preserve"> не се осъществяват, въпреки, че като цяло се вписват в логиката на нуждите. Причините са, че прилагането, особено на мярка 125 относно подкрепа за реконструкция и модернизация на хидромелиоративната инфраструктура</w:t>
      </w:r>
      <w:r w:rsidR="0077113C">
        <w:rPr>
          <w:sz w:val="22"/>
          <w:szCs w:val="22"/>
          <w:lang w:val="bg-BG"/>
        </w:rPr>
        <w:t>,</w:t>
      </w:r>
      <w:r w:rsidRPr="00BC513A">
        <w:rPr>
          <w:sz w:val="22"/>
          <w:szCs w:val="22"/>
          <w:lang w:val="bg-BG"/>
        </w:rPr>
        <w:t xml:space="preserve"> е свързано със законодателни и регулаторни промени, които затрудняват акционерно дружество „Напоителни системи” да бъде бенефициент по мярката. Освен това, прилагане на мярка 125 в края на програмния период изиска да се спазят условията на чл. 46 от новия Регламент </w:t>
      </w:r>
      <w:r w:rsidR="0077113C">
        <w:rPr>
          <w:sz w:val="22"/>
          <w:szCs w:val="22"/>
          <w:lang w:val="bg-BG"/>
        </w:rPr>
        <w:t xml:space="preserve">(ЕС) № </w:t>
      </w:r>
      <w:r w:rsidRPr="00BC513A">
        <w:rPr>
          <w:sz w:val="22"/>
          <w:szCs w:val="22"/>
          <w:lang w:val="bg-BG"/>
        </w:rPr>
        <w:t>1305/2013, който предвижда, че за да са допустими разходите за напояване, т</w:t>
      </w:r>
      <w:r w:rsidR="0077113C">
        <w:rPr>
          <w:sz w:val="22"/>
          <w:szCs w:val="22"/>
          <w:lang w:val="bg-BG"/>
        </w:rPr>
        <w:t>е</w:t>
      </w:r>
      <w:r w:rsidRPr="00BC513A">
        <w:rPr>
          <w:sz w:val="22"/>
          <w:szCs w:val="22"/>
          <w:lang w:val="bg-BG"/>
        </w:rPr>
        <w:t xml:space="preserve"> трябва да са заложени като мерки в планове за управление на речните басейни. Едва в края на програмния период стартира и разработване на обща стратегия за управление на хидромелиорациите и предпазване от вредното въздействие на водите. Вси</w:t>
      </w:r>
      <w:r w:rsidR="00520B91">
        <w:rPr>
          <w:sz w:val="22"/>
          <w:szCs w:val="22"/>
          <w:lang w:val="bg-BG"/>
        </w:rPr>
        <w:t>ч</w:t>
      </w:r>
      <w:r w:rsidRPr="00BC513A">
        <w:rPr>
          <w:sz w:val="22"/>
          <w:szCs w:val="22"/>
          <w:lang w:val="bg-BG"/>
        </w:rPr>
        <w:t xml:space="preserve">ко това затруднява обосновката </w:t>
      </w:r>
      <w:r w:rsidRPr="00BC513A">
        <w:rPr>
          <w:sz w:val="22"/>
          <w:szCs w:val="22"/>
          <w:lang w:val="bg-BG"/>
        </w:rPr>
        <w:lastRenderedPageBreak/>
        <w:t>на мярка 125. От друга страна, нуждите</w:t>
      </w:r>
      <w:r w:rsidR="0077113C">
        <w:rPr>
          <w:sz w:val="22"/>
          <w:szCs w:val="22"/>
          <w:lang w:val="bg-BG"/>
        </w:rPr>
        <w:t>,</w:t>
      </w:r>
      <w:r w:rsidRPr="00BC513A">
        <w:rPr>
          <w:sz w:val="22"/>
          <w:szCs w:val="22"/>
          <w:lang w:val="bg-BG"/>
        </w:rPr>
        <w:t xml:space="preserve"> свързани с модернизация на технологичната база</w:t>
      </w:r>
      <w:r w:rsidR="0077113C">
        <w:rPr>
          <w:sz w:val="22"/>
          <w:szCs w:val="22"/>
          <w:lang w:val="bg-BG"/>
        </w:rPr>
        <w:t>,</w:t>
      </w:r>
      <w:r w:rsidRPr="00BC513A">
        <w:rPr>
          <w:sz w:val="22"/>
          <w:szCs w:val="22"/>
          <w:lang w:val="bg-BG"/>
        </w:rPr>
        <w:t xml:space="preserve"> са с по-голяма приоритетност за </w:t>
      </w:r>
      <w:r w:rsidR="0077113C">
        <w:rPr>
          <w:sz w:val="22"/>
          <w:szCs w:val="22"/>
          <w:lang w:val="bg-BG"/>
        </w:rPr>
        <w:t>земеделските</w:t>
      </w:r>
      <w:r w:rsidR="0077113C" w:rsidRPr="00BC513A">
        <w:rPr>
          <w:sz w:val="22"/>
          <w:szCs w:val="22"/>
          <w:lang w:val="bg-BG"/>
        </w:rPr>
        <w:t xml:space="preserve"> </w:t>
      </w:r>
      <w:r w:rsidRPr="00BC513A">
        <w:rPr>
          <w:sz w:val="22"/>
          <w:szCs w:val="22"/>
          <w:lang w:val="bg-BG"/>
        </w:rPr>
        <w:t xml:space="preserve">производители, което се допълва и от по-слабия интерес сред потенциалните кандидати по горските мерки, като мярка 126. </w:t>
      </w:r>
    </w:p>
    <w:p w14:paraId="1D129FA8" w14:textId="178340AF" w:rsidR="00A5050A" w:rsidRPr="00A5050A" w:rsidRDefault="00E8617E" w:rsidP="00A5050A">
      <w:pPr>
        <w:pStyle w:val="DefaultText"/>
        <w:spacing w:after="120" w:line="300" w:lineRule="atLeast"/>
        <w:ind w:firstLine="708"/>
        <w:rPr>
          <w:sz w:val="22"/>
          <w:szCs w:val="22"/>
          <w:lang w:val="en-US"/>
        </w:rPr>
      </w:pPr>
      <w:r w:rsidRPr="00BC513A">
        <w:rPr>
          <w:sz w:val="22"/>
          <w:szCs w:val="22"/>
          <w:lang w:val="bg-BG"/>
        </w:rPr>
        <w:t>Мярката, насочена към горското стопанство 122</w:t>
      </w:r>
      <w:r w:rsidR="0077113C">
        <w:rPr>
          <w:sz w:val="22"/>
          <w:szCs w:val="22"/>
          <w:lang w:val="bg-BG"/>
        </w:rPr>
        <w:t>,</w:t>
      </w:r>
      <w:r w:rsidRPr="00BC513A">
        <w:rPr>
          <w:sz w:val="22"/>
          <w:szCs w:val="22"/>
          <w:lang w:val="bg-BG"/>
        </w:rPr>
        <w:t xml:space="preserve"> е сред избраните за прилагане мерки от ос 1, но самото изпълнение е било считано като проблемно, заради изключване на </w:t>
      </w:r>
      <w:r w:rsidR="0077113C">
        <w:rPr>
          <w:sz w:val="22"/>
          <w:szCs w:val="22"/>
          <w:lang w:val="bg-BG"/>
        </w:rPr>
        <w:t>д</w:t>
      </w:r>
      <w:r w:rsidRPr="00BC513A">
        <w:rPr>
          <w:sz w:val="22"/>
          <w:szCs w:val="22"/>
          <w:lang w:val="bg-BG"/>
        </w:rPr>
        <w:t>ържавните предприятия от кръга на потенциалните бенефициенти. Ниското ниво на интензитет на помощта – 50%</w:t>
      </w:r>
      <w:r w:rsidR="0077113C">
        <w:rPr>
          <w:sz w:val="22"/>
          <w:szCs w:val="22"/>
          <w:lang w:val="bg-BG"/>
        </w:rPr>
        <w:t>,</w:t>
      </w:r>
      <w:r w:rsidRPr="00BC513A">
        <w:rPr>
          <w:sz w:val="22"/>
          <w:szCs w:val="22"/>
          <w:lang w:val="bg-BG"/>
        </w:rPr>
        <w:t xml:space="preserve"> както и разпокъсаната собственост на частните гори (много собственици на малки по площ гори)</w:t>
      </w:r>
      <w:r w:rsidR="0077113C">
        <w:rPr>
          <w:sz w:val="22"/>
          <w:szCs w:val="22"/>
          <w:lang w:val="bg-BG"/>
        </w:rPr>
        <w:t>,</w:t>
      </w:r>
      <w:r w:rsidRPr="00BC513A">
        <w:rPr>
          <w:sz w:val="22"/>
          <w:szCs w:val="22"/>
          <w:lang w:val="bg-BG"/>
        </w:rPr>
        <w:t xml:space="preserve"> е причина за слабата активност на потенциалните бенефициенти (частни собственици на гори, общини и техни сдружения). Основна част от горите (76,8%</w:t>
      </w:r>
      <w:r w:rsidRPr="00BC513A">
        <w:rPr>
          <w:rStyle w:val="FootnoteReference"/>
          <w:sz w:val="22"/>
          <w:szCs w:val="22"/>
          <w:lang w:val="bg-BG"/>
        </w:rPr>
        <w:footnoteReference w:id="17"/>
      </w:r>
      <w:r w:rsidRPr="00BC513A">
        <w:rPr>
          <w:sz w:val="22"/>
          <w:szCs w:val="22"/>
          <w:lang w:val="bg-BG"/>
        </w:rPr>
        <w:t xml:space="preserve">) са държавни, докато общинските и частните гори са </w:t>
      </w:r>
      <w:r w:rsidR="007A131A">
        <w:rPr>
          <w:sz w:val="22"/>
          <w:szCs w:val="22"/>
          <w:lang w:val="bg-BG"/>
        </w:rPr>
        <w:t xml:space="preserve">съответно </w:t>
      </w:r>
      <w:r w:rsidRPr="00BC513A">
        <w:rPr>
          <w:sz w:val="22"/>
          <w:szCs w:val="22"/>
          <w:lang w:val="bg-BG"/>
        </w:rPr>
        <w:t xml:space="preserve">само 11,4% и 9,9%. Заложените целеви стойности са били твърде високи. </w:t>
      </w:r>
      <w:r w:rsidR="0083700E">
        <w:rPr>
          <w:sz w:val="22"/>
          <w:szCs w:val="22"/>
          <w:lang w:val="bg-BG"/>
        </w:rPr>
        <w:t>Бенефициентите не са</w:t>
      </w:r>
      <w:r w:rsidR="0083700E" w:rsidRPr="00A5050A">
        <w:rPr>
          <w:sz w:val="22"/>
          <w:szCs w:val="22"/>
          <w:lang w:val="bg-BG"/>
        </w:rPr>
        <w:t xml:space="preserve"> </w:t>
      </w:r>
      <w:r w:rsidR="00A5050A" w:rsidRPr="00A5050A">
        <w:rPr>
          <w:sz w:val="22"/>
          <w:szCs w:val="22"/>
          <w:lang w:val="bg-BG"/>
        </w:rPr>
        <w:t>имали достатъчно интерес и умения</w:t>
      </w:r>
      <w:r w:rsidR="00BB2E20">
        <w:rPr>
          <w:sz w:val="22"/>
          <w:szCs w:val="22"/>
          <w:lang w:val="bg-BG"/>
        </w:rPr>
        <w:t xml:space="preserve">, що се отнася до частните горовладелци, </w:t>
      </w:r>
      <w:r w:rsidR="00A5050A" w:rsidRPr="00A5050A">
        <w:rPr>
          <w:sz w:val="22"/>
          <w:szCs w:val="22"/>
          <w:lang w:val="bg-BG"/>
        </w:rPr>
        <w:t xml:space="preserve">да кандидатстват по програмата. Това не е анализирано в достатъчна </w:t>
      </w:r>
      <w:r w:rsidR="0083700E">
        <w:rPr>
          <w:sz w:val="22"/>
          <w:szCs w:val="22"/>
          <w:lang w:val="bg-BG"/>
        </w:rPr>
        <w:t xml:space="preserve">степен, </w:t>
      </w:r>
      <w:r w:rsidR="00A5050A" w:rsidRPr="00A5050A">
        <w:rPr>
          <w:sz w:val="22"/>
          <w:szCs w:val="22"/>
          <w:lang w:val="bg-BG"/>
        </w:rPr>
        <w:t xml:space="preserve">така че да </w:t>
      </w:r>
      <w:r w:rsidR="0083700E">
        <w:rPr>
          <w:sz w:val="22"/>
          <w:szCs w:val="22"/>
          <w:lang w:val="bg-BG"/>
        </w:rPr>
        <w:t xml:space="preserve">се предвидят </w:t>
      </w:r>
      <w:r w:rsidR="00A5050A" w:rsidRPr="00A5050A">
        <w:rPr>
          <w:sz w:val="22"/>
          <w:szCs w:val="22"/>
          <w:lang w:val="bg-BG"/>
        </w:rPr>
        <w:t>дейности</w:t>
      </w:r>
      <w:r w:rsidR="00886DDF">
        <w:rPr>
          <w:sz w:val="22"/>
          <w:szCs w:val="22"/>
          <w:lang w:val="bg-BG"/>
        </w:rPr>
        <w:t>,</w:t>
      </w:r>
      <w:r w:rsidR="00A5050A" w:rsidRPr="00A5050A">
        <w:rPr>
          <w:sz w:val="22"/>
          <w:szCs w:val="22"/>
          <w:lang w:val="bg-BG"/>
        </w:rPr>
        <w:t xml:space="preserve"> </w:t>
      </w:r>
      <w:r w:rsidR="0083700E">
        <w:rPr>
          <w:sz w:val="22"/>
          <w:szCs w:val="22"/>
          <w:lang w:val="bg-BG"/>
        </w:rPr>
        <w:t>с които да се осигури по-добро постигане на заложените цели</w:t>
      </w:r>
      <w:r w:rsidR="00A5050A" w:rsidRPr="00A5050A">
        <w:rPr>
          <w:sz w:val="22"/>
          <w:szCs w:val="22"/>
          <w:lang w:val="bg-BG"/>
        </w:rPr>
        <w:t>. Консултациите по мярка 114 по отношение на горския сектор са били сравнително малко.</w:t>
      </w:r>
    </w:p>
    <w:p w14:paraId="4724555E"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Налице е ясна връзка между резултатите, които се очакват от изпълнението на ос 1 на </w:t>
      </w:r>
      <w:r w:rsidR="000F57E9">
        <w:rPr>
          <w:sz w:val="22"/>
          <w:szCs w:val="22"/>
          <w:lang w:val="bg-BG"/>
        </w:rPr>
        <w:t>п</w:t>
      </w:r>
      <w:r w:rsidRPr="00BC513A">
        <w:rPr>
          <w:sz w:val="22"/>
          <w:szCs w:val="22"/>
          <w:lang w:val="bg-BG"/>
        </w:rPr>
        <w:t>рограмата и резултатите по всяка от мерките</w:t>
      </w:r>
      <w:r w:rsidR="0077113C">
        <w:rPr>
          <w:sz w:val="22"/>
          <w:szCs w:val="22"/>
          <w:lang w:val="bg-BG"/>
        </w:rPr>
        <w:t>,</w:t>
      </w:r>
      <w:r w:rsidRPr="00BC513A">
        <w:rPr>
          <w:sz w:val="22"/>
          <w:szCs w:val="22"/>
          <w:lang w:val="bg-BG"/>
        </w:rPr>
        <w:t xml:space="preserve"> както и индикаторите, с които последните се измерват. </w:t>
      </w:r>
    </w:p>
    <w:p w14:paraId="57EBD5DB"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51" w:name="_Toc504136178"/>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6</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Връзка между мерките по ос 1 и индикаторите за резултат</w:t>
      </w:r>
      <w:bookmarkEnd w:id="51"/>
    </w:p>
    <w:tbl>
      <w:tblPr>
        <w:tblStyle w:val="TableGrid"/>
        <w:tblW w:w="9067" w:type="dxa"/>
        <w:tbl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insideH w:val="single" w:sz="4" w:space="0" w:color="C45911" w:themeColor="accent2" w:themeShade="BF"/>
          <w:insideV w:val="single" w:sz="4" w:space="0" w:color="C45911" w:themeColor="accent2" w:themeShade="BF"/>
        </w:tblBorders>
        <w:tblLayout w:type="fixed"/>
        <w:tblLook w:val="04A0" w:firstRow="1" w:lastRow="0" w:firstColumn="1" w:lastColumn="0" w:noHBand="0" w:noVBand="1"/>
      </w:tblPr>
      <w:tblGrid>
        <w:gridCol w:w="3539"/>
        <w:gridCol w:w="614"/>
        <w:gridCol w:w="614"/>
        <w:gridCol w:w="614"/>
        <w:gridCol w:w="614"/>
        <w:gridCol w:w="615"/>
        <w:gridCol w:w="614"/>
        <w:gridCol w:w="614"/>
        <w:gridCol w:w="614"/>
        <w:gridCol w:w="615"/>
      </w:tblGrid>
      <w:tr w:rsidR="00E8617E" w:rsidRPr="00BC513A" w14:paraId="6402608A" w14:textId="77777777" w:rsidTr="00922731">
        <w:tc>
          <w:tcPr>
            <w:tcW w:w="3539" w:type="dxa"/>
            <w:shd w:val="clear" w:color="auto" w:fill="F7CAAC" w:themeFill="accent2" w:themeFillTint="66"/>
          </w:tcPr>
          <w:p w14:paraId="0D78232E" w14:textId="77777777" w:rsidR="00E8617E" w:rsidRPr="00BC513A" w:rsidRDefault="00E8617E" w:rsidP="00922731">
            <w:pPr>
              <w:jc w:val="right"/>
              <w:rPr>
                <w:rFonts w:ascii="Arial" w:hAnsi="Arial" w:cs="Arial"/>
                <w:b/>
                <w:sz w:val="20"/>
                <w:szCs w:val="20"/>
              </w:rPr>
            </w:pPr>
            <w:r w:rsidRPr="00BC513A">
              <w:rPr>
                <w:rFonts w:ascii="Arial" w:hAnsi="Arial" w:cs="Arial"/>
                <w:b/>
                <w:sz w:val="20"/>
                <w:szCs w:val="20"/>
              </w:rPr>
              <w:t>Мярка</w:t>
            </w:r>
          </w:p>
          <w:p w14:paraId="54EA4F69" w14:textId="77777777" w:rsidR="00E8617E" w:rsidRPr="00BC513A" w:rsidRDefault="00E8617E" w:rsidP="00922731">
            <w:pPr>
              <w:rPr>
                <w:rFonts w:ascii="Arial" w:hAnsi="Arial" w:cs="Arial"/>
                <w:b/>
                <w:sz w:val="20"/>
                <w:szCs w:val="20"/>
              </w:rPr>
            </w:pPr>
            <w:r w:rsidRPr="00BC513A">
              <w:rPr>
                <w:rFonts w:ascii="Arial" w:hAnsi="Arial" w:cs="Arial"/>
                <w:b/>
                <w:sz w:val="20"/>
                <w:szCs w:val="20"/>
              </w:rPr>
              <w:t>Индикатори за резултат</w:t>
            </w:r>
          </w:p>
        </w:tc>
        <w:tc>
          <w:tcPr>
            <w:tcW w:w="614" w:type="dxa"/>
            <w:shd w:val="clear" w:color="auto" w:fill="F7CAAC" w:themeFill="accent2" w:themeFillTint="66"/>
            <w:vAlign w:val="center"/>
          </w:tcPr>
          <w:p w14:paraId="3BF555B9"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111</w:t>
            </w:r>
          </w:p>
        </w:tc>
        <w:tc>
          <w:tcPr>
            <w:tcW w:w="614" w:type="dxa"/>
            <w:shd w:val="clear" w:color="auto" w:fill="F7CAAC" w:themeFill="accent2" w:themeFillTint="66"/>
            <w:vAlign w:val="center"/>
          </w:tcPr>
          <w:p w14:paraId="4DE6673C"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112</w:t>
            </w:r>
          </w:p>
        </w:tc>
        <w:tc>
          <w:tcPr>
            <w:tcW w:w="614" w:type="dxa"/>
            <w:shd w:val="clear" w:color="auto" w:fill="F7CAAC" w:themeFill="accent2" w:themeFillTint="66"/>
            <w:vAlign w:val="center"/>
          </w:tcPr>
          <w:p w14:paraId="1B133826"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114</w:t>
            </w:r>
          </w:p>
        </w:tc>
        <w:tc>
          <w:tcPr>
            <w:tcW w:w="614" w:type="dxa"/>
            <w:shd w:val="clear" w:color="auto" w:fill="F7CAAC" w:themeFill="accent2" w:themeFillTint="66"/>
            <w:vAlign w:val="center"/>
          </w:tcPr>
          <w:p w14:paraId="4B5DCAFE"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121</w:t>
            </w:r>
          </w:p>
        </w:tc>
        <w:tc>
          <w:tcPr>
            <w:tcW w:w="615" w:type="dxa"/>
            <w:shd w:val="clear" w:color="auto" w:fill="F7CAAC" w:themeFill="accent2" w:themeFillTint="66"/>
            <w:vAlign w:val="center"/>
          </w:tcPr>
          <w:p w14:paraId="68414D29"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122</w:t>
            </w:r>
          </w:p>
        </w:tc>
        <w:tc>
          <w:tcPr>
            <w:tcW w:w="614" w:type="dxa"/>
            <w:shd w:val="clear" w:color="auto" w:fill="F7CAAC" w:themeFill="accent2" w:themeFillTint="66"/>
            <w:vAlign w:val="center"/>
          </w:tcPr>
          <w:p w14:paraId="2C3A0466"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123</w:t>
            </w:r>
          </w:p>
        </w:tc>
        <w:tc>
          <w:tcPr>
            <w:tcW w:w="614" w:type="dxa"/>
            <w:shd w:val="clear" w:color="auto" w:fill="F7CAAC" w:themeFill="accent2" w:themeFillTint="66"/>
            <w:vAlign w:val="center"/>
          </w:tcPr>
          <w:p w14:paraId="48C7831D"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141</w:t>
            </w:r>
          </w:p>
        </w:tc>
        <w:tc>
          <w:tcPr>
            <w:tcW w:w="614" w:type="dxa"/>
            <w:shd w:val="clear" w:color="auto" w:fill="F7CAAC" w:themeFill="accent2" w:themeFillTint="66"/>
            <w:vAlign w:val="center"/>
          </w:tcPr>
          <w:p w14:paraId="28FDC302"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142</w:t>
            </w:r>
          </w:p>
        </w:tc>
        <w:tc>
          <w:tcPr>
            <w:tcW w:w="615" w:type="dxa"/>
            <w:shd w:val="clear" w:color="auto" w:fill="F7CAAC" w:themeFill="accent2" w:themeFillTint="66"/>
            <w:vAlign w:val="center"/>
          </w:tcPr>
          <w:p w14:paraId="2A2EE48B"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143</w:t>
            </w:r>
          </w:p>
        </w:tc>
      </w:tr>
      <w:tr w:rsidR="00E8617E" w:rsidRPr="00BC513A" w14:paraId="44D3A9B1" w14:textId="77777777" w:rsidTr="00922731">
        <w:tc>
          <w:tcPr>
            <w:tcW w:w="3539" w:type="dxa"/>
            <w:shd w:val="clear" w:color="auto" w:fill="FBE4D5" w:themeFill="accent2" w:themeFillTint="33"/>
          </w:tcPr>
          <w:p w14:paraId="4A3E893D" w14:textId="77777777" w:rsidR="00E8617E" w:rsidRPr="00BC513A" w:rsidRDefault="00E8617E" w:rsidP="00922731">
            <w:pPr>
              <w:rPr>
                <w:rFonts w:ascii="Arial" w:hAnsi="Arial" w:cs="Arial"/>
                <w:sz w:val="20"/>
                <w:szCs w:val="20"/>
                <w:lang w:eastAsia="de-DE"/>
              </w:rPr>
            </w:pPr>
            <w:r w:rsidRPr="00BC513A">
              <w:rPr>
                <w:rFonts w:ascii="Arial" w:hAnsi="Arial" w:cs="Arial"/>
                <w:sz w:val="20"/>
                <w:szCs w:val="20"/>
                <w:lang w:eastAsia="de-DE"/>
              </w:rPr>
              <w:t>Брой участници успешно завършили обучение, свързано със селското стопанство и / или горското стопанство</w:t>
            </w:r>
          </w:p>
        </w:tc>
        <w:tc>
          <w:tcPr>
            <w:tcW w:w="614" w:type="dxa"/>
            <w:shd w:val="clear" w:color="auto" w:fill="FBE4D5" w:themeFill="accent2" w:themeFillTint="33"/>
            <w:vAlign w:val="center"/>
          </w:tcPr>
          <w:p w14:paraId="5C23D3B5"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614" w:type="dxa"/>
            <w:shd w:val="clear" w:color="auto" w:fill="auto"/>
            <w:vAlign w:val="center"/>
          </w:tcPr>
          <w:p w14:paraId="657DABD5" w14:textId="77777777" w:rsidR="00E8617E" w:rsidRPr="00BC513A" w:rsidRDefault="00E8617E" w:rsidP="00922731">
            <w:pPr>
              <w:jc w:val="center"/>
              <w:rPr>
                <w:rFonts w:ascii="Arial" w:hAnsi="Arial" w:cs="Arial"/>
                <w:sz w:val="20"/>
                <w:szCs w:val="20"/>
                <w:lang w:eastAsia="de-DE"/>
              </w:rPr>
            </w:pPr>
          </w:p>
        </w:tc>
        <w:tc>
          <w:tcPr>
            <w:tcW w:w="614" w:type="dxa"/>
            <w:shd w:val="clear" w:color="auto" w:fill="auto"/>
            <w:vAlign w:val="center"/>
          </w:tcPr>
          <w:p w14:paraId="2135E57E" w14:textId="77777777" w:rsidR="00E8617E" w:rsidRPr="00BC513A" w:rsidRDefault="00E8617E" w:rsidP="00922731">
            <w:pPr>
              <w:jc w:val="center"/>
              <w:rPr>
                <w:rFonts w:ascii="Arial" w:hAnsi="Arial" w:cs="Arial"/>
                <w:sz w:val="20"/>
                <w:szCs w:val="20"/>
              </w:rPr>
            </w:pPr>
          </w:p>
        </w:tc>
        <w:tc>
          <w:tcPr>
            <w:tcW w:w="614" w:type="dxa"/>
            <w:shd w:val="clear" w:color="auto" w:fill="auto"/>
            <w:vAlign w:val="center"/>
          </w:tcPr>
          <w:p w14:paraId="2BB1E7D2" w14:textId="77777777" w:rsidR="00E8617E" w:rsidRPr="00BC513A" w:rsidRDefault="00E8617E" w:rsidP="00922731">
            <w:pPr>
              <w:jc w:val="center"/>
              <w:rPr>
                <w:rFonts w:ascii="Arial" w:hAnsi="Arial" w:cs="Arial"/>
                <w:sz w:val="20"/>
                <w:szCs w:val="20"/>
              </w:rPr>
            </w:pPr>
          </w:p>
        </w:tc>
        <w:tc>
          <w:tcPr>
            <w:tcW w:w="615" w:type="dxa"/>
            <w:vAlign w:val="center"/>
          </w:tcPr>
          <w:p w14:paraId="63171CFB" w14:textId="77777777" w:rsidR="00E8617E" w:rsidRPr="00BC513A" w:rsidRDefault="00E8617E" w:rsidP="00922731">
            <w:pPr>
              <w:jc w:val="center"/>
              <w:rPr>
                <w:rFonts w:ascii="Arial" w:hAnsi="Arial" w:cs="Arial"/>
                <w:sz w:val="20"/>
                <w:szCs w:val="20"/>
              </w:rPr>
            </w:pPr>
          </w:p>
        </w:tc>
        <w:tc>
          <w:tcPr>
            <w:tcW w:w="614" w:type="dxa"/>
            <w:vAlign w:val="center"/>
          </w:tcPr>
          <w:p w14:paraId="08BFC425" w14:textId="77777777" w:rsidR="00E8617E" w:rsidRPr="00BC513A" w:rsidRDefault="00E8617E" w:rsidP="00922731">
            <w:pPr>
              <w:jc w:val="center"/>
              <w:rPr>
                <w:rFonts w:ascii="Arial" w:hAnsi="Arial" w:cs="Arial"/>
                <w:sz w:val="20"/>
                <w:szCs w:val="20"/>
              </w:rPr>
            </w:pPr>
          </w:p>
        </w:tc>
        <w:tc>
          <w:tcPr>
            <w:tcW w:w="614" w:type="dxa"/>
            <w:vAlign w:val="center"/>
          </w:tcPr>
          <w:p w14:paraId="3FD475B1" w14:textId="77777777" w:rsidR="00E8617E" w:rsidRPr="00BC513A" w:rsidRDefault="00E8617E" w:rsidP="00922731">
            <w:pPr>
              <w:jc w:val="center"/>
              <w:rPr>
                <w:rFonts w:ascii="Arial" w:hAnsi="Arial" w:cs="Arial"/>
                <w:sz w:val="20"/>
                <w:szCs w:val="20"/>
              </w:rPr>
            </w:pPr>
          </w:p>
        </w:tc>
        <w:tc>
          <w:tcPr>
            <w:tcW w:w="614" w:type="dxa"/>
            <w:vAlign w:val="center"/>
          </w:tcPr>
          <w:p w14:paraId="54B3CE42" w14:textId="77777777" w:rsidR="00E8617E" w:rsidRPr="00BC513A" w:rsidRDefault="00E8617E" w:rsidP="00922731">
            <w:pPr>
              <w:jc w:val="center"/>
              <w:rPr>
                <w:rFonts w:ascii="Arial" w:hAnsi="Arial" w:cs="Arial"/>
                <w:sz w:val="20"/>
                <w:szCs w:val="20"/>
              </w:rPr>
            </w:pPr>
          </w:p>
        </w:tc>
        <w:tc>
          <w:tcPr>
            <w:tcW w:w="615" w:type="dxa"/>
            <w:vAlign w:val="center"/>
          </w:tcPr>
          <w:p w14:paraId="10FC9458" w14:textId="77777777" w:rsidR="00E8617E" w:rsidRPr="00BC513A" w:rsidRDefault="00E8617E" w:rsidP="00922731">
            <w:pPr>
              <w:jc w:val="center"/>
              <w:rPr>
                <w:rFonts w:ascii="Arial" w:hAnsi="Arial" w:cs="Arial"/>
                <w:sz w:val="20"/>
                <w:szCs w:val="20"/>
              </w:rPr>
            </w:pPr>
          </w:p>
        </w:tc>
      </w:tr>
      <w:tr w:rsidR="00E8617E" w:rsidRPr="00BC513A" w14:paraId="28436459" w14:textId="77777777" w:rsidTr="00922731">
        <w:tc>
          <w:tcPr>
            <w:tcW w:w="3539" w:type="dxa"/>
            <w:shd w:val="clear" w:color="auto" w:fill="FBE4D5" w:themeFill="accent2" w:themeFillTint="33"/>
          </w:tcPr>
          <w:p w14:paraId="0721CE36" w14:textId="77777777" w:rsidR="00E8617E" w:rsidRPr="00BC513A" w:rsidRDefault="00E8617E" w:rsidP="00922731">
            <w:pPr>
              <w:rPr>
                <w:rFonts w:ascii="Arial" w:hAnsi="Arial" w:cs="Arial"/>
                <w:sz w:val="20"/>
                <w:szCs w:val="20"/>
                <w:lang w:eastAsia="de-DE"/>
              </w:rPr>
            </w:pPr>
            <w:r w:rsidRPr="00BC513A">
              <w:rPr>
                <w:rFonts w:ascii="Arial" w:hAnsi="Arial" w:cs="Arial"/>
                <w:sz w:val="20"/>
                <w:szCs w:val="20"/>
                <w:lang w:eastAsia="de-DE"/>
              </w:rPr>
              <w:t>Увеличение на брутната добавена стойност в подпомогнатите стопанства/ предприятия</w:t>
            </w:r>
          </w:p>
        </w:tc>
        <w:tc>
          <w:tcPr>
            <w:tcW w:w="614" w:type="dxa"/>
            <w:shd w:val="clear" w:color="auto" w:fill="auto"/>
            <w:vAlign w:val="center"/>
          </w:tcPr>
          <w:p w14:paraId="36F0981A" w14:textId="77777777" w:rsidR="00E8617E" w:rsidRPr="00BC513A" w:rsidRDefault="00E8617E" w:rsidP="00922731">
            <w:pPr>
              <w:jc w:val="center"/>
              <w:rPr>
                <w:rFonts w:ascii="Arial" w:hAnsi="Arial" w:cs="Arial"/>
                <w:sz w:val="20"/>
                <w:szCs w:val="20"/>
                <w:lang w:eastAsia="de-DE"/>
              </w:rPr>
            </w:pPr>
          </w:p>
        </w:tc>
        <w:tc>
          <w:tcPr>
            <w:tcW w:w="614" w:type="dxa"/>
            <w:shd w:val="clear" w:color="auto" w:fill="FBE4D5" w:themeFill="accent2" w:themeFillTint="33"/>
            <w:vAlign w:val="center"/>
          </w:tcPr>
          <w:p w14:paraId="4707F6E9"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614" w:type="dxa"/>
            <w:shd w:val="clear" w:color="auto" w:fill="FBE4D5" w:themeFill="accent2" w:themeFillTint="33"/>
            <w:vAlign w:val="center"/>
          </w:tcPr>
          <w:p w14:paraId="17981DD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c>
          <w:tcPr>
            <w:tcW w:w="614" w:type="dxa"/>
            <w:shd w:val="clear" w:color="auto" w:fill="auto"/>
            <w:vAlign w:val="center"/>
          </w:tcPr>
          <w:p w14:paraId="41BD88BD" w14:textId="77777777" w:rsidR="00E8617E" w:rsidRPr="00BC513A" w:rsidRDefault="00E8617E" w:rsidP="00922731">
            <w:pPr>
              <w:jc w:val="center"/>
              <w:rPr>
                <w:rFonts w:ascii="Arial" w:hAnsi="Arial" w:cs="Arial"/>
                <w:sz w:val="20"/>
                <w:szCs w:val="20"/>
              </w:rPr>
            </w:pPr>
          </w:p>
        </w:tc>
        <w:tc>
          <w:tcPr>
            <w:tcW w:w="615" w:type="dxa"/>
            <w:vAlign w:val="center"/>
          </w:tcPr>
          <w:p w14:paraId="1F338704" w14:textId="77777777" w:rsidR="00E8617E" w:rsidRPr="00BC513A" w:rsidRDefault="00E8617E" w:rsidP="00922731">
            <w:pPr>
              <w:jc w:val="center"/>
              <w:rPr>
                <w:rFonts w:ascii="Arial" w:hAnsi="Arial" w:cs="Arial"/>
                <w:sz w:val="20"/>
                <w:szCs w:val="20"/>
              </w:rPr>
            </w:pPr>
          </w:p>
        </w:tc>
        <w:tc>
          <w:tcPr>
            <w:tcW w:w="614" w:type="dxa"/>
            <w:vAlign w:val="center"/>
          </w:tcPr>
          <w:p w14:paraId="16CF5B74" w14:textId="77777777" w:rsidR="00E8617E" w:rsidRPr="00BC513A" w:rsidRDefault="00E8617E" w:rsidP="00922731">
            <w:pPr>
              <w:jc w:val="center"/>
              <w:rPr>
                <w:rFonts w:ascii="Arial" w:hAnsi="Arial" w:cs="Arial"/>
                <w:sz w:val="20"/>
                <w:szCs w:val="20"/>
              </w:rPr>
            </w:pPr>
          </w:p>
        </w:tc>
        <w:tc>
          <w:tcPr>
            <w:tcW w:w="614" w:type="dxa"/>
            <w:vAlign w:val="center"/>
          </w:tcPr>
          <w:p w14:paraId="2BF4310E" w14:textId="77777777" w:rsidR="00E8617E" w:rsidRPr="00BC513A" w:rsidRDefault="00E8617E" w:rsidP="00922731">
            <w:pPr>
              <w:jc w:val="center"/>
              <w:rPr>
                <w:rFonts w:ascii="Arial" w:hAnsi="Arial" w:cs="Arial"/>
                <w:sz w:val="20"/>
                <w:szCs w:val="20"/>
              </w:rPr>
            </w:pPr>
          </w:p>
        </w:tc>
        <w:tc>
          <w:tcPr>
            <w:tcW w:w="614" w:type="dxa"/>
            <w:vAlign w:val="center"/>
          </w:tcPr>
          <w:p w14:paraId="520ABD9A" w14:textId="77777777" w:rsidR="00E8617E" w:rsidRPr="00BC513A" w:rsidRDefault="00E8617E" w:rsidP="00922731">
            <w:pPr>
              <w:jc w:val="center"/>
              <w:rPr>
                <w:rFonts w:ascii="Arial" w:hAnsi="Arial" w:cs="Arial"/>
                <w:sz w:val="20"/>
                <w:szCs w:val="20"/>
              </w:rPr>
            </w:pPr>
          </w:p>
        </w:tc>
        <w:tc>
          <w:tcPr>
            <w:tcW w:w="615" w:type="dxa"/>
            <w:shd w:val="clear" w:color="auto" w:fill="FBE4D5" w:themeFill="accent2" w:themeFillTint="33"/>
            <w:vAlign w:val="center"/>
          </w:tcPr>
          <w:p w14:paraId="01189CC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r>
      <w:tr w:rsidR="00E8617E" w:rsidRPr="00BC513A" w14:paraId="4413308F" w14:textId="77777777" w:rsidTr="00922731">
        <w:tc>
          <w:tcPr>
            <w:tcW w:w="3539" w:type="dxa"/>
            <w:shd w:val="clear" w:color="auto" w:fill="FBE4D5" w:themeFill="accent2" w:themeFillTint="33"/>
          </w:tcPr>
          <w:p w14:paraId="3C6D6CF2" w14:textId="77777777" w:rsidR="00E8617E" w:rsidRPr="00BC513A" w:rsidRDefault="00E8617E" w:rsidP="00922731">
            <w:pPr>
              <w:rPr>
                <w:rFonts w:ascii="Arial" w:hAnsi="Arial" w:cs="Arial"/>
                <w:sz w:val="20"/>
                <w:szCs w:val="20"/>
                <w:lang w:eastAsia="de-DE"/>
              </w:rPr>
            </w:pPr>
            <w:r w:rsidRPr="00BC513A">
              <w:rPr>
                <w:rFonts w:ascii="Arial" w:hAnsi="Arial" w:cs="Arial"/>
                <w:sz w:val="20"/>
                <w:szCs w:val="20"/>
                <w:lang w:eastAsia="de-DE"/>
              </w:rPr>
              <w:t>Брой стопанства/предприятия въвели нови продукти и/или нови технологии</w:t>
            </w:r>
          </w:p>
        </w:tc>
        <w:tc>
          <w:tcPr>
            <w:tcW w:w="614" w:type="dxa"/>
            <w:shd w:val="clear" w:color="auto" w:fill="auto"/>
            <w:vAlign w:val="center"/>
          </w:tcPr>
          <w:p w14:paraId="4CF95140" w14:textId="77777777" w:rsidR="00E8617E" w:rsidRPr="00BC513A" w:rsidRDefault="00E8617E" w:rsidP="00922731">
            <w:pPr>
              <w:jc w:val="center"/>
              <w:rPr>
                <w:rFonts w:ascii="Arial" w:hAnsi="Arial" w:cs="Arial"/>
                <w:sz w:val="20"/>
                <w:szCs w:val="20"/>
                <w:lang w:eastAsia="de-DE"/>
              </w:rPr>
            </w:pPr>
          </w:p>
        </w:tc>
        <w:tc>
          <w:tcPr>
            <w:tcW w:w="614" w:type="dxa"/>
            <w:shd w:val="clear" w:color="auto" w:fill="auto"/>
            <w:vAlign w:val="center"/>
          </w:tcPr>
          <w:p w14:paraId="13AED16E" w14:textId="77777777" w:rsidR="00E8617E" w:rsidRPr="00BC513A" w:rsidRDefault="00E8617E" w:rsidP="00922731">
            <w:pPr>
              <w:jc w:val="center"/>
              <w:rPr>
                <w:rFonts w:ascii="Arial" w:hAnsi="Arial" w:cs="Arial"/>
                <w:sz w:val="20"/>
                <w:szCs w:val="20"/>
                <w:lang w:eastAsia="de-DE"/>
              </w:rPr>
            </w:pPr>
          </w:p>
        </w:tc>
        <w:tc>
          <w:tcPr>
            <w:tcW w:w="614" w:type="dxa"/>
            <w:shd w:val="clear" w:color="auto" w:fill="auto"/>
            <w:vAlign w:val="center"/>
          </w:tcPr>
          <w:p w14:paraId="34A51FE2" w14:textId="77777777" w:rsidR="00E8617E" w:rsidRPr="00BC513A" w:rsidRDefault="00E8617E" w:rsidP="00922731">
            <w:pPr>
              <w:jc w:val="center"/>
              <w:rPr>
                <w:rFonts w:ascii="Arial" w:hAnsi="Arial" w:cs="Arial"/>
                <w:sz w:val="20"/>
                <w:szCs w:val="20"/>
                <w:lang w:eastAsia="de-DE"/>
              </w:rPr>
            </w:pPr>
          </w:p>
        </w:tc>
        <w:tc>
          <w:tcPr>
            <w:tcW w:w="614" w:type="dxa"/>
            <w:shd w:val="clear" w:color="auto" w:fill="FBE4D5" w:themeFill="accent2" w:themeFillTint="33"/>
            <w:vAlign w:val="center"/>
          </w:tcPr>
          <w:p w14:paraId="3DC50069"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615" w:type="dxa"/>
            <w:shd w:val="clear" w:color="auto" w:fill="FBE4D5" w:themeFill="accent2" w:themeFillTint="33"/>
            <w:vAlign w:val="center"/>
          </w:tcPr>
          <w:p w14:paraId="49AD97C8"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614" w:type="dxa"/>
            <w:shd w:val="clear" w:color="auto" w:fill="FBE4D5" w:themeFill="accent2" w:themeFillTint="33"/>
            <w:vAlign w:val="center"/>
          </w:tcPr>
          <w:p w14:paraId="23A4B31E"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614" w:type="dxa"/>
            <w:vAlign w:val="center"/>
          </w:tcPr>
          <w:p w14:paraId="0078491D" w14:textId="77777777" w:rsidR="00E8617E" w:rsidRPr="00BC513A" w:rsidRDefault="00E8617E" w:rsidP="00922731">
            <w:pPr>
              <w:jc w:val="center"/>
              <w:rPr>
                <w:rFonts w:ascii="Arial" w:hAnsi="Arial" w:cs="Arial"/>
                <w:sz w:val="20"/>
                <w:szCs w:val="20"/>
                <w:lang w:eastAsia="de-DE"/>
              </w:rPr>
            </w:pPr>
          </w:p>
        </w:tc>
        <w:tc>
          <w:tcPr>
            <w:tcW w:w="614" w:type="dxa"/>
            <w:vAlign w:val="center"/>
          </w:tcPr>
          <w:p w14:paraId="21998E64" w14:textId="77777777" w:rsidR="00E8617E" w:rsidRPr="00BC513A" w:rsidRDefault="00E8617E" w:rsidP="00922731">
            <w:pPr>
              <w:jc w:val="center"/>
              <w:rPr>
                <w:rFonts w:ascii="Arial" w:hAnsi="Arial" w:cs="Arial"/>
                <w:sz w:val="20"/>
                <w:szCs w:val="20"/>
                <w:lang w:eastAsia="de-DE"/>
              </w:rPr>
            </w:pPr>
          </w:p>
        </w:tc>
        <w:tc>
          <w:tcPr>
            <w:tcW w:w="615" w:type="dxa"/>
            <w:vAlign w:val="center"/>
          </w:tcPr>
          <w:p w14:paraId="1AF8564B" w14:textId="77777777" w:rsidR="00E8617E" w:rsidRPr="00BC513A" w:rsidRDefault="00E8617E" w:rsidP="00922731">
            <w:pPr>
              <w:jc w:val="center"/>
              <w:rPr>
                <w:rFonts w:ascii="Arial" w:hAnsi="Arial" w:cs="Arial"/>
                <w:sz w:val="20"/>
                <w:szCs w:val="20"/>
                <w:lang w:eastAsia="de-DE"/>
              </w:rPr>
            </w:pPr>
          </w:p>
        </w:tc>
      </w:tr>
      <w:tr w:rsidR="00E8617E" w:rsidRPr="00BC513A" w14:paraId="70E72469" w14:textId="77777777" w:rsidTr="00922731">
        <w:tc>
          <w:tcPr>
            <w:tcW w:w="3539" w:type="dxa"/>
            <w:shd w:val="clear" w:color="auto" w:fill="FBE4D5" w:themeFill="accent2" w:themeFillTint="33"/>
          </w:tcPr>
          <w:p w14:paraId="2F3AADB6" w14:textId="77777777" w:rsidR="00E8617E" w:rsidRPr="00BC513A" w:rsidRDefault="00E8617E" w:rsidP="00922731">
            <w:pPr>
              <w:rPr>
                <w:rFonts w:ascii="Arial" w:hAnsi="Arial" w:cs="Arial"/>
                <w:sz w:val="20"/>
                <w:szCs w:val="20"/>
                <w:lang w:eastAsia="de-DE"/>
              </w:rPr>
            </w:pPr>
            <w:r w:rsidRPr="00BC513A">
              <w:rPr>
                <w:rFonts w:ascii="Arial" w:hAnsi="Arial" w:cs="Arial"/>
                <w:sz w:val="20"/>
                <w:szCs w:val="20"/>
                <w:lang w:eastAsia="de-DE"/>
              </w:rPr>
              <w:t>Брой на стопанствата навлезли на пазара</w:t>
            </w:r>
          </w:p>
        </w:tc>
        <w:tc>
          <w:tcPr>
            <w:tcW w:w="614" w:type="dxa"/>
            <w:shd w:val="clear" w:color="auto" w:fill="auto"/>
            <w:vAlign w:val="center"/>
          </w:tcPr>
          <w:p w14:paraId="7926F37C" w14:textId="77777777" w:rsidR="00E8617E" w:rsidRPr="00BC513A" w:rsidRDefault="00E8617E" w:rsidP="00922731">
            <w:pPr>
              <w:jc w:val="center"/>
              <w:rPr>
                <w:rFonts w:ascii="Arial" w:hAnsi="Arial" w:cs="Arial"/>
                <w:sz w:val="20"/>
                <w:szCs w:val="20"/>
                <w:lang w:eastAsia="de-DE"/>
              </w:rPr>
            </w:pPr>
          </w:p>
        </w:tc>
        <w:tc>
          <w:tcPr>
            <w:tcW w:w="614" w:type="dxa"/>
            <w:shd w:val="clear" w:color="auto" w:fill="auto"/>
            <w:vAlign w:val="center"/>
          </w:tcPr>
          <w:p w14:paraId="6657CA1D" w14:textId="77777777" w:rsidR="00E8617E" w:rsidRPr="00BC513A" w:rsidRDefault="00E8617E" w:rsidP="00922731">
            <w:pPr>
              <w:jc w:val="center"/>
              <w:rPr>
                <w:rFonts w:ascii="Arial" w:hAnsi="Arial" w:cs="Arial"/>
                <w:sz w:val="20"/>
                <w:szCs w:val="20"/>
                <w:lang w:eastAsia="de-DE"/>
              </w:rPr>
            </w:pPr>
          </w:p>
        </w:tc>
        <w:tc>
          <w:tcPr>
            <w:tcW w:w="614" w:type="dxa"/>
            <w:shd w:val="clear" w:color="auto" w:fill="auto"/>
            <w:vAlign w:val="center"/>
          </w:tcPr>
          <w:p w14:paraId="50F1B44B" w14:textId="77777777" w:rsidR="00E8617E" w:rsidRPr="00BC513A" w:rsidRDefault="00E8617E" w:rsidP="00922731">
            <w:pPr>
              <w:jc w:val="center"/>
              <w:rPr>
                <w:rFonts w:ascii="Arial" w:hAnsi="Arial" w:cs="Arial"/>
                <w:sz w:val="20"/>
                <w:szCs w:val="20"/>
                <w:lang w:eastAsia="de-DE"/>
              </w:rPr>
            </w:pPr>
          </w:p>
        </w:tc>
        <w:tc>
          <w:tcPr>
            <w:tcW w:w="614" w:type="dxa"/>
            <w:shd w:val="clear" w:color="auto" w:fill="auto"/>
            <w:vAlign w:val="center"/>
          </w:tcPr>
          <w:p w14:paraId="639E8174" w14:textId="77777777" w:rsidR="00E8617E" w:rsidRPr="00BC513A" w:rsidRDefault="00E8617E" w:rsidP="00922731">
            <w:pPr>
              <w:jc w:val="center"/>
              <w:rPr>
                <w:rFonts w:ascii="Arial" w:hAnsi="Arial" w:cs="Arial"/>
                <w:sz w:val="20"/>
                <w:szCs w:val="20"/>
                <w:lang w:eastAsia="de-DE"/>
              </w:rPr>
            </w:pPr>
          </w:p>
        </w:tc>
        <w:tc>
          <w:tcPr>
            <w:tcW w:w="615" w:type="dxa"/>
            <w:vAlign w:val="center"/>
          </w:tcPr>
          <w:p w14:paraId="52D921AC" w14:textId="77777777" w:rsidR="00E8617E" w:rsidRPr="00BC513A" w:rsidRDefault="00E8617E" w:rsidP="00922731">
            <w:pPr>
              <w:jc w:val="center"/>
              <w:rPr>
                <w:rFonts w:ascii="Arial" w:hAnsi="Arial" w:cs="Arial"/>
                <w:sz w:val="20"/>
                <w:szCs w:val="20"/>
                <w:lang w:eastAsia="de-DE"/>
              </w:rPr>
            </w:pPr>
          </w:p>
        </w:tc>
        <w:tc>
          <w:tcPr>
            <w:tcW w:w="614" w:type="dxa"/>
            <w:vAlign w:val="center"/>
          </w:tcPr>
          <w:p w14:paraId="6EED97DA" w14:textId="77777777" w:rsidR="00E8617E" w:rsidRPr="00BC513A" w:rsidRDefault="00E8617E" w:rsidP="00922731">
            <w:pPr>
              <w:jc w:val="center"/>
              <w:rPr>
                <w:rFonts w:ascii="Arial" w:hAnsi="Arial" w:cs="Arial"/>
                <w:sz w:val="20"/>
                <w:szCs w:val="20"/>
                <w:lang w:eastAsia="de-DE"/>
              </w:rPr>
            </w:pPr>
          </w:p>
        </w:tc>
        <w:tc>
          <w:tcPr>
            <w:tcW w:w="614" w:type="dxa"/>
            <w:shd w:val="clear" w:color="auto" w:fill="FBE4D5" w:themeFill="accent2" w:themeFillTint="33"/>
            <w:vAlign w:val="center"/>
          </w:tcPr>
          <w:p w14:paraId="2BE77444"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614" w:type="dxa"/>
            <w:shd w:val="clear" w:color="auto" w:fill="FBE4D5" w:themeFill="accent2" w:themeFillTint="33"/>
            <w:vAlign w:val="center"/>
          </w:tcPr>
          <w:p w14:paraId="69642819"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615" w:type="dxa"/>
            <w:vAlign w:val="center"/>
          </w:tcPr>
          <w:p w14:paraId="4263274A" w14:textId="77777777" w:rsidR="00E8617E" w:rsidRPr="00BC513A" w:rsidRDefault="00E8617E" w:rsidP="00922731">
            <w:pPr>
              <w:jc w:val="center"/>
              <w:rPr>
                <w:rFonts w:ascii="Arial" w:hAnsi="Arial" w:cs="Arial"/>
                <w:sz w:val="20"/>
                <w:szCs w:val="20"/>
                <w:lang w:eastAsia="de-DE"/>
              </w:rPr>
            </w:pPr>
          </w:p>
        </w:tc>
      </w:tr>
    </w:tbl>
    <w:p w14:paraId="6E6CCAE0" w14:textId="77777777" w:rsidR="00E8617E" w:rsidRPr="00BC513A" w:rsidRDefault="00E8617E" w:rsidP="00E8617E">
      <w:pPr>
        <w:pStyle w:val="DefaultText"/>
        <w:rPr>
          <w:lang w:val="bg-BG"/>
        </w:rPr>
      </w:pPr>
    </w:p>
    <w:p w14:paraId="5EAFE198"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От предложените общи индикатори, изложени в Приложение 8 на Регламент (ЕО) 1974/2006 не е използван само индикатор „Стойност на селскостопанската продукция с етикет/стандарти за признато качество“. Индикаторът е можело да бъде използван по мерките, които са подпомагали въвеждане на стандарти: 121 и 123.</w:t>
      </w:r>
    </w:p>
    <w:p w14:paraId="1C6E658E" w14:textId="77777777" w:rsidR="00E8617E" w:rsidRPr="00BC513A" w:rsidRDefault="00E8617E" w:rsidP="00E8617E">
      <w:pPr>
        <w:pStyle w:val="DefaultText"/>
        <w:rPr>
          <w:sz w:val="22"/>
          <w:szCs w:val="22"/>
          <w:lang w:val="bg-BG"/>
        </w:rPr>
      </w:pPr>
    </w:p>
    <w:p w14:paraId="523AAA30" w14:textId="105C1C5E" w:rsidR="00E8617E" w:rsidRPr="00BC513A" w:rsidRDefault="00E8617E" w:rsidP="00E8617E">
      <w:pPr>
        <w:pStyle w:val="DefaultText"/>
        <w:keepNext/>
        <w:shd w:val="clear" w:color="auto" w:fill="ECF3FA"/>
        <w:spacing w:after="120" w:line="300" w:lineRule="atLeast"/>
        <w:rPr>
          <w:sz w:val="22"/>
          <w:szCs w:val="22"/>
          <w:lang w:val="bg-BG"/>
        </w:rPr>
      </w:pPr>
      <w:r w:rsidRPr="00BC513A">
        <w:rPr>
          <w:rFonts w:cs="Arial"/>
          <w:b/>
          <w:color w:val="000000"/>
          <w:sz w:val="22"/>
          <w:szCs w:val="22"/>
          <w:shd w:val="clear" w:color="auto" w:fill="ECF3FA"/>
          <w:lang w:val="bg-BG"/>
        </w:rPr>
        <w:t>О</w:t>
      </w:r>
      <w:r w:rsidR="00AB2B2B">
        <w:rPr>
          <w:rFonts w:cs="Arial"/>
          <w:b/>
          <w:color w:val="000000"/>
          <w:sz w:val="22"/>
          <w:szCs w:val="22"/>
          <w:shd w:val="clear" w:color="auto" w:fill="ECF3FA"/>
          <w:lang w:val="bg-BG"/>
        </w:rPr>
        <w:t>с</w:t>
      </w:r>
      <w:r w:rsidRPr="00BC513A">
        <w:rPr>
          <w:rFonts w:cs="Arial"/>
          <w:b/>
          <w:color w:val="000000"/>
          <w:sz w:val="22"/>
          <w:szCs w:val="22"/>
          <w:shd w:val="clear" w:color="auto" w:fill="ECF3FA"/>
          <w:lang w:val="bg-BG"/>
        </w:rPr>
        <w:t xml:space="preserve"> 2: Подобряване на околната среда и природата</w:t>
      </w:r>
      <w:r w:rsidRPr="00BC513A">
        <w:rPr>
          <w:rFonts w:cs="Arial"/>
          <w:b/>
          <w:color w:val="000000"/>
          <w:sz w:val="22"/>
          <w:szCs w:val="22"/>
          <w:shd w:val="clear" w:color="auto" w:fill="FFFFFF"/>
          <w:lang w:val="bg-BG"/>
        </w:rPr>
        <w:t xml:space="preserve"> </w:t>
      </w:r>
    </w:p>
    <w:p w14:paraId="2F9FD6B8" w14:textId="7CD2AEDE"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Опазване на природните ресурси и околната среда в селските райони е основна цел на ос 2. Двете подцели са свързани с двата вида целеви територии </w:t>
      </w:r>
      <w:r w:rsidR="0077113C">
        <w:rPr>
          <w:sz w:val="22"/>
          <w:szCs w:val="22"/>
          <w:lang w:val="bg-BG"/>
        </w:rPr>
        <w:t>–</w:t>
      </w:r>
      <w:r w:rsidRPr="00BC513A">
        <w:rPr>
          <w:sz w:val="22"/>
          <w:szCs w:val="22"/>
          <w:lang w:val="bg-BG"/>
        </w:rPr>
        <w:t xml:space="preserve"> земеделски земи и горите. Целите адресират два типа нужди, идентифицирани в </w:t>
      </w:r>
      <w:r w:rsidR="000F57E9">
        <w:rPr>
          <w:sz w:val="22"/>
          <w:szCs w:val="22"/>
          <w:lang w:val="bg-BG"/>
        </w:rPr>
        <w:t>п</w:t>
      </w:r>
      <w:r w:rsidRPr="00BC513A">
        <w:rPr>
          <w:sz w:val="22"/>
          <w:szCs w:val="22"/>
          <w:lang w:val="bg-BG"/>
        </w:rPr>
        <w:t xml:space="preserve">рограмата: (1) </w:t>
      </w:r>
      <w:r w:rsidRPr="00BC513A">
        <w:rPr>
          <w:sz w:val="22"/>
          <w:szCs w:val="22"/>
          <w:lang w:val="bg-BG"/>
        </w:rPr>
        <w:lastRenderedPageBreak/>
        <w:t xml:space="preserve">Унищожаване или неефективно използване на природни ресурси; (2) Недостатъчни превантивни мерки за опазване на околната среда. </w:t>
      </w:r>
    </w:p>
    <w:p w14:paraId="21FD1E2C" w14:textId="77777777" w:rsidR="00E8617E" w:rsidRPr="00BC513A" w:rsidRDefault="00E8617E" w:rsidP="00E8617E">
      <w:pPr>
        <w:pStyle w:val="DefaultText"/>
        <w:spacing w:after="120" w:line="300" w:lineRule="atLeast"/>
        <w:ind w:firstLine="708"/>
        <w:rPr>
          <w:lang w:val="bg-BG"/>
        </w:rPr>
      </w:pPr>
      <w:r w:rsidRPr="00BC513A">
        <w:rPr>
          <w:sz w:val="22"/>
          <w:szCs w:val="22"/>
          <w:lang w:val="bg-BG"/>
        </w:rPr>
        <w:t xml:space="preserve">За изпълненото на целите са подбрани 7 мерки (виж фигурата по-долу), основно свързани с плащания към земеделските стопани с цел да не изоставят земи и райони, които са по-неблагоприятни от гледна точка на съществуващи производствени ограничения (мерки 211 и 212); плащания за екологосъобразни земеделски мерки, щадящи околната среда и биологично производство (мерки 213 и 214) и мерки насочени към първоначално залесяване на неземеделски земи и възстановяване на горския потенциал (223, 224 и 226). </w:t>
      </w:r>
    </w:p>
    <w:p w14:paraId="067B42D9" w14:textId="77777777" w:rsidR="00E8617E" w:rsidRPr="00BC513A" w:rsidRDefault="00E8617E" w:rsidP="00E8617E">
      <w:pPr>
        <w:pStyle w:val="DefaultText"/>
        <w:rPr>
          <w:lang w:val="bg-BG"/>
        </w:rPr>
        <w:sectPr w:rsidR="00E8617E" w:rsidRPr="00BC513A" w:rsidSect="00922731">
          <w:footerReference w:type="default" r:id="rId24"/>
          <w:pgSz w:w="11906" w:h="16838" w:code="9"/>
          <w:pgMar w:top="1418" w:right="1418" w:bottom="1418" w:left="1418" w:header="709" w:footer="709" w:gutter="0"/>
          <w:cols w:space="708"/>
          <w:docGrid w:linePitch="360"/>
        </w:sectPr>
      </w:pPr>
    </w:p>
    <w:p w14:paraId="41C02F89" w14:textId="77777777" w:rsidR="00E8617E" w:rsidRPr="00BC513A" w:rsidRDefault="00E8617E" w:rsidP="00E8617E">
      <w:pPr>
        <w:pStyle w:val="DefaultText"/>
        <w:rPr>
          <w:lang w:val="bg-BG"/>
        </w:rPr>
      </w:pPr>
      <w:r w:rsidRPr="00BC513A">
        <w:rPr>
          <w:noProof/>
          <w:lang w:val="en-US" w:eastAsia="en-US"/>
        </w:rPr>
        <w:lastRenderedPageBreak/>
        <w:drawing>
          <wp:inline distT="0" distB="0" distL="0" distR="0" wp14:anchorId="5AAFD2EE" wp14:editId="263BCF33">
            <wp:extent cx="8891270" cy="4554248"/>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91270" cy="4554248"/>
                    </a:xfrm>
                    <a:prstGeom prst="rect">
                      <a:avLst/>
                    </a:prstGeom>
                    <a:noFill/>
                    <a:ln>
                      <a:noFill/>
                    </a:ln>
                  </pic:spPr>
                </pic:pic>
              </a:graphicData>
            </a:graphic>
          </wp:inline>
        </w:drawing>
      </w:r>
    </w:p>
    <w:p w14:paraId="04EC7729" w14:textId="77777777" w:rsidR="00E8617E" w:rsidRPr="00BC513A" w:rsidRDefault="00E8617E" w:rsidP="00E8617E">
      <w:pPr>
        <w:pStyle w:val="Caption"/>
        <w:keepNext/>
        <w:spacing w:before="240" w:after="60"/>
        <w:jc w:val="center"/>
        <w:rPr>
          <w:rFonts w:ascii="Arial" w:hAnsi="Arial" w:cs="Arial"/>
          <w:b/>
          <w:i w:val="0"/>
          <w:color w:val="0070C0"/>
          <w:sz w:val="20"/>
          <w:szCs w:val="20"/>
        </w:rPr>
      </w:pPr>
      <w:bookmarkStart w:id="52" w:name="_Toc506984708"/>
      <w:r w:rsidRPr="00BC513A">
        <w:rPr>
          <w:rFonts w:ascii="Arial" w:hAnsi="Arial" w:cs="Arial"/>
          <w:b/>
          <w:i w:val="0"/>
          <w:color w:val="0070C0"/>
          <w:sz w:val="20"/>
          <w:szCs w:val="20"/>
        </w:rPr>
        <w:t xml:space="preserve">Фигура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Фигура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2</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Логика на интервенция на ос 2</w:t>
      </w:r>
      <w:bookmarkEnd w:id="52"/>
    </w:p>
    <w:p w14:paraId="7EA411F1" w14:textId="77777777" w:rsidR="00E8617E" w:rsidRPr="00BC513A" w:rsidRDefault="00E8617E" w:rsidP="00E8617E">
      <w:pPr>
        <w:pStyle w:val="DefaultText"/>
        <w:rPr>
          <w:lang w:val="bg-BG"/>
        </w:rPr>
      </w:pPr>
    </w:p>
    <w:p w14:paraId="775157A3" w14:textId="77777777" w:rsidR="00E8617E" w:rsidRPr="00BC513A" w:rsidRDefault="00E8617E" w:rsidP="00E8617E">
      <w:pPr>
        <w:pStyle w:val="DefaultText"/>
        <w:rPr>
          <w:lang w:val="bg-BG"/>
        </w:rPr>
      </w:pPr>
    </w:p>
    <w:p w14:paraId="069C099F" w14:textId="77777777" w:rsidR="00E8617E" w:rsidRPr="00BC513A" w:rsidRDefault="00E8617E" w:rsidP="00E8617E">
      <w:pPr>
        <w:pStyle w:val="DefaultText"/>
        <w:rPr>
          <w:lang w:val="bg-BG"/>
        </w:rPr>
        <w:sectPr w:rsidR="00E8617E" w:rsidRPr="00BC513A" w:rsidSect="00922731">
          <w:footerReference w:type="default" r:id="rId26"/>
          <w:pgSz w:w="16838" w:h="11906" w:orient="landscape" w:code="9"/>
          <w:pgMar w:top="1418" w:right="1418" w:bottom="1418" w:left="1418" w:header="709" w:footer="709" w:gutter="0"/>
          <w:cols w:space="708"/>
          <w:docGrid w:linePitch="360"/>
        </w:sectPr>
      </w:pPr>
    </w:p>
    <w:p w14:paraId="2B29C08D"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lastRenderedPageBreak/>
        <w:t>Мерките, свързани с плащания за необлагодетелствани райони имат за цел да допринесат и за поддържането на ландшафта и биологичното разнообразие и рационалното използване, съхранение и устойчиво управление на земята и другите природни ресурси. В същото време те адресират проблемите, свързани с предотвратяване на изоставянето на земеделски земи в тези райони и обезлюдяването и поради това допринасят към постигане на целите и на ос 3.</w:t>
      </w:r>
    </w:p>
    <w:p w14:paraId="7BCCA601" w14:textId="4B66F292"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Най-голям финансов ресурс е насочен към мярката за агроекологични</w:t>
      </w:r>
      <w:r w:rsidR="0077113C">
        <w:rPr>
          <w:sz w:val="22"/>
          <w:szCs w:val="22"/>
          <w:lang w:val="bg-BG"/>
        </w:rPr>
        <w:t>те</w:t>
      </w:r>
      <w:r w:rsidRPr="00BC513A">
        <w:rPr>
          <w:sz w:val="22"/>
          <w:szCs w:val="22"/>
          <w:lang w:val="bg-BG"/>
        </w:rPr>
        <w:t xml:space="preserve"> плащания (214), към която има най-голям интерес от потенциални бенефициенти и към плащания за природни ограничения (211). Въпреки сравнително малкия бюджет на мерките, свързани с горите (223 и 226), интересът към тези мерки е бил слаб и това налага редуциране на финансовия ресурс, заделен за тях с около 80% за мярка 223 и малко под 50% за мярка 226. Интересът към мерки 223 и 226 в сравнение </w:t>
      </w:r>
      <w:r w:rsidR="002665A7">
        <w:rPr>
          <w:sz w:val="22"/>
          <w:szCs w:val="22"/>
          <w:lang w:val="bg-BG"/>
        </w:rPr>
        <w:t>с</w:t>
      </w:r>
      <w:r w:rsidRPr="00BC513A">
        <w:rPr>
          <w:sz w:val="22"/>
          <w:szCs w:val="22"/>
          <w:lang w:val="bg-BG"/>
        </w:rPr>
        <w:t xml:space="preserve"> мерки 122 и 123 е по-голям и това се дължи основно на възможността държавни лесничейства да кандидатстват като бенефициенти по мерките.</w:t>
      </w:r>
    </w:p>
    <w:p w14:paraId="75096AD2"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224 Плащания по Натура за гори при програмиране на ПРСР 2007-2014 е предвидена да стартира на по-късен етап, но така и не се прилага на практика. С 11-то изменение на ПРСР е взето решение бюджета на мярката да бъде отчислен от финансовия план за 2010г., за да се осигурят средства за покриване на автоматичното отчисляване на средства към края на 2012г.</w:t>
      </w:r>
    </w:p>
    <w:p w14:paraId="0554013D"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Предвидено е мерките да допринесат комплексно за голяма част от индикаторите, заложени по ос 2, както е представено в таблицата по-долу. Това е разбираемо предвид на комплексния характер на околната среда и факта, че една природозащитна дейност оказва благоприятно въздействие върху няколко компонента на околната среда. </w:t>
      </w:r>
    </w:p>
    <w:p w14:paraId="02C039E3"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53" w:name="_Toc504136179"/>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7</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Връзка между мерките по ос 2 и индикаторите за резултат</w:t>
      </w:r>
      <w:bookmarkEnd w:id="53"/>
    </w:p>
    <w:tbl>
      <w:tblPr>
        <w:tblStyle w:val="TableGrid"/>
        <w:tblW w:w="8926" w:type="dxa"/>
        <w:tblBorders>
          <w:top w:val="single" w:sz="4" w:space="0" w:color="0070C0"/>
          <w:left w:val="single" w:sz="4" w:space="0" w:color="0070C0"/>
          <w:bottom w:val="single" w:sz="4" w:space="0" w:color="0070C0"/>
          <w:right w:val="single" w:sz="4" w:space="0" w:color="0070C0"/>
          <w:insideH w:val="single" w:sz="4" w:space="0" w:color="0070C0"/>
          <w:insideV w:val="single" w:sz="4" w:space="0" w:color="0070C0"/>
        </w:tblBorders>
        <w:tblLayout w:type="fixed"/>
        <w:tblLook w:val="04A0" w:firstRow="1" w:lastRow="0" w:firstColumn="1" w:lastColumn="0" w:noHBand="0" w:noVBand="1"/>
      </w:tblPr>
      <w:tblGrid>
        <w:gridCol w:w="4673"/>
        <w:gridCol w:w="708"/>
        <w:gridCol w:w="709"/>
        <w:gridCol w:w="709"/>
        <w:gridCol w:w="709"/>
        <w:gridCol w:w="709"/>
        <w:gridCol w:w="709"/>
      </w:tblGrid>
      <w:tr w:rsidR="00E8617E" w:rsidRPr="00BC513A" w14:paraId="123A97A9" w14:textId="77777777" w:rsidTr="00922731">
        <w:tc>
          <w:tcPr>
            <w:tcW w:w="4673" w:type="dxa"/>
            <w:shd w:val="clear" w:color="auto" w:fill="9CC2E5" w:themeFill="accent1" w:themeFillTint="99"/>
          </w:tcPr>
          <w:p w14:paraId="237959D6" w14:textId="77777777" w:rsidR="00E8617E" w:rsidRPr="00BC513A" w:rsidRDefault="00E8617E" w:rsidP="00922731">
            <w:pPr>
              <w:jc w:val="right"/>
              <w:rPr>
                <w:rFonts w:ascii="Arial" w:hAnsi="Arial" w:cs="Arial"/>
                <w:b/>
                <w:sz w:val="20"/>
                <w:szCs w:val="20"/>
              </w:rPr>
            </w:pPr>
            <w:r w:rsidRPr="00BC513A">
              <w:rPr>
                <w:rFonts w:ascii="Arial" w:hAnsi="Arial" w:cs="Arial"/>
                <w:b/>
                <w:sz w:val="20"/>
                <w:szCs w:val="20"/>
              </w:rPr>
              <w:t>Мярка</w:t>
            </w:r>
          </w:p>
          <w:p w14:paraId="01782C35" w14:textId="77777777" w:rsidR="00E8617E" w:rsidRPr="00BC513A" w:rsidRDefault="00E8617E" w:rsidP="00922731">
            <w:pPr>
              <w:rPr>
                <w:rFonts w:ascii="Arial" w:hAnsi="Arial" w:cs="Arial"/>
                <w:b/>
                <w:sz w:val="20"/>
                <w:szCs w:val="20"/>
              </w:rPr>
            </w:pPr>
            <w:r w:rsidRPr="00BC513A">
              <w:rPr>
                <w:rFonts w:ascii="Arial" w:hAnsi="Arial" w:cs="Arial"/>
                <w:b/>
                <w:sz w:val="20"/>
                <w:szCs w:val="20"/>
              </w:rPr>
              <w:t>Индикатори за резултат</w:t>
            </w:r>
          </w:p>
        </w:tc>
        <w:tc>
          <w:tcPr>
            <w:tcW w:w="708" w:type="dxa"/>
            <w:shd w:val="clear" w:color="auto" w:fill="9CC2E5" w:themeFill="accent1" w:themeFillTint="99"/>
            <w:vAlign w:val="center"/>
          </w:tcPr>
          <w:p w14:paraId="7A449FFA"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211</w:t>
            </w:r>
          </w:p>
        </w:tc>
        <w:tc>
          <w:tcPr>
            <w:tcW w:w="709" w:type="dxa"/>
            <w:shd w:val="clear" w:color="auto" w:fill="9CC2E5" w:themeFill="accent1" w:themeFillTint="99"/>
            <w:vAlign w:val="center"/>
          </w:tcPr>
          <w:p w14:paraId="35BA38E7"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212</w:t>
            </w:r>
          </w:p>
        </w:tc>
        <w:tc>
          <w:tcPr>
            <w:tcW w:w="709" w:type="dxa"/>
            <w:shd w:val="clear" w:color="auto" w:fill="9CC2E5" w:themeFill="accent1" w:themeFillTint="99"/>
            <w:vAlign w:val="center"/>
          </w:tcPr>
          <w:p w14:paraId="4425B755"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213</w:t>
            </w:r>
          </w:p>
        </w:tc>
        <w:tc>
          <w:tcPr>
            <w:tcW w:w="709" w:type="dxa"/>
            <w:shd w:val="clear" w:color="auto" w:fill="9CC2E5" w:themeFill="accent1" w:themeFillTint="99"/>
            <w:vAlign w:val="center"/>
          </w:tcPr>
          <w:p w14:paraId="75F7014E"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214</w:t>
            </w:r>
          </w:p>
        </w:tc>
        <w:tc>
          <w:tcPr>
            <w:tcW w:w="709" w:type="dxa"/>
            <w:shd w:val="clear" w:color="auto" w:fill="9CC2E5" w:themeFill="accent1" w:themeFillTint="99"/>
            <w:vAlign w:val="center"/>
          </w:tcPr>
          <w:p w14:paraId="1FFA0DD7"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223</w:t>
            </w:r>
          </w:p>
        </w:tc>
        <w:tc>
          <w:tcPr>
            <w:tcW w:w="709" w:type="dxa"/>
            <w:shd w:val="clear" w:color="auto" w:fill="9CC2E5" w:themeFill="accent1" w:themeFillTint="99"/>
            <w:vAlign w:val="center"/>
          </w:tcPr>
          <w:p w14:paraId="56F1B85C" w14:textId="77777777" w:rsidR="00E8617E" w:rsidRPr="00BC513A" w:rsidRDefault="00E8617E" w:rsidP="00922731">
            <w:pPr>
              <w:jc w:val="center"/>
              <w:rPr>
                <w:rFonts w:ascii="Arial" w:hAnsi="Arial" w:cs="Arial"/>
                <w:b/>
                <w:sz w:val="20"/>
                <w:szCs w:val="20"/>
              </w:rPr>
            </w:pPr>
            <w:r w:rsidRPr="00BC513A">
              <w:rPr>
                <w:rFonts w:ascii="Arial" w:hAnsi="Arial" w:cs="Arial"/>
                <w:b/>
                <w:sz w:val="20"/>
                <w:szCs w:val="20"/>
              </w:rPr>
              <w:t>226</w:t>
            </w:r>
          </w:p>
        </w:tc>
      </w:tr>
      <w:tr w:rsidR="00E8617E" w:rsidRPr="00BC513A" w14:paraId="1AA6B350" w14:textId="77777777" w:rsidTr="00922731">
        <w:tc>
          <w:tcPr>
            <w:tcW w:w="4673" w:type="dxa"/>
            <w:shd w:val="clear" w:color="auto" w:fill="DEEAF6" w:themeFill="accent1" w:themeFillTint="33"/>
          </w:tcPr>
          <w:p w14:paraId="6CD8F9FF" w14:textId="77777777" w:rsidR="00E8617E" w:rsidRPr="00BC513A" w:rsidRDefault="00E8617E" w:rsidP="00922731">
            <w:pPr>
              <w:rPr>
                <w:rFonts w:ascii="Arial" w:hAnsi="Arial" w:cs="Arial"/>
                <w:sz w:val="20"/>
                <w:szCs w:val="20"/>
                <w:lang w:eastAsia="de-DE"/>
              </w:rPr>
            </w:pPr>
            <w:r w:rsidRPr="00BC513A">
              <w:rPr>
                <w:rFonts w:ascii="Arial" w:hAnsi="Arial" w:cs="Arial"/>
                <w:sz w:val="20"/>
                <w:szCs w:val="20"/>
                <w:lang w:eastAsia="de-DE"/>
              </w:rPr>
              <w:t>Биоразнообразие и ВПС за земеделие/</w:t>
            </w:r>
          </w:p>
          <w:p w14:paraId="5AFB900A" w14:textId="77777777" w:rsidR="00E8617E" w:rsidRPr="00BC513A" w:rsidRDefault="00E8617E" w:rsidP="00922731">
            <w:pPr>
              <w:rPr>
                <w:rFonts w:ascii="Arial" w:hAnsi="Arial" w:cs="Arial"/>
                <w:sz w:val="20"/>
                <w:szCs w:val="20"/>
                <w:lang w:eastAsia="de-DE"/>
              </w:rPr>
            </w:pPr>
            <w:r w:rsidRPr="00BC513A">
              <w:rPr>
                <w:rFonts w:ascii="Arial" w:hAnsi="Arial" w:cs="Arial"/>
                <w:sz w:val="20"/>
                <w:szCs w:val="20"/>
                <w:lang w:eastAsia="de-DE"/>
              </w:rPr>
              <w:t>лесовъдство</w:t>
            </w:r>
          </w:p>
        </w:tc>
        <w:tc>
          <w:tcPr>
            <w:tcW w:w="708" w:type="dxa"/>
            <w:shd w:val="clear" w:color="auto" w:fill="auto"/>
            <w:vAlign w:val="center"/>
          </w:tcPr>
          <w:p w14:paraId="7FD1B8C1" w14:textId="77777777" w:rsidR="00E8617E" w:rsidRPr="00BC513A" w:rsidRDefault="00E8617E" w:rsidP="00922731">
            <w:pPr>
              <w:jc w:val="center"/>
              <w:rPr>
                <w:rFonts w:ascii="Arial" w:hAnsi="Arial" w:cs="Arial"/>
                <w:sz w:val="20"/>
                <w:szCs w:val="20"/>
                <w:lang w:eastAsia="de-DE"/>
              </w:rPr>
            </w:pPr>
          </w:p>
        </w:tc>
        <w:tc>
          <w:tcPr>
            <w:tcW w:w="709" w:type="dxa"/>
            <w:shd w:val="clear" w:color="auto" w:fill="auto"/>
            <w:vAlign w:val="center"/>
          </w:tcPr>
          <w:p w14:paraId="2BA9BE3F" w14:textId="77777777" w:rsidR="00E8617E" w:rsidRPr="00BC513A" w:rsidRDefault="00E8617E" w:rsidP="00922731">
            <w:pPr>
              <w:jc w:val="center"/>
              <w:rPr>
                <w:rFonts w:ascii="Arial" w:hAnsi="Arial" w:cs="Arial"/>
                <w:sz w:val="20"/>
                <w:szCs w:val="20"/>
                <w:lang w:eastAsia="de-DE"/>
              </w:rPr>
            </w:pPr>
          </w:p>
        </w:tc>
        <w:tc>
          <w:tcPr>
            <w:tcW w:w="709" w:type="dxa"/>
            <w:shd w:val="clear" w:color="auto" w:fill="DEEAF6" w:themeFill="accent1" w:themeFillTint="33"/>
            <w:vAlign w:val="center"/>
          </w:tcPr>
          <w:p w14:paraId="29F453B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c>
          <w:tcPr>
            <w:tcW w:w="709" w:type="dxa"/>
            <w:shd w:val="clear" w:color="auto" w:fill="DEEAF6" w:themeFill="accent1" w:themeFillTint="33"/>
            <w:vAlign w:val="center"/>
          </w:tcPr>
          <w:p w14:paraId="1D3CBC1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c>
          <w:tcPr>
            <w:tcW w:w="709" w:type="dxa"/>
            <w:shd w:val="clear" w:color="auto" w:fill="DEEAF6" w:themeFill="accent1" w:themeFillTint="33"/>
            <w:vAlign w:val="center"/>
          </w:tcPr>
          <w:p w14:paraId="3E07CC8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c>
          <w:tcPr>
            <w:tcW w:w="709" w:type="dxa"/>
            <w:shd w:val="clear" w:color="auto" w:fill="DEEAF6" w:themeFill="accent1" w:themeFillTint="33"/>
            <w:vAlign w:val="center"/>
          </w:tcPr>
          <w:p w14:paraId="4C3EA75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r>
      <w:tr w:rsidR="00E8617E" w:rsidRPr="00BC513A" w14:paraId="5F262EA6" w14:textId="77777777" w:rsidTr="00922731">
        <w:tc>
          <w:tcPr>
            <w:tcW w:w="4673" w:type="dxa"/>
            <w:shd w:val="clear" w:color="auto" w:fill="DEEAF6" w:themeFill="accent1" w:themeFillTint="33"/>
          </w:tcPr>
          <w:p w14:paraId="0839BD76" w14:textId="77777777" w:rsidR="00E8617E" w:rsidRPr="00BC513A" w:rsidRDefault="00E8617E" w:rsidP="00922731">
            <w:pPr>
              <w:rPr>
                <w:rFonts w:ascii="Arial" w:hAnsi="Arial" w:cs="Arial"/>
                <w:b/>
                <w:sz w:val="20"/>
                <w:szCs w:val="20"/>
                <w:lang w:eastAsia="de-DE"/>
              </w:rPr>
            </w:pPr>
            <w:r w:rsidRPr="00BC513A">
              <w:rPr>
                <w:rFonts w:ascii="Arial" w:hAnsi="Arial" w:cs="Arial"/>
                <w:sz w:val="20"/>
                <w:szCs w:val="20"/>
                <w:lang w:eastAsia="de-DE"/>
              </w:rPr>
              <w:t>Качество на водата</w:t>
            </w:r>
          </w:p>
        </w:tc>
        <w:tc>
          <w:tcPr>
            <w:tcW w:w="708" w:type="dxa"/>
            <w:shd w:val="clear" w:color="auto" w:fill="auto"/>
            <w:vAlign w:val="center"/>
          </w:tcPr>
          <w:p w14:paraId="2A261097" w14:textId="77777777" w:rsidR="00E8617E" w:rsidRPr="00BC513A" w:rsidRDefault="00E8617E" w:rsidP="00922731">
            <w:pPr>
              <w:jc w:val="center"/>
              <w:rPr>
                <w:rFonts w:ascii="Arial" w:hAnsi="Arial" w:cs="Arial"/>
                <w:sz w:val="20"/>
                <w:szCs w:val="20"/>
                <w:lang w:eastAsia="de-DE"/>
              </w:rPr>
            </w:pPr>
          </w:p>
        </w:tc>
        <w:tc>
          <w:tcPr>
            <w:tcW w:w="709" w:type="dxa"/>
            <w:shd w:val="clear" w:color="auto" w:fill="auto"/>
            <w:vAlign w:val="center"/>
          </w:tcPr>
          <w:p w14:paraId="11573797" w14:textId="77777777" w:rsidR="00E8617E" w:rsidRPr="00BC513A" w:rsidRDefault="00E8617E" w:rsidP="00922731">
            <w:pPr>
              <w:jc w:val="center"/>
              <w:rPr>
                <w:rFonts w:ascii="Arial" w:hAnsi="Arial" w:cs="Arial"/>
                <w:sz w:val="20"/>
                <w:szCs w:val="20"/>
                <w:lang w:eastAsia="de-DE"/>
              </w:rPr>
            </w:pPr>
          </w:p>
        </w:tc>
        <w:tc>
          <w:tcPr>
            <w:tcW w:w="709" w:type="dxa"/>
            <w:shd w:val="clear" w:color="auto" w:fill="DEEAF6" w:themeFill="accent1" w:themeFillTint="33"/>
            <w:vAlign w:val="center"/>
          </w:tcPr>
          <w:p w14:paraId="59FC6150"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c>
          <w:tcPr>
            <w:tcW w:w="709" w:type="dxa"/>
            <w:shd w:val="clear" w:color="auto" w:fill="DEEAF6" w:themeFill="accent1" w:themeFillTint="33"/>
            <w:vAlign w:val="center"/>
          </w:tcPr>
          <w:p w14:paraId="422E228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c>
          <w:tcPr>
            <w:tcW w:w="709" w:type="dxa"/>
            <w:shd w:val="clear" w:color="auto" w:fill="DEEAF6" w:themeFill="accent1" w:themeFillTint="33"/>
            <w:vAlign w:val="center"/>
          </w:tcPr>
          <w:p w14:paraId="7EEEDD5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c>
          <w:tcPr>
            <w:tcW w:w="709" w:type="dxa"/>
            <w:shd w:val="clear" w:color="auto" w:fill="DEEAF6" w:themeFill="accent1" w:themeFillTint="33"/>
            <w:vAlign w:val="center"/>
          </w:tcPr>
          <w:p w14:paraId="2CAF60E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r>
      <w:tr w:rsidR="00E8617E" w:rsidRPr="00BC513A" w14:paraId="37C3199B" w14:textId="77777777" w:rsidTr="00922731">
        <w:tc>
          <w:tcPr>
            <w:tcW w:w="4673" w:type="dxa"/>
            <w:shd w:val="clear" w:color="auto" w:fill="DEEAF6" w:themeFill="accent1" w:themeFillTint="33"/>
          </w:tcPr>
          <w:p w14:paraId="56D88C3E" w14:textId="77777777" w:rsidR="00E8617E" w:rsidRPr="00BC513A" w:rsidRDefault="00E8617E" w:rsidP="00922731">
            <w:pPr>
              <w:rPr>
                <w:rFonts w:ascii="Arial" w:hAnsi="Arial" w:cs="Arial"/>
                <w:b/>
                <w:sz w:val="20"/>
                <w:szCs w:val="20"/>
                <w:lang w:eastAsia="de-DE"/>
              </w:rPr>
            </w:pPr>
            <w:r w:rsidRPr="00BC513A">
              <w:rPr>
                <w:rFonts w:ascii="Arial" w:hAnsi="Arial" w:cs="Arial"/>
                <w:sz w:val="20"/>
                <w:szCs w:val="20"/>
                <w:lang w:eastAsia="de-DE"/>
              </w:rPr>
              <w:t>Качеството на почвите</w:t>
            </w:r>
          </w:p>
        </w:tc>
        <w:tc>
          <w:tcPr>
            <w:tcW w:w="708" w:type="dxa"/>
            <w:shd w:val="clear" w:color="auto" w:fill="DEEAF6" w:themeFill="accent1" w:themeFillTint="33"/>
            <w:vAlign w:val="center"/>
          </w:tcPr>
          <w:p w14:paraId="4C88FC9E"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09" w:type="dxa"/>
            <w:shd w:val="clear" w:color="auto" w:fill="DEEAF6" w:themeFill="accent1" w:themeFillTint="33"/>
            <w:vAlign w:val="center"/>
          </w:tcPr>
          <w:p w14:paraId="3E5007EC"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09" w:type="dxa"/>
            <w:shd w:val="clear" w:color="auto" w:fill="DEEAF6" w:themeFill="accent1" w:themeFillTint="33"/>
            <w:vAlign w:val="center"/>
          </w:tcPr>
          <w:p w14:paraId="1F4CD05D"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09" w:type="dxa"/>
            <w:shd w:val="clear" w:color="auto" w:fill="DEEAF6" w:themeFill="accent1" w:themeFillTint="33"/>
            <w:vAlign w:val="center"/>
          </w:tcPr>
          <w:p w14:paraId="60E23B47"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09" w:type="dxa"/>
            <w:shd w:val="clear" w:color="auto" w:fill="DEEAF6" w:themeFill="accent1" w:themeFillTint="33"/>
            <w:vAlign w:val="center"/>
          </w:tcPr>
          <w:p w14:paraId="6208F52C"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09" w:type="dxa"/>
            <w:shd w:val="clear" w:color="auto" w:fill="DEEAF6" w:themeFill="accent1" w:themeFillTint="33"/>
            <w:vAlign w:val="center"/>
          </w:tcPr>
          <w:p w14:paraId="0CB285C9"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r>
      <w:tr w:rsidR="00E8617E" w:rsidRPr="00BC513A" w14:paraId="4DF7C1FB" w14:textId="77777777" w:rsidTr="00922731">
        <w:tc>
          <w:tcPr>
            <w:tcW w:w="4673" w:type="dxa"/>
            <w:shd w:val="clear" w:color="auto" w:fill="DEEAF6" w:themeFill="accent1" w:themeFillTint="33"/>
            <w:vAlign w:val="center"/>
          </w:tcPr>
          <w:p w14:paraId="52BA21E1" w14:textId="77777777" w:rsidR="00E8617E" w:rsidRPr="00BC513A" w:rsidRDefault="00E8617E" w:rsidP="00922731">
            <w:pPr>
              <w:rPr>
                <w:rFonts w:ascii="Arial" w:hAnsi="Arial" w:cs="Arial"/>
                <w:b/>
                <w:sz w:val="20"/>
                <w:szCs w:val="20"/>
                <w:lang w:eastAsia="de-DE"/>
              </w:rPr>
            </w:pPr>
            <w:r w:rsidRPr="00BC513A">
              <w:rPr>
                <w:rFonts w:ascii="Arial" w:hAnsi="Arial" w:cs="Arial"/>
                <w:sz w:val="20"/>
                <w:szCs w:val="20"/>
                <w:lang w:eastAsia="de-DE"/>
              </w:rPr>
              <w:t>Изменение на климата</w:t>
            </w:r>
          </w:p>
        </w:tc>
        <w:tc>
          <w:tcPr>
            <w:tcW w:w="708" w:type="dxa"/>
            <w:shd w:val="clear" w:color="auto" w:fill="auto"/>
            <w:vAlign w:val="center"/>
          </w:tcPr>
          <w:p w14:paraId="49B29505" w14:textId="77777777" w:rsidR="00E8617E" w:rsidRPr="00BC513A" w:rsidRDefault="00E8617E" w:rsidP="00922731">
            <w:pPr>
              <w:jc w:val="center"/>
              <w:rPr>
                <w:rFonts w:ascii="Arial" w:hAnsi="Arial" w:cs="Arial"/>
                <w:sz w:val="20"/>
                <w:szCs w:val="20"/>
                <w:lang w:eastAsia="de-DE"/>
              </w:rPr>
            </w:pPr>
          </w:p>
        </w:tc>
        <w:tc>
          <w:tcPr>
            <w:tcW w:w="709" w:type="dxa"/>
            <w:shd w:val="clear" w:color="auto" w:fill="auto"/>
            <w:vAlign w:val="center"/>
          </w:tcPr>
          <w:p w14:paraId="630BCA50" w14:textId="77777777" w:rsidR="00E8617E" w:rsidRPr="00BC513A" w:rsidRDefault="00E8617E" w:rsidP="00922731">
            <w:pPr>
              <w:jc w:val="center"/>
              <w:rPr>
                <w:rFonts w:ascii="Arial" w:hAnsi="Arial" w:cs="Arial"/>
                <w:sz w:val="20"/>
                <w:szCs w:val="20"/>
                <w:lang w:eastAsia="de-DE"/>
              </w:rPr>
            </w:pPr>
          </w:p>
        </w:tc>
        <w:tc>
          <w:tcPr>
            <w:tcW w:w="709" w:type="dxa"/>
            <w:shd w:val="clear" w:color="auto" w:fill="auto"/>
            <w:vAlign w:val="center"/>
          </w:tcPr>
          <w:p w14:paraId="565D55AC" w14:textId="77777777" w:rsidR="00E8617E" w:rsidRPr="00BC513A" w:rsidRDefault="00E8617E" w:rsidP="00922731">
            <w:pPr>
              <w:jc w:val="center"/>
              <w:rPr>
                <w:rFonts w:ascii="Arial" w:hAnsi="Arial" w:cs="Arial"/>
                <w:sz w:val="20"/>
                <w:szCs w:val="20"/>
                <w:lang w:eastAsia="de-DE"/>
              </w:rPr>
            </w:pPr>
          </w:p>
        </w:tc>
        <w:tc>
          <w:tcPr>
            <w:tcW w:w="709" w:type="dxa"/>
            <w:shd w:val="clear" w:color="auto" w:fill="auto"/>
            <w:vAlign w:val="center"/>
          </w:tcPr>
          <w:p w14:paraId="55AC95ED" w14:textId="77777777" w:rsidR="00E8617E" w:rsidRPr="00BC513A" w:rsidRDefault="00E8617E" w:rsidP="00922731">
            <w:pPr>
              <w:jc w:val="center"/>
              <w:rPr>
                <w:rFonts w:ascii="Arial" w:hAnsi="Arial" w:cs="Arial"/>
                <w:sz w:val="20"/>
                <w:szCs w:val="20"/>
                <w:lang w:eastAsia="de-DE"/>
              </w:rPr>
            </w:pPr>
          </w:p>
        </w:tc>
        <w:tc>
          <w:tcPr>
            <w:tcW w:w="709" w:type="dxa"/>
            <w:shd w:val="clear" w:color="auto" w:fill="DEEAF6" w:themeFill="accent1" w:themeFillTint="33"/>
            <w:vAlign w:val="center"/>
          </w:tcPr>
          <w:p w14:paraId="59009B42"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09" w:type="dxa"/>
            <w:shd w:val="clear" w:color="auto" w:fill="DEEAF6" w:themeFill="accent1" w:themeFillTint="33"/>
            <w:vAlign w:val="center"/>
          </w:tcPr>
          <w:p w14:paraId="07511DFA"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r>
      <w:tr w:rsidR="00E8617E" w:rsidRPr="00BC513A" w14:paraId="26A69799" w14:textId="77777777" w:rsidTr="00922731">
        <w:tc>
          <w:tcPr>
            <w:tcW w:w="4673" w:type="dxa"/>
            <w:shd w:val="clear" w:color="auto" w:fill="DEEAF6" w:themeFill="accent1" w:themeFillTint="33"/>
            <w:vAlign w:val="center"/>
          </w:tcPr>
          <w:p w14:paraId="34D9A2EF" w14:textId="77777777" w:rsidR="00E8617E" w:rsidRPr="00BC513A" w:rsidRDefault="00E8617E" w:rsidP="00922731">
            <w:pPr>
              <w:rPr>
                <w:rFonts w:ascii="Arial" w:hAnsi="Arial" w:cs="Arial"/>
                <w:b/>
                <w:sz w:val="20"/>
                <w:szCs w:val="20"/>
                <w:lang w:eastAsia="de-DE"/>
              </w:rPr>
            </w:pPr>
            <w:r w:rsidRPr="00BC513A">
              <w:rPr>
                <w:rFonts w:ascii="Arial" w:hAnsi="Arial" w:cs="Arial"/>
                <w:sz w:val="20"/>
                <w:szCs w:val="20"/>
                <w:lang w:eastAsia="de-DE"/>
              </w:rPr>
              <w:t>Предотвратяване на маргинализацията и изоставянето на земи</w:t>
            </w:r>
          </w:p>
        </w:tc>
        <w:tc>
          <w:tcPr>
            <w:tcW w:w="708" w:type="dxa"/>
            <w:shd w:val="clear" w:color="auto" w:fill="DEEAF6" w:themeFill="accent1" w:themeFillTint="33"/>
            <w:vAlign w:val="center"/>
          </w:tcPr>
          <w:p w14:paraId="1C4C821E"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09" w:type="dxa"/>
            <w:shd w:val="clear" w:color="auto" w:fill="DEEAF6" w:themeFill="accent1" w:themeFillTint="33"/>
            <w:vAlign w:val="center"/>
          </w:tcPr>
          <w:p w14:paraId="3E2883D4"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09" w:type="dxa"/>
            <w:shd w:val="clear" w:color="auto" w:fill="auto"/>
            <w:vAlign w:val="center"/>
          </w:tcPr>
          <w:p w14:paraId="33562812" w14:textId="77777777" w:rsidR="00E8617E" w:rsidRPr="00BC513A" w:rsidRDefault="00E8617E" w:rsidP="00922731">
            <w:pPr>
              <w:jc w:val="center"/>
              <w:rPr>
                <w:rFonts w:ascii="Arial" w:hAnsi="Arial" w:cs="Arial"/>
                <w:sz w:val="20"/>
                <w:szCs w:val="20"/>
                <w:lang w:eastAsia="de-DE"/>
              </w:rPr>
            </w:pPr>
          </w:p>
        </w:tc>
        <w:tc>
          <w:tcPr>
            <w:tcW w:w="709" w:type="dxa"/>
            <w:shd w:val="clear" w:color="auto" w:fill="auto"/>
            <w:vAlign w:val="center"/>
          </w:tcPr>
          <w:p w14:paraId="0B4BFC08" w14:textId="77777777" w:rsidR="00E8617E" w:rsidRPr="00BC513A" w:rsidRDefault="00E8617E" w:rsidP="00922731">
            <w:pPr>
              <w:jc w:val="center"/>
              <w:rPr>
                <w:rFonts w:ascii="Arial" w:hAnsi="Arial" w:cs="Arial"/>
                <w:sz w:val="20"/>
                <w:szCs w:val="20"/>
                <w:lang w:eastAsia="de-DE"/>
              </w:rPr>
            </w:pPr>
          </w:p>
        </w:tc>
        <w:tc>
          <w:tcPr>
            <w:tcW w:w="709" w:type="dxa"/>
            <w:shd w:val="clear" w:color="auto" w:fill="DEEAF6" w:themeFill="accent1" w:themeFillTint="33"/>
            <w:vAlign w:val="center"/>
          </w:tcPr>
          <w:p w14:paraId="7D1068F0"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09" w:type="dxa"/>
            <w:shd w:val="clear" w:color="auto" w:fill="DEEAF6" w:themeFill="accent1" w:themeFillTint="33"/>
            <w:vAlign w:val="center"/>
          </w:tcPr>
          <w:p w14:paraId="7996BB91" w14:textId="77777777" w:rsidR="00E8617E" w:rsidRPr="00BC513A" w:rsidRDefault="00E8617E" w:rsidP="00922731">
            <w:pPr>
              <w:jc w:val="center"/>
              <w:rPr>
                <w:rFonts w:ascii="Arial" w:hAnsi="Arial" w:cs="Arial"/>
                <w:sz w:val="20"/>
                <w:szCs w:val="20"/>
                <w:lang w:eastAsia="de-DE"/>
              </w:rPr>
            </w:pPr>
          </w:p>
        </w:tc>
      </w:tr>
    </w:tbl>
    <w:p w14:paraId="60128E0A" w14:textId="77777777" w:rsidR="00E8617E" w:rsidRPr="00BC513A" w:rsidRDefault="00E8617E" w:rsidP="00E8617E">
      <w:pPr>
        <w:pStyle w:val="DefaultText"/>
        <w:rPr>
          <w:lang w:val="bg-BG"/>
        </w:rPr>
      </w:pPr>
    </w:p>
    <w:p w14:paraId="42DFFE15" w14:textId="5846FBD1" w:rsidR="00E8617E" w:rsidRPr="00BC513A" w:rsidRDefault="00E8617E" w:rsidP="00E8617E">
      <w:pPr>
        <w:pStyle w:val="DefaultText"/>
        <w:keepNext/>
        <w:shd w:val="clear" w:color="auto" w:fill="EFF6EA"/>
        <w:spacing w:after="120" w:line="300" w:lineRule="atLeast"/>
        <w:rPr>
          <w:sz w:val="20"/>
          <w:szCs w:val="20"/>
          <w:lang w:val="bg-BG"/>
        </w:rPr>
      </w:pPr>
      <w:r w:rsidRPr="00BC513A">
        <w:rPr>
          <w:rFonts w:cs="Arial"/>
          <w:b/>
          <w:color w:val="000000"/>
          <w:sz w:val="20"/>
          <w:szCs w:val="20"/>
          <w:shd w:val="clear" w:color="auto" w:fill="EFF6EA"/>
          <w:lang w:val="bg-BG"/>
        </w:rPr>
        <w:t>О</w:t>
      </w:r>
      <w:r w:rsidR="00AB2B2B">
        <w:rPr>
          <w:rFonts w:cs="Arial"/>
          <w:b/>
          <w:color w:val="000000"/>
          <w:sz w:val="20"/>
          <w:szCs w:val="20"/>
          <w:shd w:val="clear" w:color="auto" w:fill="EFF6EA"/>
          <w:lang w:val="bg-BG"/>
        </w:rPr>
        <w:t xml:space="preserve">с </w:t>
      </w:r>
      <w:r w:rsidRPr="00BC513A">
        <w:rPr>
          <w:rFonts w:cs="Arial"/>
          <w:b/>
          <w:color w:val="000000"/>
          <w:sz w:val="20"/>
          <w:szCs w:val="20"/>
          <w:shd w:val="clear" w:color="auto" w:fill="EFF6EA"/>
          <w:lang w:val="bg-BG"/>
        </w:rPr>
        <w:t>3: Качество на живот в селските райони и разнообразяване на селската икономика</w:t>
      </w:r>
    </w:p>
    <w:p w14:paraId="26234D6A" w14:textId="77777777" w:rsidR="00E8617E" w:rsidRPr="00BC513A" w:rsidRDefault="00E8617E" w:rsidP="00E8617E">
      <w:pPr>
        <w:pStyle w:val="DefaultText"/>
        <w:spacing w:before="120" w:after="120" w:line="300" w:lineRule="atLeast"/>
        <w:ind w:firstLine="708"/>
        <w:rPr>
          <w:sz w:val="22"/>
          <w:szCs w:val="22"/>
          <w:lang w:val="bg-BG"/>
        </w:rPr>
      </w:pPr>
      <w:r w:rsidRPr="00BC513A">
        <w:rPr>
          <w:sz w:val="22"/>
          <w:szCs w:val="22"/>
          <w:lang w:val="bg-BG"/>
        </w:rPr>
        <w:t>Ос 3 има за цел подобряване на качеството на живот и разнообразяване на възможностите за заетост в селските райони. Дефинираните две основни-подцели (1) Подобряване на качеството на живот в селските райони и (2) Насърчаване на разнообразяването на възможностите за заетост в селските райони, отговарят на идентифицираните основни нужди: амортизирана и липсваща инфраструктура, обезлюдяване, бедност и социална изключеност и силно зависима от земеделието икономика, съчетана с висока безработица.</w:t>
      </w:r>
    </w:p>
    <w:p w14:paraId="335D908F" w14:textId="77777777" w:rsidR="00E8617E" w:rsidRPr="00BC513A" w:rsidRDefault="00E8617E" w:rsidP="00E8617E">
      <w:pPr>
        <w:pStyle w:val="DefaultText"/>
        <w:spacing w:before="120" w:after="120" w:line="300" w:lineRule="atLeast"/>
        <w:ind w:firstLine="708"/>
        <w:rPr>
          <w:sz w:val="22"/>
          <w:szCs w:val="22"/>
          <w:lang w:val="bg-BG"/>
        </w:rPr>
        <w:sectPr w:rsidR="00E8617E" w:rsidRPr="00BC513A" w:rsidSect="00922731">
          <w:footerReference w:type="default" r:id="rId27"/>
          <w:pgSz w:w="11906" w:h="16838" w:code="9"/>
          <w:pgMar w:top="1418" w:right="1418" w:bottom="1418" w:left="1418" w:header="709" w:footer="709" w:gutter="0"/>
          <w:cols w:space="708"/>
          <w:docGrid w:linePitch="360"/>
        </w:sectPr>
      </w:pPr>
    </w:p>
    <w:p w14:paraId="277F8881" w14:textId="77777777" w:rsidR="00E8617E" w:rsidRPr="00BC513A" w:rsidRDefault="00E8617E" w:rsidP="00E8617E">
      <w:pPr>
        <w:pStyle w:val="DefaultText"/>
        <w:spacing w:before="120" w:after="120" w:line="300" w:lineRule="atLeast"/>
        <w:ind w:firstLine="708"/>
        <w:rPr>
          <w:sz w:val="22"/>
          <w:szCs w:val="22"/>
          <w:lang w:val="bg-BG"/>
        </w:rPr>
      </w:pPr>
      <w:r w:rsidRPr="00BC513A">
        <w:rPr>
          <w:noProof/>
          <w:sz w:val="22"/>
          <w:szCs w:val="22"/>
          <w:lang w:val="en-US" w:eastAsia="en-US"/>
        </w:rPr>
        <w:lastRenderedPageBreak/>
        <w:drawing>
          <wp:inline distT="0" distB="0" distL="0" distR="0" wp14:anchorId="5F88B017" wp14:editId="19D85705">
            <wp:extent cx="8891270" cy="5320499"/>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8891270" cy="5320499"/>
                    </a:xfrm>
                    <a:prstGeom prst="rect">
                      <a:avLst/>
                    </a:prstGeom>
                    <a:noFill/>
                    <a:ln>
                      <a:noFill/>
                    </a:ln>
                  </pic:spPr>
                </pic:pic>
              </a:graphicData>
            </a:graphic>
          </wp:inline>
        </w:drawing>
      </w:r>
    </w:p>
    <w:p w14:paraId="62A48C6F" w14:textId="77777777" w:rsidR="00E8617E" w:rsidRPr="00BC513A" w:rsidRDefault="00E8617E" w:rsidP="00E8617E">
      <w:pPr>
        <w:pStyle w:val="Caption"/>
        <w:keepNext/>
        <w:spacing w:before="240" w:after="60"/>
        <w:jc w:val="center"/>
        <w:rPr>
          <w:sz w:val="22"/>
          <w:szCs w:val="22"/>
        </w:rPr>
      </w:pPr>
      <w:bookmarkStart w:id="54" w:name="_Toc506984709"/>
      <w:r w:rsidRPr="00BC513A">
        <w:rPr>
          <w:rFonts w:ascii="Arial" w:hAnsi="Arial" w:cs="Arial"/>
          <w:b/>
          <w:i w:val="0"/>
          <w:color w:val="0070C0"/>
          <w:sz w:val="20"/>
          <w:szCs w:val="20"/>
        </w:rPr>
        <w:t xml:space="preserve">Фигура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Фигура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3</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Логика на интервенция на ос 3</w:t>
      </w:r>
      <w:bookmarkEnd w:id="54"/>
    </w:p>
    <w:p w14:paraId="5DAC7AC7" w14:textId="77777777" w:rsidR="00E8617E" w:rsidRPr="00BC513A" w:rsidRDefault="00E8617E" w:rsidP="00E8617E">
      <w:pPr>
        <w:pStyle w:val="DefaultText"/>
        <w:spacing w:before="120" w:after="120" w:line="300" w:lineRule="atLeast"/>
        <w:ind w:firstLine="708"/>
        <w:rPr>
          <w:sz w:val="22"/>
          <w:szCs w:val="22"/>
          <w:lang w:val="bg-BG"/>
        </w:rPr>
        <w:sectPr w:rsidR="00E8617E" w:rsidRPr="00BC513A" w:rsidSect="00922731">
          <w:footerReference w:type="default" r:id="rId29"/>
          <w:pgSz w:w="16838" w:h="11906" w:orient="landscape" w:code="9"/>
          <w:pgMar w:top="1418" w:right="1418" w:bottom="1418" w:left="1418" w:header="709" w:footer="709" w:gutter="0"/>
          <w:cols w:space="708"/>
          <w:docGrid w:linePitch="360"/>
        </w:sectPr>
      </w:pPr>
    </w:p>
    <w:p w14:paraId="3CEF192E" w14:textId="77777777" w:rsidR="00E8617E" w:rsidRPr="00BC513A" w:rsidRDefault="00E8617E" w:rsidP="00E8617E">
      <w:pPr>
        <w:pStyle w:val="DefaultText"/>
        <w:spacing w:before="120" w:after="120" w:line="300" w:lineRule="atLeast"/>
        <w:ind w:firstLine="708"/>
        <w:rPr>
          <w:sz w:val="22"/>
          <w:szCs w:val="22"/>
          <w:lang w:val="bg-BG"/>
        </w:rPr>
      </w:pPr>
      <w:r w:rsidRPr="00BC513A">
        <w:rPr>
          <w:sz w:val="22"/>
          <w:szCs w:val="22"/>
          <w:lang w:val="bg-BG"/>
        </w:rPr>
        <w:lastRenderedPageBreak/>
        <w:t>По ос 3 са предвидени общо 6 мерки, които да доведат до постигане на целите. Основната част от мерките, предвид на идентифицираните проблеми</w:t>
      </w:r>
      <w:r w:rsidR="00147071">
        <w:rPr>
          <w:sz w:val="22"/>
          <w:szCs w:val="22"/>
          <w:lang w:val="bg-BG"/>
        </w:rPr>
        <w:t>,</w:t>
      </w:r>
      <w:r w:rsidRPr="00BC513A">
        <w:rPr>
          <w:sz w:val="22"/>
          <w:szCs w:val="22"/>
          <w:lang w:val="bg-BG"/>
        </w:rPr>
        <w:t xml:space="preserve"> правилно са насочени към разнообразяване и съживяване на икономическите дейности и създаване на възможностите за заетост (мярка 311 и 312 и донякъде 313). Мерки 311 и 312 дават приоритет на проекти за възобновяеми енергийни източници и туризъм. Даването на предимство на проекти за възобновяеми енергийни източници, макар да има за цел създаване на допълнителни благоприятни ефекти върху околната среда, не се оказва удачно по отношение на създаване на заетост. </w:t>
      </w:r>
    </w:p>
    <w:p w14:paraId="3BA5E156" w14:textId="77777777" w:rsidR="00E8617E" w:rsidRPr="00BC513A" w:rsidRDefault="00E8617E" w:rsidP="00E8617E">
      <w:pPr>
        <w:pStyle w:val="DefaultText"/>
        <w:spacing w:before="120" w:after="120" w:line="300" w:lineRule="atLeast"/>
        <w:ind w:firstLine="708"/>
        <w:rPr>
          <w:sz w:val="22"/>
          <w:szCs w:val="22"/>
          <w:lang w:val="bg-BG"/>
        </w:rPr>
      </w:pPr>
      <w:r w:rsidRPr="00BC513A">
        <w:rPr>
          <w:sz w:val="22"/>
          <w:szCs w:val="22"/>
          <w:lang w:val="bg-BG"/>
        </w:rPr>
        <w:t xml:space="preserve">За подобряване качеството на живот в селските райони са предвидени две мерки (321 и 322), за които, предвид на техния характер (инвестиции в инфраструктура) е заделена по-голямата част от бюджета по ос 3 (66%). Интересът към тези мерки от страна на бенефициентите (общини) е много голям и към края на изпълнение на </w:t>
      </w:r>
      <w:r w:rsidR="000F57E9">
        <w:rPr>
          <w:sz w:val="22"/>
          <w:szCs w:val="22"/>
          <w:lang w:val="bg-BG"/>
        </w:rPr>
        <w:t>п</w:t>
      </w:r>
      <w:r w:rsidRPr="00BC513A">
        <w:rPr>
          <w:sz w:val="22"/>
          <w:szCs w:val="22"/>
          <w:lang w:val="bg-BG"/>
        </w:rPr>
        <w:t xml:space="preserve">рограмата за мерките са разходвани 82% от всички средства по оста, като за мерките за разнообразяване и съживяване на икономическите дейности и създаване на възможностите за заетост са разходвани едва 18% от заделените средства по оста. </w:t>
      </w:r>
    </w:p>
    <w:p w14:paraId="65C28219" w14:textId="416CBC7F" w:rsidR="00E8617E" w:rsidRPr="00BC513A" w:rsidRDefault="00E8617E" w:rsidP="00E8617E">
      <w:pPr>
        <w:pStyle w:val="DefaultText"/>
        <w:spacing w:before="120" w:after="120" w:line="300" w:lineRule="atLeast"/>
        <w:ind w:firstLine="708"/>
        <w:rPr>
          <w:sz w:val="22"/>
          <w:szCs w:val="22"/>
          <w:lang w:val="bg-BG"/>
        </w:rPr>
      </w:pPr>
      <w:r w:rsidRPr="00BC513A">
        <w:rPr>
          <w:sz w:val="22"/>
          <w:szCs w:val="22"/>
          <w:lang w:val="bg-BG"/>
        </w:rPr>
        <w:t>М</w:t>
      </w:r>
      <w:r w:rsidR="00147071">
        <w:rPr>
          <w:sz w:val="22"/>
          <w:szCs w:val="22"/>
          <w:lang w:val="bg-BG"/>
        </w:rPr>
        <w:t>я</w:t>
      </w:r>
      <w:r w:rsidRPr="00BC513A">
        <w:rPr>
          <w:sz w:val="22"/>
          <w:szCs w:val="22"/>
          <w:lang w:val="bg-BG"/>
        </w:rPr>
        <w:t xml:space="preserve">рка 431 има за цел да активира местните общности с оглед на подготовката и прилагането на стратегии за местно развитие (подпомагани по ос 4 ЛИДЕР) и е много уместна, но не се прилага и така ощетява съществено възможността за постигане на по-добри резултати по ос 4. Средствата, заделени за мярката са прехвърлени към инвестиционните мерки, предвид на значителния интерес и натиск от страна на общините-бенефициенти. </w:t>
      </w:r>
    </w:p>
    <w:p w14:paraId="7205DB76" w14:textId="77777777" w:rsidR="00E8617E" w:rsidRPr="00BC513A" w:rsidRDefault="00E8617E" w:rsidP="00E8617E">
      <w:pPr>
        <w:pStyle w:val="DefaultText"/>
        <w:spacing w:before="120" w:after="120" w:line="300" w:lineRule="atLeast"/>
        <w:ind w:firstLine="708"/>
        <w:rPr>
          <w:sz w:val="22"/>
          <w:szCs w:val="22"/>
          <w:lang w:val="bg-BG"/>
        </w:rPr>
      </w:pPr>
      <w:r w:rsidRPr="00BC513A">
        <w:rPr>
          <w:sz w:val="22"/>
          <w:szCs w:val="22"/>
          <w:lang w:val="bg-BG"/>
        </w:rPr>
        <w:t>Мерките по ос 3 са сравнително обособени по отношение на приноса им за постигане на индикаторите за резултат по оста. Мерки 311, 312 и 313 основно имат принос към икономическото съживяване на селските райони, докато мерки 321 и 322 имат принос към подобряване на инфраструктурата и услугите в селските райони.</w:t>
      </w:r>
    </w:p>
    <w:p w14:paraId="65C12AA9"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55" w:name="_Toc504136180"/>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8</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Връзка между мерките по ос 3 и индикаторите за резултат</w:t>
      </w:r>
      <w:bookmarkEnd w:id="55"/>
    </w:p>
    <w:tbl>
      <w:tblPr>
        <w:tblStyle w:val="TableGrid"/>
        <w:tblW w:w="8926" w:type="dxa"/>
        <w:tblBorders>
          <w:top w:val="single" w:sz="4" w:space="0" w:color="00B050"/>
          <w:left w:val="single" w:sz="4" w:space="0" w:color="00B050"/>
          <w:bottom w:val="single" w:sz="4" w:space="0" w:color="00B050"/>
          <w:right w:val="single" w:sz="4" w:space="0" w:color="00B050"/>
          <w:insideH w:val="single" w:sz="4" w:space="0" w:color="00B050"/>
          <w:insideV w:val="single" w:sz="4" w:space="0" w:color="00B050"/>
        </w:tblBorders>
        <w:tblLayout w:type="fixed"/>
        <w:tblLook w:val="04A0" w:firstRow="1" w:lastRow="0" w:firstColumn="1" w:lastColumn="0" w:noHBand="0" w:noVBand="1"/>
      </w:tblPr>
      <w:tblGrid>
        <w:gridCol w:w="3964"/>
        <w:gridCol w:w="992"/>
        <w:gridCol w:w="992"/>
        <w:gridCol w:w="993"/>
        <w:gridCol w:w="992"/>
        <w:gridCol w:w="993"/>
      </w:tblGrid>
      <w:tr w:rsidR="00E8617E" w:rsidRPr="00BC513A" w14:paraId="1F24A7AE" w14:textId="77777777" w:rsidTr="00922731">
        <w:tc>
          <w:tcPr>
            <w:tcW w:w="3964" w:type="dxa"/>
            <w:shd w:val="clear" w:color="auto" w:fill="C8E2D6"/>
          </w:tcPr>
          <w:p w14:paraId="3E8E8BB5" w14:textId="77777777" w:rsidR="00E8617E" w:rsidRPr="00BC513A" w:rsidRDefault="00E8617E" w:rsidP="00922731">
            <w:pPr>
              <w:jc w:val="right"/>
              <w:rPr>
                <w:rFonts w:ascii="Arial" w:hAnsi="Arial" w:cs="Arial"/>
                <w:b/>
                <w:sz w:val="20"/>
                <w:szCs w:val="20"/>
              </w:rPr>
            </w:pPr>
            <w:r w:rsidRPr="00BC513A">
              <w:rPr>
                <w:rFonts w:ascii="Arial" w:hAnsi="Arial" w:cs="Arial"/>
                <w:b/>
                <w:sz w:val="20"/>
                <w:szCs w:val="20"/>
              </w:rPr>
              <w:t>Мярка</w:t>
            </w:r>
          </w:p>
          <w:p w14:paraId="7D927152" w14:textId="77777777" w:rsidR="00E8617E" w:rsidRPr="00BC513A" w:rsidRDefault="00E8617E" w:rsidP="00922731">
            <w:pPr>
              <w:rPr>
                <w:rFonts w:ascii="Arial" w:hAnsi="Arial" w:cs="Arial"/>
                <w:b/>
                <w:sz w:val="20"/>
                <w:szCs w:val="20"/>
                <w:lang w:eastAsia="de-DE"/>
              </w:rPr>
            </w:pPr>
            <w:r w:rsidRPr="00BC513A">
              <w:rPr>
                <w:rFonts w:ascii="Arial" w:hAnsi="Arial" w:cs="Arial"/>
                <w:b/>
                <w:sz w:val="20"/>
                <w:szCs w:val="20"/>
              </w:rPr>
              <w:t>Индикатори за резултат</w:t>
            </w:r>
          </w:p>
        </w:tc>
        <w:tc>
          <w:tcPr>
            <w:tcW w:w="992" w:type="dxa"/>
            <w:shd w:val="clear" w:color="auto" w:fill="C8E2D6"/>
            <w:vAlign w:val="center"/>
          </w:tcPr>
          <w:p w14:paraId="76125D6F"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311</w:t>
            </w:r>
          </w:p>
        </w:tc>
        <w:tc>
          <w:tcPr>
            <w:tcW w:w="992" w:type="dxa"/>
            <w:shd w:val="clear" w:color="auto" w:fill="C8E2D6"/>
            <w:vAlign w:val="center"/>
          </w:tcPr>
          <w:p w14:paraId="399754E6"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312</w:t>
            </w:r>
          </w:p>
        </w:tc>
        <w:tc>
          <w:tcPr>
            <w:tcW w:w="993" w:type="dxa"/>
            <w:shd w:val="clear" w:color="auto" w:fill="C8E2D6"/>
            <w:vAlign w:val="center"/>
          </w:tcPr>
          <w:p w14:paraId="7DA0D2D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313</w:t>
            </w:r>
          </w:p>
        </w:tc>
        <w:tc>
          <w:tcPr>
            <w:tcW w:w="992" w:type="dxa"/>
            <w:shd w:val="clear" w:color="auto" w:fill="C8E2D6"/>
            <w:vAlign w:val="center"/>
          </w:tcPr>
          <w:p w14:paraId="1DC599C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321</w:t>
            </w:r>
          </w:p>
        </w:tc>
        <w:tc>
          <w:tcPr>
            <w:tcW w:w="993" w:type="dxa"/>
            <w:shd w:val="clear" w:color="auto" w:fill="C8E2D6"/>
            <w:vAlign w:val="center"/>
          </w:tcPr>
          <w:p w14:paraId="40A899E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322</w:t>
            </w:r>
          </w:p>
        </w:tc>
      </w:tr>
      <w:tr w:rsidR="00E8617E" w:rsidRPr="00BC513A" w14:paraId="404FDE0E" w14:textId="77777777" w:rsidTr="00922731">
        <w:tc>
          <w:tcPr>
            <w:tcW w:w="3964" w:type="dxa"/>
            <w:shd w:val="clear" w:color="auto" w:fill="E2EFD9" w:themeFill="accent6" w:themeFillTint="33"/>
          </w:tcPr>
          <w:p w14:paraId="5C418E9C" w14:textId="77777777" w:rsidR="00E8617E" w:rsidRPr="00BC513A" w:rsidRDefault="00E8617E" w:rsidP="00922731">
            <w:pPr>
              <w:spacing w:before="60" w:after="60"/>
              <w:rPr>
                <w:rFonts w:ascii="Arial" w:hAnsi="Arial" w:cs="Arial"/>
                <w:b/>
                <w:sz w:val="20"/>
                <w:szCs w:val="20"/>
                <w:lang w:eastAsia="de-DE"/>
              </w:rPr>
            </w:pPr>
            <w:r w:rsidRPr="00BC513A">
              <w:rPr>
                <w:rFonts w:ascii="Arial" w:hAnsi="Arial" w:cs="Arial"/>
                <w:sz w:val="20"/>
                <w:szCs w:val="20"/>
                <w:lang w:eastAsia="de-DE"/>
              </w:rPr>
              <w:t>Увеличение на неземеделски БВП в подкрепените предприятия</w:t>
            </w:r>
          </w:p>
        </w:tc>
        <w:tc>
          <w:tcPr>
            <w:tcW w:w="992" w:type="dxa"/>
            <w:shd w:val="clear" w:color="auto" w:fill="E2EFD9" w:themeFill="accent6" w:themeFillTint="33"/>
            <w:vAlign w:val="center"/>
          </w:tcPr>
          <w:p w14:paraId="5A08CCB0"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992" w:type="dxa"/>
            <w:shd w:val="clear" w:color="auto" w:fill="E2EFD9" w:themeFill="accent6" w:themeFillTint="33"/>
            <w:vAlign w:val="center"/>
          </w:tcPr>
          <w:p w14:paraId="1EA169DC"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993" w:type="dxa"/>
            <w:shd w:val="clear" w:color="auto" w:fill="auto"/>
            <w:vAlign w:val="center"/>
          </w:tcPr>
          <w:p w14:paraId="3166E24F" w14:textId="77777777" w:rsidR="00E8617E" w:rsidRPr="00BC513A" w:rsidRDefault="00E8617E" w:rsidP="00922731">
            <w:pPr>
              <w:jc w:val="center"/>
              <w:rPr>
                <w:rFonts w:ascii="Arial" w:hAnsi="Arial" w:cs="Arial"/>
                <w:sz w:val="20"/>
                <w:szCs w:val="20"/>
              </w:rPr>
            </w:pPr>
          </w:p>
        </w:tc>
        <w:tc>
          <w:tcPr>
            <w:tcW w:w="992" w:type="dxa"/>
            <w:shd w:val="clear" w:color="auto" w:fill="auto"/>
            <w:vAlign w:val="center"/>
          </w:tcPr>
          <w:p w14:paraId="5304ABD1" w14:textId="77777777" w:rsidR="00E8617E" w:rsidRPr="00BC513A" w:rsidRDefault="00E8617E" w:rsidP="00922731">
            <w:pPr>
              <w:jc w:val="center"/>
              <w:rPr>
                <w:rFonts w:ascii="Arial" w:hAnsi="Arial" w:cs="Arial"/>
                <w:sz w:val="20"/>
                <w:szCs w:val="20"/>
              </w:rPr>
            </w:pPr>
          </w:p>
        </w:tc>
        <w:tc>
          <w:tcPr>
            <w:tcW w:w="993" w:type="dxa"/>
            <w:vAlign w:val="center"/>
          </w:tcPr>
          <w:p w14:paraId="754056D3" w14:textId="77777777" w:rsidR="00E8617E" w:rsidRPr="00BC513A" w:rsidRDefault="00E8617E" w:rsidP="00922731">
            <w:pPr>
              <w:jc w:val="center"/>
              <w:rPr>
                <w:rFonts w:ascii="Arial" w:hAnsi="Arial" w:cs="Arial"/>
                <w:sz w:val="20"/>
                <w:szCs w:val="20"/>
              </w:rPr>
            </w:pPr>
          </w:p>
        </w:tc>
      </w:tr>
      <w:tr w:rsidR="00E8617E" w:rsidRPr="00BC513A" w14:paraId="72346F4B" w14:textId="77777777" w:rsidTr="00922731">
        <w:trPr>
          <w:trHeight w:val="404"/>
        </w:trPr>
        <w:tc>
          <w:tcPr>
            <w:tcW w:w="3964" w:type="dxa"/>
            <w:shd w:val="clear" w:color="auto" w:fill="E2EFD9" w:themeFill="accent6" w:themeFillTint="33"/>
          </w:tcPr>
          <w:p w14:paraId="53068D3C" w14:textId="77777777" w:rsidR="00E8617E" w:rsidRPr="00BC513A" w:rsidRDefault="00E8617E" w:rsidP="00922731">
            <w:pPr>
              <w:spacing w:before="60" w:after="60"/>
              <w:rPr>
                <w:rFonts w:ascii="Arial" w:hAnsi="Arial" w:cs="Arial"/>
                <w:b/>
                <w:sz w:val="20"/>
                <w:szCs w:val="20"/>
                <w:lang w:eastAsia="de-DE"/>
              </w:rPr>
            </w:pPr>
            <w:r w:rsidRPr="00BC513A">
              <w:rPr>
                <w:rFonts w:ascii="Arial" w:hAnsi="Arial" w:cs="Arial"/>
                <w:sz w:val="20"/>
                <w:szCs w:val="20"/>
                <w:lang w:eastAsia="de-DE"/>
              </w:rPr>
              <w:t>Брутен брой създадени работни места</w:t>
            </w:r>
          </w:p>
        </w:tc>
        <w:tc>
          <w:tcPr>
            <w:tcW w:w="992" w:type="dxa"/>
            <w:shd w:val="clear" w:color="auto" w:fill="E2EFD9" w:themeFill="accent6" w:themeFillTint="33"/>
            <w:vAlign w:val="center"/>
          </w:tcPr>
          <w:p w14:paraId="3D6521F2"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992" w:type="dxa"/>
            <w:shd w:val="clear" w:color="auto" w:fill="E2EFD9" w:themeFill="accent6" w:themeFillTint="33"/>
            <w:vAlign w:val="center"/>
          </w:tcPr>
          <w:p w14:paraId="6BD41103"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993" w:type="dxa"/>
            <w:shd w:val="clear" w:color="auto" w:fill="E2EFD9" w:themeFill="accent6" w:themeFillTint="33"/>
            <w:vAlign w:val="center"/>
          </w:tcPr>
          <w:p w14:paraId="419D809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c>
          <w:tcPr>
            <w:tcW w:w="992" w:type="dxa"/>
            <w:shd w:val="clear" w:color="auto" w:fill="auto"/>
            <w:vAlign w:val="center"/>
          </w:tcPr>
          <w:p w14:paraId="525B459F" w14:textId="77777777" w:rsidR="00E8617E" w:rsidRPr="00BC513A" w:rsidRDefault="00E8617E" w:rsidP="00922731">
            <w:pPr>
              <w:jc w:val="center"/>
              <w:rPr>
                <w:rFonts w:ascii="Arial" w:hAnsi="Arial" w:cs="Arial"/>
                <w:sz w:val="20"/>
                <w:szCs w:val="20"/>
              </w:rPr>
            </w:pPr>
          </w:p>
        </w:tc>
        <w:tc>
          <w:tcPr>
            <w:tcW w:w="993" w:type="dxa"/>
            <w:vAlign w:val="center"/>
          </w:tcPr>
          <w:p w14:paraId="128ACF03" w14:textId="77777777" w:rsidR="00E8617E" w:rsidRPr="00BC513A" w:rsidRDefault="00E8617E" w:rsidP="00922731">
            <w:pPr>
              <w:jc w:val="center"/>
              <w:rPr>
                <w:rFonts w:ascii="Arial" w:hAnsi="Arial" w:cs="Arial"/>
                <w:sz w:val="20"/>
                <w:szCs w:val="20"/>
              </w:rPr>
            </w:pPr>
          </w:p>
        </w:tc>
      </w:tr>
      <w:tr w:rsidR="00E8617E" w:rsidRPr="00BC513A" w14:paraId="69214000" w14:textId="77777777" w:rsidTr="00922731">
        <w:trPr>
          <w:trHeight w:val="410"/>
        </w:trPr>
        <w:tc>
          <w:tcPr>
            <w:tcW w:w="3964" w:type="dxa"/>
            <w:shd w:val="clear" w:color="auto" w:fill="E2EFD9" w:themeFill="accent6" w:themeFillTint="33"/>
          </w:tcPr>
          <w:p w14:paraId="609E7BD7" w14:textId="77777777" w:rsidR="00E8617E" w:rsidRPr="00BC513A" w:rsidRDefault="00E8617E" w:rsidP="00922731">
            <w:pPr>
              <w:spacing w:before="60" w:after="60"/>
              <w:rPr>
                <w:rFonts w:ascii="Arial" w:hAnsi="Arial" w:cs="Arial"/>
                <w:b/>
                <w:sz w:val="20"/>
                <w:szCs w:val="20"/>
                <w:lang w:eastAsia="de-DE"/>
              </w:rPr>
            </w:pPr>
            <w:r w:rsidRPr="00BC513A">
              <w:rPr>
                <w:rFonts w:ascii="Arial" w:hAnsi="Arial" w:cs="Arial"/>
                <w:sz w:val="20"/>
                <w:szCs w:val="20"/>
                <w:lang w:eastAsia="de-DE"/>
              </w:rPr>
              <w:t>Допълнителен брой туристи</w:t>
            </w:r>
          </w:p>
        </w:tc>
        <w:tc>
          <w:tcPr>
            <w:tcW w:w="992" w:type="dxa"/>
            <w:shd w:val="clear" w:color="auto" w:fill="auto"/>
            <w:vAlign w:val="center"/>
          </w:tcPr>
          <w:p w14:paraId="3B01E104" w14:textId="77777777" w:rsidR="00E8617E" w:rsidRPr="00BC513A" w:rsidRDefault="00E8617E" w:rsidP="00922731">
            <w:pPr>
              <w:jc w:val="center"/>
              <w:rPr>
                <w:rFonts w:ascii="Arial" w:hAnsi="Arial" w:cs="Arial"/>
                <w:sz w:val="20"/>
                <w:szCs w:val="20"/>
                <w:lang w:eastAsia="de-DE"/>
              </w:rPr>
            </w:pPr>
          </w:p>
        </w:tc>
        <w:tc>
          <w:tcPr>
            <w:tcW w:w="992" w:type="dxa"/>
            <w:shd w:val="clear" w:color="auto" w:fill="auto"/>
            <w:vAlign w:val="center"/>
          </w:tcPr>
          <w:p w14:paraId="52221E3C" w14:textId="77777777" w:rsidR="00E8617E" w:rsidRPr="00BC513A" w:rsidRDefault="00E8617E" w:rsidP="00922731">
            <w:pPr>
              <w:jc w:val="center"/>
              <w:rPr>
                <w:rFonts w:ascii="Arial" w:hAnsi="Arial" w:cs="Arial"/>
                <w:sz w:val="20"/>
                <w:szCs w:val="20"/>
                <w:lang w:eastAsia="de-DE"/>
              </w:rPr>
            </w:pPr>
          </w:p>
        </w:tc>
        <w:tc>
          <w:tcPr>
            <w:tcW w:w="993" w:type="dxa"/>
            <w:shd w:val="clear" w:color="auto" w:fill="E2EFD9" w:themeFill="accent6" w:themeFillTint="33"/>
            <w:vAlign w:val="center"/>
          </w:tcPr>
          <w:p w14:paraId="01EEBE17"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992" w:type="dxa"/>
            <w:shd w:val="clear" w:color="auto" w:fill="auto"/>
            <w:vAlign w:val="center"/>
          </w:tcPr>
          <w:p w14:paraId="3EFF271C" w14:textId="77777777" w:rsidR="00E8617E" w:rsidRPr="00BC513A" w:rsidRDefault="00E8617E" w:rsidP="00922731">
            <w:pPr>
              <w:jc w:val="center"/>
              <w:rPr>
                <w:rFonts w:ascii="Arial" w:hAnsi="Arial" w:cs="Arial"/>
                <w:sz w:val="20"/>
                <w:szCs w:val="20"/>
                <w:lang w:eastAsia="de-DE"/>
              </w:rPr>
            </w:pPr>
          </w:p>
        </w:tc>
        <w:tc>
          <w:tcPr>
            <w:tcW w:w="993" w:type="dxa"/>
            <w:vAlign w:val="center"/>
          </w:tcPr>
          <w:p w14:paraId="5D8C4433" w14:textId="77777777" w:rsidR="00E8617E" w:rsidRPr="00BC513A" w:rsidRDefault="00E8617E" w:rsidP="00922731">
            <w:pPr>
              <w:jc w:val="center"/>
              <w:rPr>
                <w:rFonts w:ascii="Arial" w:hAnsi="Arial" w:cs="Arial"/>
                <w:sz w:val="20"/>
                <w:szCs w:val="20"/>
                <w:lang w:eastAsia="de-DE"/>
              </w:rPr>
            </w:pPr>
          </w:p>
        </w:tc>
      </w:tr>
      <w:tr w:rsidR="00E8617E" w:rsidRPr="00BC513A" w14:paraId="5259411F" w14:textId="77777777" w:rsidTr="00922731">
        <w:tc>
          <w:tcPr>
            <w:tcW w:w="3964" w:type="dxa"/>
            <w:shd w:val="clear" w:color="auto" w:fill="E2EFD9" w:themeFill="accent6" w:themeFillTint="33"/>
            <w:vAlign w:val="center"/>
          </w:tcPr>
          <w:p w14:paraId="3BA13A49" w14:textId="77777777" w:rsidR="00E8617E" w:rsidRPr="00BC513A" w:rsidRDefault="00E8617E" w:rsidP="00922731">
            <w:pPr>
              <w:spacing w:before="60" w:after="60"/>
              <w:rPr>
                <w:rFonts w:ascii="Arial" w:hAnsi="Arial" w:cs="Arial"/>
                <w:b/>
                <w:sz w:val="20"/>
                <w:szCs w:val="20"/>
                <w:lang w:eastAsia="de-DE"/>
              </w:rPr>
            </w:pPr>
            <w:r w:rsidRPr="00BC513A">
              <w:rPr>
                <w:rFonts w:ascii="Arial" w:hAnsi="Arial" w:cs="Arial"/>
                <w:sz w:val="20"/>
                <w:szCs w:val="20"/>
                <w:lang w:eastAsia="de-DE"/>
              </w:rPr>
              <w:t>Население в селските райони възползващо се от подобрените услуги</w:t>
            </w:r>
          </w:p>
        </w:tc>
        <w:tc>
          <w:tcPr>
            <w:tcW w:w="992" w:type="dxa"/>
            <w:shd w:val="clear" w:color="auto" w:fill="auto"/>
            <w:vAlign w:val="center"/>
          </w:tcPr>
          <w:p w14:paraId="3345C6C8" w14:textId="77777777" w:rsidR="00E8617E" w:rsidRPr="00BC513A" w:rsidRDefault="00E8617E" w:rsidP="00922731">
            <w:pPr>
              <w:jc w:val="center"/>
              <w:rPr>
                <w:rFonts w:ascii="Arial" w:hAnsi="Arial" w:cs="Arial"/>
                <w:sz w:val="20"/>
                <w:szCs w:val="20"/>
                <w:lang w:eastAsia="de-DE"/>
              </w:rPr>
            </w:pPr>
          </w:p>
        </w:tc>
        <w:tc>
          <w:tcPr>
            <w:tcW w:w="992" w:type="dxa"/>
            <w:shd w:val="clear" w:color="auto" w:fill="auto"/>
            <w:vAlign w:val="center"/>
          </w:tcPr>
          <w:p w14:paraId="16E7AC58" w14:textId="77777777" w:rsidR="00E8617E" w:rsidRPr="00BC513A" w:rsidRDefault="00E8617E" w:rsidP="00922731">
            <w:pPr>
              <w:jc w:val="center"/>
              <w:rPr>
                <w:rFonts w:ascii="Arial" w:hAnsi="Arial" w:cs="Arial"/>
                <w:sz w:val="20"/>
                <w:szCs w:val="20"/>
                <w:lang w:eastAsia="de-DE"/>
              </w:rPr>
            </w:pPr>
          </w:p>
        </w:tc>
        <w:tc>
          <w:tcPr>
            <w:tcW w:w="993" w:type="dxa"/>
            <w:shd w:val="clear" w:color="auto" w:fill="auto"/>
            <w:vAlign w:val="center"/>
          </w:tcPr>
          <w:p w14:paraId="50CB5C99" w14:textId="77777777" w:rsidR="00E8617E" w:rsidRPr="00BC513A" w:rsidRDefault="00E8617E" w:rsidP="00922731">
            <w:pPr>
              <w:jc w:val="center"/>
              <w:rPr>
                <w:rFonts w:ascii="Arial" w:hAnsi="Arial" w:cs="Arial"/>
                <w:sz w:val="20"/>
                <w:szCs w:val="20"/>
                <w:lang w:eastAsia="de-DE"/>
              </w:rPr>
            </w:pPr>
          </w:p>
        </w:tc>
        <w:tc>
          <w:tcPr>
            <w:tcW w:w="992" w:type="dxa"/>
            <w:shd w:val="clear" w:color="auto" w:fill="E2EFD9" w:themeFill="accent6" w:themeFillTint="33"/>
            <w:vAlign w:val="center"/>
          </w:tcPr>
          <w:p w14:paraId="24AC2F01"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993" w:type="dxa"/>
            <w:shd w:val="clear" w:color="auto" w:fill="E2EFD9" w:themeFill="accent6" w:themeFillTint="33"/>
            <w:vAlign w:val="center"/>
          </w:tcPr>
          <w:p w14:paraId="7C93EF88"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r>
      <w:tr w:rsidR="00E8617E" w:rsidRPr="00BC513A" w14:paraId="59E0F0AB" w14:textId="77777777" w:rsidTr="00922731">
        <w:tc>
          <w:tcPr>
            <w:tcW w:w="3964" w:type="dxa"/>
            <w:shd w:val="clear" w:color="auto" w:fill="E2EFD9" w:themeFill="accent6" w:themeFillTint="33"/>
            <w:vAlign w:val="center"/>
          </w:tcPr>
          <w:p w14:paraId="452420E5" w14:textId="77777777" w:rsidR="00E8617E" w:rsidRPr="00BC513A" w:rsidRDefault="00E8617E" w:rsidP="00922731">
            <w:pPr>
              <w:spacing w:before="60" w:after="60"/>
              <w:rPr>
                <w:rFonts w:ascii="Arial" w:hAnsi="Arial" w:cs="Arial"/>
                <w:b/>
                <w:sz w:val="20"/>
                <w:szCs w:val="20"/>
                <w:lang w:eastAsia="de-DE"/>
              </w:rPr>
            </w:pPr>
            <w:r w:rsidRPr="00BC513A">
              <w:rPr>
                <w:rFonts w:ascii="Arial" w:hAnsi="Arial" w:cs="Arial"/>
                <w:sz w:val="20"/>
                <w:szCs w:val="20"/>
                <w:lang w:eastAsia="de-DE"/>
              </w:rPr>
              <w:t>Увеличаване на разпространението на Интернет в селските райони</w:t>
            </w:r>
          </w:p>
        </w:tc>
        <w:tc>
          <w:tcPr>
            <w:tcW w:w="992" w:type="dxa"/>
            <w:shd w:val="clear" w:color="auto" w:fill="auto"/>
            <w:vAlign w:val="center"/>
          </w:tcPr>
          <w:p w14:paraId="160EDAD8" w14:textId="77777777" w:rsidR="00E8617E" w:rsidRPr="00BC513A" w:rsidRDefault="00E8617E" w:rsidP="00922731">
            <w:pPr>
              <w:jc w:val="center"/>
              <w:rPr>
                <w:rFonts w:ascii="Arial" w:hAnsi="Arial" w:cs="Arial"/>
                <w:sz w:val="20"/>
                <w:szCs w:val="20"/>
                <w:lang w:eastAsia="de-DE"/>
              </w:rPr>
            </w:pPr>
          </w:p>
        </w:tc>
        <w:tc>
          <w:tcPr>
            <w:tcW w:w="992" w:type="dxa"/>
            <w:shd w:val="clear" w:color="auto" w:fill="auto"/>
            <w:vAlign w:val="center"/>
          </w:tcPr>
          <w:p w14:paraId="52EE484A" w14:textId="77777777" w:rsidR="00E8617E" w:rsidRPr="00BC513A" w:rsidRDefault="00E8617E" w:rsidP="00922731">
            <w:pPr>
              <w:jc w:val="center"/>
              <w:rPr>
                <w:rFonts w:ascii="Arial" w:hAnsi="Arial" w:cs="Arial"/>
                <w:sz w:val="20"/>
                <w:szCs w:val="20"/>
                <w:lang w:eastAsia="de-DE"/>
              </w:rPr>
            </w:pPr>
          </w:p>
        </w:tc>
        <w:tc>
          <w:tcPr>
            <w:tcW w:w="993" w:type="dxa"/>
            <w:shd w:val="clear" w:color="auto" w:fill="auto"/>
            <w:vAlign w:val="center"/>
          </w:tcPr>
          <w:p w14:paraId="1A582516" w14:textId="77777777" w:rsidR="00E8617E" w:rsidRPr="00BC513A" w:rsidRDefault="00E8617E" w:rsidP="00922731">
            <w:pPr>
              <w:jc w:val="center"/>
              <w:rPr>
                <w:rFonts w:ascii="Arial" w:hAnsi="Arial" w:cs="Arial"/>
                <w:sz w:val="20"/>
                <w:szCs w:val="20"/>
                <w:lang w:eastAsia="de-DE"/>
              </w:rPr>
            </w:pPr>
          </w:p>
        </w:tc>
        <w:tc>
          <w:tcPr>
            <w:tcW w:w="992" w:type="dxa"/>
            <w:shd w:val="clear" w:color="auto" w:fill="E2EFD9" w:themeFill="accent6" w:themeFillTint="33"/>
            <w:vAlign w:val="center"/>
          </w:tcPr>
          <w:p w14:paraId="42938D8A"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993" w:type="dxa"/>
            <w:vAlign w:val="center"/>
          </w:tcPr>
          <w:p w14:paraId="31A9CB17" w14:textId="77777777" w:rsidR="00E8617E" w:rsidRPr="00BC513A" w:rsidRDefault="00E8617E" w:rsidP="00922731">
            <w:pPr>
              <w:jc w:val="center"/>
              <w:rPr>
                <w:rFonts w:ascii="Arial" w:hAnsi="Arial" w:cs="Arial"/>
                <w:sz w:val="20"/>
                <w:szCs w:val="20"/>
                <w:lang w:eastAsia="de-DE"/>
              </w:rPr>
            </w:pPr>
          </w:p>
        </w:tc>
      </w:tr>
    </w:tbl>
    <w:p w14:paraId="257DBC9F" w14:textId="77777777" w:rsidR="00E8617E" w:rsidRPr="00BC513A" w:rsidRDefault="00E8617E" w:rsidP="00E8617E"/>
    <w:p w14:paraId="63B9D3D6" w14:textId="073FA4BF" w:rsidR="00E8617E" w:rsidRPr="00BC513A" w:rsidRDefault="00E8617E" w:rsidP="00E8617E">
      <w:pPr>
        <w:pStyle w:val="DefaultText"/>
        <w:shd w:val="clear" w:color="auto" w:fill="FFF8E5"/>
        <w:spacing w:after="120" w:line="300" w:lineRule="atLeast"/>
        <w:rPr>
          <w:sz w:val="20"/>
          <w:szCs w:val="20"/>
          <w:lang w:val="bg-BG"/>
        </w:rPr>
      </w:pPr>
      <w:r w:rsidRPr="00BC513A">
        <w:rPr>
          <w:rFonts w:cs="Arial"/>
          <w:b/>
          <w:color w:val="000000"/>
          <w:sz w:val="20"/>
          <w:szCs w:val="20"/>
          <w:shd w:val="clear" w:color="auto" w:fill="FFF8E5"/>
          <w:lang w:val="bg-BG"/>
        </w:rPr>
        <w:t>О</w:t>
      </w:r>
      <w:r w:rsidR="00AB2B2B">
        <w:rPr>
          <w:rFonts w:cs="Arial"/>
          <w:b/>
          <w:color w:val="000000"/>
          <w:sz w:val="20"/>
          <w:szCs w:val="20"/>
          <w:shd w:val="clear" w:color="auto" w:fill="FFF8E5"/>
          <w:lang w:val="bg-BG"/>
        </w:rPr>
        <w:t>с</w:t>
      </w:r>
      <w:r w:rsidRPr="00BC513A">
        <w:rPr>
          <w:rFonts w:cs="Arial"/>
          <w:b/>
          <w:color w:val="000000"/>
          <w:sz w:val="20"/>
          <w:szCs w:val="20"/>
          <w:shd w:val="clear" w:color="auto" w:fill="FFF8E5"/>
          <w:lang w:val="bg-BG"/>
        </w:rPr>
        <w:t xml:space="preserve"> 4: ЛИДЕР </w:t>
      </w:r>
    </w:p>
    <w:p w14:paraId="6B009BCC" w14:textId="77777777" w:rsidR="00E8617E" w:rsidRPr="00BC513A" w:rsidRDefault="00E8617E" w:rsidP="00E8617E">
      <w:pPr>
        <w:pStyle w:val="DefaultText"/>
        <w:spacing w:before="120" w:after="120" w:line="300" w:lineRule="atLeast"/>
        <w:ind w:firstLine="708"/>
        <w:rPr>
          <w:sz w:val="22"/>
          <w:szCs w:val="22"/>
          <w:lang w:val="bg-BG"/>
        </w:rPr>
      </w:pPr>
      <w:r w:rsidRPr="00BC513A">
        <w:rPr>
          <w:sz w:val="22"/>
          <w:szCs w:val="22"/>
          <w:lang w:val="bg-BG"/>
        </w:rPr>
        <w:t xml:space="preserve">Ос 4 ЛИДЕР има за основна цел изграждане на местен капацитет и подобряване на местното управление. Целта е този капацитет след това да бъде използват за подпомагане постигане целите на програмата чрез подход „отдолу-нагоре“. Предвид на факта, че подходът се прилага за първи път в България, разбираемо са заделени средства за укрепване на капацитета на създадените местни </w:t>
      </w:r>
      <w:r w:rsidRPr="00BC513A">
        <w:rPr>
          <w:sz w:val="22"/>
          <w:szCs w:val="22"/>
          <w:lang w:val="bg-BG"/>
        </w:rPr>
        <w:lastRenderedPageBreak/>
        <w:t xml:space="preserve">инициативни групи чрез осигуряване на финансова подкрепа за осъществяване на техните дейности (М431). Тъй като бюджетът на мярка 341 </w:t>
      </w:r>
      <w:r w:rsidRPr="00BC513A">
        <w:rPr>
          <w:i/>
          <w:sz w:val="22"/>
          <w:szCs w:val="22"/>
          <w:lang w:val="bg-BG"/>
        </w:rPr>
        <w:t xml:space="preserve">Придобиване на умения и постигане на обществена активност с оглед на подготовката и прилагането на стратегии за местно развитие </w:t>
      </w:r>
      <w:r w:rsidRPr="00BC513A">
        <w:rPr>
          <w:sz w:val="22"/>
          <w:szCs w:val="22"/>
          <w:lang w:val="bg-BG"/>
        </w:rPr>
        <w:t xml:space="preserve">е прехвален към инвестиционните мерки на ос 3, се налага използване на ресурси от мярка 431 за осъществяване на дейности за активиране, информиране и обучение на местните заинтересовани страни с цел създаване на МИГ, тяхната регистрация и изготвяне на стратегиите за местно развитие. </w:t>
      </w:r>
    </w:p>
    <w:p w14:paraId="1165BFE6" w14:textId="77777777" w:rsidR="00E8617E" w:rsidRPr="00BC513A" w:rsidRDefault="00E8617E" w:rsidP="00E8617E">
      <w:pPr>
        <w:pStyle w:val="DefaultText"/>
        <w:spacing w:before="120" w:after="120" w:line="300" w:lineRule="atLeast"/>
        <w:ind w:firstLine="708"/>
        <w:rPr>
          <w:sz w:val="22"/>
          <w:szCs w:val="22"/>
          <w:lang w:val="bg-BG"/>
        </w:rPr>
      </w:pPr>
      <w:r w:rsidRPr="00BC513A">
        <w:rPr>
          <w:sz w:val="22"/>
          <w:szCs w:val="22"/>
          <w:lang w:val="bg-BG"/>
        </w:rPr>
        <w:t>Останалите две предвидени мерки за изпълнение на ос 4 също са много уместни: мярка 41 осигурява ресурс за изпълнение на стратегиите за местно развитие, а мярка 421 насърчава вътрешнотериториалното и транснационално сътрудничество и има добавена стойност както към укрепване на капацитета на МИГ</w:t>
      </w:r>
      <w:r w:rsidR="00147071">
        <w:rPr>
          <w:sz w:val="22"/>
          <w:szCs w:val="22"/>
          <w:lang w:val="bg-BG"/>
        </w:rPr>
        <w:t>,</w:t>
      </w:r>
      <w:r w:rsidRPr="00BC513A">
        <w:rPr>
          <w:sz w:val="22"/>
          <w:szCs w:val="22"/>
          <w:lang w:val="bg-BG"/>
        </w:rPr>
        <w:t xml:space="preserve"> така и към изпълнение на проекти от значение за местните общности. </w:t>
      </w:r>
    </w:p>
    <w:p w14:paraId="077F857E" w14:textId="77777777" w:rsidR="00E8617E" w:rsidRPr="00BC513A" w:rsidRDefault="00E8617E" w:rsidP="00E8617E">
      <w:pPr>
        <w:pStyle w:val="DefaultText"/>
        <w:rPr>
          <w:lang w:val="bg-BG"/>
        </w:rPr>
      </w:pPr>
      <w:r w:rsidRPr="00BC513A">
        <w:rPr>
          <w:noProof/>
          <w:lang w:val="en-US" w:eastAsia="en-US"/>
        </w:rPr>
        <w:drawing>
          <wp:inline distT="0" distB="0" distL="0" distR="0" wp14:anchorId="1B8F2D8A" wp14:editId="5ED2CEFD">
            <wp:extent cx="5759450" cy="445921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9450" cy="4459211"/>
                    </a:xfrm>
                    <a:prstGeom prst="rect">
                      <a:avLst/>
                    </a:prstGeom>
                    <a:noFill/>
                    <a:ln>
                      <a:noFill/>
                    </a:ln>
                  </pic:spPr>
                </pic:pic>
              </a:graphicData>
            </a:graphic>
          </wp:inline>
        </w:drawing>
      </w:r>
    </w:p>
    <w:p w14:paraId="4230E952" w14:textId="77777777" w:rsidR="00E8617E" w:rsidRPr="00BC513A" w:rsidRDefault="00E8617E" w:rsidP="00E8617E">
      <w:pPr>
        <w:pStyle w:val="Caption"/>
        <w:keepNext/>
        <w:spacing w:before="240" w:after="60"/>
        <w:jc w:val="center"/>
        <w:rPr>
          <w:rFonts w:ascii="Arial" w:hAnsi="Arial" w:cs="Arial"/>
          <w:b/>
          <w:i w:val="0"/>
          <w:color w:val="0070C0"/>
          <w:sz w:val="20"/>
          <w:szCs w:val="20"/>
        </w:rPr>
      </w:pPr>
      <w:bookmarkStart w:id="56" w:name="_Toc506984710"/>
      <w:r w:rsidRPr="00BC513A">
        <w:rPr>
          <w:rFonts w:ascii="Arial" w:hAnsi="Arial" w:cs="Arial"/>
          <w:b/>
          <w:i w:val="0"/>
          <w:color w:val="0070C0"/>
          <w:sz w:val="20"/>
          <w:szCs w:val="20"/>
        </w:rPr>
        <w:t xml:space="preserve">Фигура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Фигура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4</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Логика на интервенция на ос 4</w:t>
      </w:r>
      <w:bookmarkEnd w:id="56"/>
    </w:p>
    <w:p w14:paraId="6973D19E" w14:textId="77777777" w:rsidR="00E8617E" w:rsidRPr="00BC513A" w:rsidRDefault="00E8617E" w:rsidP="00E8617E">
      <w:pPr>
        <w:pStyle w:val="DefaultText"/>
        <w:rPr>
          <w:lang w:val="bg-BG"/>
        </w:rPr>
      </w:pPr>
    </w:p>
    <w:p w14:paraId="1B3D8AA5" w14:textId="57B8D8FD" w:rsidR="00E8617E" w:rsidRPr="00BC513A" w:rsidRDefault="00E8617E" w:rsidP="00E8617E">
      <w:pPr>
        <w:pStyle w:val="DefaultText"/>
        <w:spacing w:before="120" w:after="120" w:line="300" w:lineRule="atLeast"/>
        <w:ind w:firstLine="708"/>
        <w:rPr>
          <w:sz w:val="22"/>
          <w:szCs w:val="22"/>
          <w:lang w:val="bg-BG"/>
        </w:rPr>
      </w:pPr>
      <w:r w:rsidRPr="00BC513A">
        <w:rPr>
          <w:sz w:val="22"/>
          <w:szCs w:val="22"/>
          <w:lang w:val="bg-BG"/>
        </w:rPr>
        <w:t xml:space="preserve">Предвидено е мерките по ос 4 да допринесат основно към създаване на нови работни места (както в резултат от създаване </w:t>
      </w:r>
      <w:r w:rsidR="00562AD9">
        <w:rPr>
          <w:sz w:val="22"/>
          <w:szCs w:val="22"/>
          <w:lang w:val="bg-BG"/>
        </w:rPr>
        <w:t>н</w:t>
      </w:r>
      <w:r w:rsidRPr="00BC513A">
        <w:rPr>
          <w:sz w:val="22"/>
          <w:szCs w:val="22"/>
          <w:lang w:val="bg-BG"/>
        </w:rPr>
        <w:t>а МИГ</w:t>
      </w:r>
      <w:r w:rsidR="00147071">
        <w:rPr>
          <w:sz w:val="22"/>
          <w:szCs w:val="22"/>
          <w:lang w:val="bg-BG"/>
        </w:rPr>
        <w:t>,</w:t>
      </w:r>
      <w:r w:rsidRPr="00BC513A">
        <w:rPr>
          <w:sz w:val="22"/>
          <w:szCs w:val="22"/>
          <w:lang w:val="bg-BG"/>
        </w:rPr>
        <w:t xml:space="preserve"> така и от изпълнение на стратегиите за местно развитие). Чрез изпълнение на стратегиите за местно развитие, финансираните проекти по ос 4 реално ще имат принос към постигане на целите на предходните оси 1, 2 и 3. Поради невъзможност по време на програмирането на </w:t>
      </w:r>
      <w:r w:rsidR="000F57E9">
        <w:rPr>
          <w:sz w:val="22"/>
          <w:szCs w:val="22"/>
          <w:lang w:val="bg-BG"/>
        </w:rPr>
        <w:t>п</w:t>
      </w:r>
      <w:r w:rsidRPr="00BC513A">
        <w:rPr>
          <w:sz w:val="22"/>
          <w:szCs w:val="22"/>
          <w:lang w:val="bg-BG"/>
        </w:rPr>
        <w:t>рограмата да се предвиди обхват</w:t>
      </w:r>
      <w:r w:rsidR="00147071">
        <w:rPr>
          <w:sz w:val="22"/>
          <w:szCs w:val="22"/>
          <w:lang w:val="bg-BG"/>
        </w:rPr>
        <w:t>ът</w:t>
      </w:r>
      <w:r w:rsidRPr="00BC513A">
        <w:rPr>
          <w:sz w:val="22"/>
          <w:szCs w:val="22"/>
          <w:lang w:val="bg-BG"/>
        </w:rPr>
        <w:t xml:space="preserve"> на тези проекти не са заложени индикатори, свързани с тези оси.</w:t>
      </w:r>
    </w:p>
    <w:p w14:paraId="22FC932A"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57" w:name="_Toc504136181"/>
      <w:r w:rsidRPr="00BC513A">
        <w:rPr>
          <w:rFonts w:ascii="Arial" w:hAnsi="Arial" w:cs="Arial"/>
          <w:b/>
          <w:i w:val="0"/>
          <w:color w:val="0070C0"/>
          <w:sz w:val="20"/>
          <w:szCs w:val="20"/>
        </w:rPr>
        <w:lastRenderedPageBreak/>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9</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Връзка между мерките по ос 4 и индикаторите за резултат</w:t>
      </w:r>
      <w:bookmarkEnd w:id="57"/>
    </w:p>
    <w:tbl>
      <w:tblPr>
        <w:tblStyle w:val="TableGrid"/>
        <w:tblW w:w="9067" w:type="dxa"/>
        <w:tblBorders>
          <w:top w:val="single" w:sz="4" w:space="0" w:color="806000" w:themeColor="accent4" w:themeShade="80"/>
          <w:left w:val="single" w:sz="4" w:space="0" w:color="806000" w:themeColor="accent4" w:themeShade="80"/>
          <w:bottom w:val="single" w:sz="4" w:space="0" w:color="806000" w:themeColor="accent4" w:themeShade="80"/>
          <w:right w:val="single" w:sz="4" w:space="0" w:color="806000" w:themeColor="accent4" w:themeShade="80"/>
          <w:insideH w:val="single" w:sz="4" w:space="0" w:color="806000" w:themeColor="accent4" w:themeShade="80"/>
          <w:insideV w:val="single" w:sz="4" w:space="0" w:color="806000" w:themeColor="accent4" w:themeShade="80"/>
        </w:tblBorders>
        <w:tblLayout w:type="fixed"/>
        <w:tblLook w:val="04A0" w:firstRow="1" w:lastRow="0" w:firstColumn="1" w:lastColumn="0" w:noHBand="0" w:noVBand="1"/>
      </w:tblPr>
      <w:tblGrid>
        <w:gridCol w:w="6799"/>
        <w:gridCol w:w="756"/>
        <w:gridCol w:w="756"/>
        <w:gridCol w:w="756"/>
      </w:tblGrid>
      <w:tr w:rsidR="00E8617E" w:rsidRPr="00BC513A" w14:paraId="1BA8816C" w14:textId="77777777" w:rsidTr="00922731">
        <w:tc>
          <w:tcPr>
            <w:tcW w:w="6799" w:type="dxa"/>
            <w:shd w:val="clear" w:color="auto" w:fill="FFF2CC" w:themeFill="accent4" w:themeFillTint="33"/>
          </w:tcPr>
          <w:p w14:paraId="4EA68713" w14:textId="77777777" w:rsidR="00E8617E" w:rsidRPr="00BC513A" w:rsidRDefault="00E8617E" w:rsidP="00922731">
            <w:pPr>
              <w:jc w:val="right"/>
              <w:rPr>
                <w:rFonts w:ascii="Arial" w:hAnsi="Arial" w:cs="Arial"/>
                <w:b/>
                <w:sz w:val="20"/>
                <w:szCs w:val="20"/>
              </w:rPr>
            </w:pPr>
            <w:r w:rsidRPr="00BC513A">
              <w:rPr>
                <w:rFonts w:ascii="Arial" w:hAnsi="Arial" w:cs="Arial"/>
                <w:b/>
                <w:sz w:val="20"/>
                <w:szCs w:val="20"/>
              </w:rPr>
              <w:t>Мярка</w:t>
            </w:r>
          </w:p>
          <w:p w14:paraId="6598D56B" w14:textId="77777777" w:rsidR="00E8617E" w:rsidRPr="00BC513A" w:rsidRDefault="00E8617E" w:rsidP="00922731">
            <w:pPr>
              <w:rPr>
                <w:rFonts w:ascii="Arial" w:hAnsi="Arial" w:cs="Arial"/>
                <w:b/>
                <w:sz w:val="20"/>
                <w:szCs w:val="20"/>
                <w:lang w:eastAsia="de-DE"/>
              </w:rPr>
            </w:pPr>
            <w:r w:rsidRPr="00BC513A">
              <w:rPr>
                <w:rFonts w:ascii="Arial" w:hAnsi="Arial" w:cs="Arial"/>
                <w:b/>
                <w:sz w:val="20"/>
                <w:szCs w:val="20"/>
              </w:rPr>
              <w:t>Индикатори за резултат</w:t>
            </w:r>
          </w:p>
        </w:tc>
        <w:tc>
          <w:tcPr>
            <w:tcW w:w="756" w:type="dxa"/>
            <w:shd w:val="clear" w:color="auto" w:fill="FFF2CC" w:themeFill="accent4" w:themeFillTint="33"/>
            <w:vAlign w:val="center"/>
          </w:tcPr>
          <w:p w14:paraId="33404AD4"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41</w:t>
            </w:r>
          </w:p>
        </w:tc>
        <w:tc>
          <w:tcPr>
            <w:tcW w:w="756" w:type="dxa"/>
            <w:shd w:val="clear" w:color="auto" w:fill="FFF2CC" w:themeFill="accent4" w:themeFillTint="33"/>
            <w:vAlign w:val="center"/>
          </w:tcPr>
          <w:p w14:paraId="44838281"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421</w:t>
            </w:r>
          </w:p>
        </w:tc>
        <w:tc>
          <w:tcPr>
            <w:tcW w:w="756" w:type="dxa"/>
            <w:shd w:val="clear" w:color="auto" w:fill="FFF2CC" w:themeFill="accent4" w:themeFillTint="33"/>
            <w:vAlign w:val="center"/>
          </w:tcPr>
          <w:p w14:paraId="0432606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431</w:t>
            </w:r>
          </w:p>
        </w:tc>
      </w:tr>
      <w:tr w:rsidR="00E8617E" w:rsidRPr="00BC513A" w14:paraId="015630AF" w14:textId="77777777" w:rsidTr="00922731">
        <w:tc>
          <w:tcPr>
            <w:tcW w:w="6799" w:type="dxa"/>
            <w:shd w:val="clear" w:color="auto" w:fill="FFF2CC" w:themeFill="accent4" w:themeFillTint="33"/>
          </w:tcPr>
          <w:p w14:paraId="2A79BC57" w14:textId="77777777" w:rsidR="00E8617E" w:rsidRPr="00BC513A" w:rsidRDefault="00E8617E" w:rsidP="00922731">
            <w:pPr>
              <w:spacing w:before="60" w:after="60"/>
              <w:rPr>
                <w:rFonts w:ascii="Arial" w:hAnsi="Arial" w:cs="Arial"/>
                <w:b/>
                <w:sz w:val="20"/>
                <w:szCs w:val="20"/>
                <w:lang w:eastAsia="de-DE"/>
              </w:rPr>
            </w:pPr>
            <w:r w:rsidRPr="00BC513A">
              <w:rPr>
                <w:rFonts w:ascii="Arial" w:eastAsia="TimesNewRomanPSMT" w:hAnsi="Arial" w:cs="Arial"/>
                <w:sz w:val="20"/>
                <w:szCs w:val="20"/>
              </w:rPr>
              <w:t>Общ брой на създадените работни места</w:t>
            </w:r>
          </w:p>
        </w:tc>
        <w:tc>
          <w:tcPr>
            <w:tcW w:w="756" w:type="dxa"/>
            <w:shd w:val="clear" w:color="auto" w:fill="FFFAEB"/>
            <w:vAlign w:val="center"/>
          </w:tcPr>
          <w:p w14:paraId="1B3B209C"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56" w:type="dxa"/>
            <w:shd w:val="clear" w:color="auto" w:fill="FFFAEB"/>
            <w:vAlign w:val="center"/>
          </w:tcPr>
          <w:p w14:paraId="465ED3B1"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56" w:type="dxa"/>
            <w:shd w:val="clear" w:color="auto" w:fill="auto"/>
            <w:vAlign w:val="center"/>
          </w:tcPr>
          <w:p w14:paraId="3EEC1108" w14:textId="77777777" w:rsidR="00E8617E" w:rsidRPr="00BC513A" w:rsidRDefault="00E8617E" w:rsidP="00922731">
            <w:pPr>
              <w:jc w:val="center"/>
              <w:rPr>
                <w:rFonts w:ascii="Arial" w:hAnsi="Arial" w:cs="Arial"/>
                <w:sz w:val="20"/>
                <w:szCs w:val="20"/>
              </w:rPr>
            </w:pPr>
          </w:p>
        </w:tc>
      </w:tr>
      <w:tr w:rsidR="00E8617E" w:rsidRPr="00BC513A" w14:paraId="5B29586B" w14:textId="77777777" w:rsidTr="00922731">
        <w:trPr>
          <w:trHeight w:val="404"/>
        </w:trPr>
        <w:tc>
          <w:tcPr>
            <w:tcW w:w="6799" w:type="dxa"/>
            <w:shd w:val="clear" w:color="auto" w:fill="FFF2CC" w:themeFill="accent4" w:themeFillTint="33"/>
          </w:tcPr>
          <w:p w14:paraId="629655B5" w14:textId="77777777" w:rsidR="00E8617E" w:rsidRPr="00BC513A" w:rsidRDefault="00E8617E" w:rsidP="00922731">
            <w:pPr>
              <w:spacing w:before="60" w:after="60"/>
              <w:rPr>
                <w:rFonts w:ascii="Arial" w:hAnsi="Arial" w:cs="Arial"/>
                <w:b/>
                <w:sz w:val="20"/>
                <w:szCs w:val="20"/>
                <w:lang w:eastAsia="de-DE"/>
              </w:rPr>
            </w:pPr>
            <w:r w:rsidRPr="00BC513A">
              <w:rPr>
                <w:rFonts w:ascii="Arial" w:eastAsia="TimesNewRomanPSMT" w:hAnsi="Arial" w:cs="Arial"/>
                <w:sz w:val="20"/>
                <w:szCs w:val="20"/>
              </w:rPr>
              <w:t>Брой участници, успешно завършили обучение</w:t>
            </w:r>
          </w:p>
        </w:tc>
        <w:tc>
          <w:tcPr>
            <w:tcW w:w="756" w:type="dxa"/>
            <w:shd w:val="clear" w:color="auto" w:fill="FFFAEB"/>
            <w:vAlign w:val="center"/>
          </w:tcPr>
          <w:p w14:paraId="3C62DA12"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х</w:t>
            </w:r>
          </w:p>
        </w:tc>
        <w:tc>
          <w:tcPr>
            <w:tcW w:w="756" w:type="dxa"/>
            <w:shd w:val="clear" w:color="auto" w:fill="auto"/>
            <w:vAlign w:val="center"/>
          </w:tcPr>
          <w:p w14:paraId="3754B743" w14:textId="77777777" w:rsidR="00E8617E" w:rsidRPr="00BC513A" w:rsidRDefault="00E8617E" w:rsidP="00922731">
            <w:pPr>
              <w:jc w:val="center"/>
              <w:rPr>
                <w:rFonts w:ascii="Arial" w:hAnsi="Arial" w:cs="Arial"/>
                <w:sz w:val="20"/>
                <w:szCs w:val="20"/>
                <w:lang w:eastAsia="de-DE"/>
              </w:rPr>
            </w:pPr>
          </w:p>
        </w:tc>
        <w:tc>
          <w:tcPr>
            <w:tcW w:w="756" w:type="dxa"/>
            <w:shd w:val="clear" w:color="auto" w:fill="FFFAEB"/>
            <w:vAlign w:val="center"/>
          </w:tcPr>
          <w:p w14:paraId="48074D3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х</w:t>
            </w:r>
          </w:p>
        </w:tc>
      </w:tr>
    </w:tbl>
    <w:p w14:paraId="5C31F83B" w14:textId="77777777" w:rsidR="00E8617E" w:rsidRPr="00BC513A" w:rsidRDefault="00E8617E" w:rsidP="00E8617E">
      <w:pPr>
        <w:pStyle w:val="Heading2"/>
        <w:numPr>
          <w:ilvl w:val="1"/>
          <w:numId w:val="6"/>
        </w:numPr>
        <w:ind w:left="1276" w:hanging="425"/>
      </w:pPr>
      <w:bookmarkStart w:id="58" w:name="_Toc504136143"/>
      <w:r w:rsidRPr="00BC513A">
        <w:t xml:space="preserve">Финансово изпълнение на </w:t>
      </w:r>
      <w:r w:rsidR="000F57E9">
        <w:t>п</w:t>
      </w:r>
      <w:r w:rsidRPr="00BC513A">
        <w:t>рограмата</w:t>
      </w:r>
      <w:bookmarkEnd w:id="58"/>
      <w:r w:rsidRPr="00BC513A">
        <w:t xml:space="preserve"> </w:t>
      </w:r>
    </w:p>
    <w:p w14:paraId="040CD6D7" w14:textId="77777777" w:rsidR="00E8617E" w:rsidRPr="00BC513A" w:rsidRDefault="00E8617E" w:rsidP="00E8617E">
      <w:pPr>
        <w:pStyle w:val="Heading3"/>
        <w:numPr>
          <w:ilvl w:val="2"/>
          <w:numId w:val="6"/>
        </w:numPr>
        <w:ind w:left="1560" w:hanging="709"/>
      </w:pPr>
      <w:bookmarkStart w:id="59" w:name="_Toc504136144"/>
      <w:r w:rsidRPr="00BC513A">
        <w:t>Планирани и разходвани средства</w:t>
      </w:r>
      <w:bookmarkEnd w:id="59"/>
    </w:p>
    <w:p w14:paraId="7B9A9CB1"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ПРСР 2007-2013 има окончателен бюджет от 4 046,923 млн. евро, от които 3 102,663 млн. евро (76,7%) са публичните разходи. </w:t>
      </w:r>
    </w:p>
    <w:p w14:paraId="757A210B" w14:textId="364D8B95" w:rsidR="00E8617E" w:rsidRPr="00BC513A" w:rsidRDefault="00E8617E" w:rsidP="00E8617E">
      <w:pPr>
        <w:pStyle w:val="DefaultText"/>
        <w:spacing w:after="120" w:line="300" w:lineRule="atLeast"/>
        <w:ind w:firstLine="709"/>
        <w:rPr>
          <w:sz w:val="22"/>
          <w:szCs w:val="22"/>
          <w:lang w:val="bg-BG"/>
        </w:rPr>
      </w:pPr>
      <w:r w:rsidRPr="00BC513A">
        <w:rPr>
          <w:rFonts w:cs="Arial"/>
          <w:sz w:val="22"/>
          <w:szCs w:val="22"/>
          <w:lang w:val="bg-BG"/>
        </w:rPr>
        <w:t>Във връзка с прилагането на процедурата, предвидена по силата на член 29 (1) от Регламент (ЕО) 1290/2005 на Съвета</w:t>
      </w:r>
      <w:r w:rsidRPr="00BC513A">
        <w:rPr>
          <w:rStyle w:val="FootnoteReference"/>
          <w:rFonts w:cs="Arial"/>
          <w:sz w:val="22"/>
          <w:szCs w:val="22"/>
          <w:lang w:val="bg-BG"/>
        </w:rPr>
        <w:footnoteReference w:id="18"/>
      </w:r>
      <w:r w:rsidRPr="00BC513A">
        <w:rPr>
          <w:rFonts w:cs="Arial"/>
          <w:sz w:val="22"/>
          <w:szCs w:val="22"/>
          <w:lang w:val="bg-BG"/>
        </w:rPr>
        <w:t>, от средства по линия на ЕЗФРСР са отчислени общо 90,729 млн. евро, а публичните разходи са намалели с близо</w:t>
      </w:r>
      <w:r w:rsidR="00147071">
        <w:rPr>
          <w:rFonts w:cs="Arial"/>
          <w:sz w:val="22"/>
          <w:szCs w:val="22"/>
          <w:lang w:val="bg-BG"/>
        </w:rPr>
        <w:t xml:space="preserve"> </w:t>
      </w:r>
      <w:r w:rsidRPr="00BC513A">
        <w:rPr>
          <w:rFonts w:cs="Arial"/>
          <w:sz w:val="22"/>
          <w:szCs w:val="22"/>
          <w:lang w:val="bg-BG"/>
        </w:rPr>
        <w:t>112,812</w:t>
      </w:r>
      <w:r w:rsidR="007A177C">
        <w:rPr>
          <w:rFonts w:cs="Arial"/>
          <w:sz w:val="22"/>
          <w:szCs w:val="22"/>
          <w:lang w:val="bg-BG"/>
        </w:rPr>
        <w:t> </w:t>
      </w:r>
      <w:r w:rsidRPr="00BC513A">
        <w:rPr>
          <w:rFonts w:cs="Arial"/>
          <w:sz w:val="22"/>
          <w:szCs w:val="22"/>
          <w:lang w:val="bg-BG"/>
        </w:rPr>
        <w:t>млн. лв. В шестнадесето изменение на ПРСР (2007-2013г.)</w:t>
      </w:r>
      <w:r w:rsidRPr="00BC513A">
        <w:rPr>
          <w:rStyle w:val="FootnoteReference"/>
          <w:rFonts w:cs="Arial"/>
          <w:sz w:val="22"/>
          <w:szCs w:val="22"/>
          <w:lang w:val="bg-BG"/>
        </w:rPr>
        <w:footnoteReference w:id="19"/>
      </w:r>
      <w:r w:rsidRPr="00BC513A">
        <w:rPr>
          <w:rFonts w:cs="Arial"/>
          <w:sz w:val="22"/>
          <w:szCs w:val="22"/>
          <w:lang w:val="bg-BG"/>
        </w:rPr>
        <w:t xml:space="preserve"> е налице предложение за допълнително отчисление на средства в размер </w:t>
      </w:r>
      <w:r w:rsidRPr="00BC513A">
        <w:rPr>
          <w:rFonts w:cs="Arial"/>
          <w:sz w:val="22"/>
          <w:szCs w:val="22"/>
          <w:lang w:val="bg-BG" w:eastAsia="bg-BG"/>
        </w:rPr>
        <w:t xml:space="preserve">50,681 млн. </w:t>
      </w:r>
      <w:r w:rsidRPr="00BC513A">
        <w:rPr>
          <w:rFonts w:cs="Arial"/>
          <w:sz w:val="22"/>
          <w:szCs w:val="22"/>
          <w:lang w:val="bg-BG"/>
        </w:rPr>
        <w:t xml:space="preserve">евро, средства на ЕЗФРСР, която сума да бъде отчислена от бюджет 2012 г. съгласно финансовият план на ПРСР 2007-2013. </w:t>
      </w:r>
      <w:r w:rsidRPr="00BC513A">
        <w:rPr>
          <w:sz w:val="22"/>
          <w:szCs w:val="22"/>
          <w:lang w:val="bg-BG"/>
        </w:rPr>
        <w:t xml:space="preserve">В края на периода, реално изразходваните публични средства възлизат на 3 072,991 млн. евро, което е 99,04% от нейния </w:t>
      </w:r>
      <w:r w:rsidR="00520B91" w:rsidRPr="00BC513A">
        <w:rPr>
          <w:sz w:val="22"/>
          <w:szCs w:val="22"/>
          <w:lang w:val="bg-BG"/>
        </w:rPr>
        <w:t>окончателен</w:t>
      </w:r>
      <w:r w:rsidRPr="00BC513A">
        <w:rPr>
          <w:sz w:val="22"/>
          <w:szCs w:val="22"/>
          <w:lang w:val="bg-BG"/>
        </w:rPr>
        <w:t xml:space="preserve"> бюджет. Спрямо първоначалния бюджет, това е 93,7% от разполагаемия ресурс</w:t>
      </w:r>
      <w:r w:rsidRPr="00BC513A">
        <w:rPr>
          <w:rStyle w:val="FootnoteReference"/>
          <w:sz w:val="22"/>
          <w:szCs w:val="22"/>
          <w:lang w:val="bg-BG"/>
        </w:rPr>
        <w:footnoteReference w:id="20"/>
      </w:r>
      <w:r w:rsidRPr="00BC513A">
        <w:rPr>
          <w:sz w:val="22"/>
          <w:szCs w:val="22"/>
          <w:lang w:val="bg-BG"/>
        </w:rPr>
        <w:t>. Програмата е постигнала среден процент на съфинансиране от ЕЗФРСР от 80,60% спрямо заложения първоначален размер от 80,48%.</w:t>
      </w:r>
    </w:p>
    <w:p w14:paraId="69528ED1" w14:textId="22C50982"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Във връзка с одобрения Европейски план за икономическо възстановяване, който предвижда предприемането на приоритетни действия, които да позволят ускорено адаптиране на икономиките на държавите</w:t>
      </w:r>
      <w:r w:rsidR="00147071">
        <w:rPr>
          <w:sz w:val="22"/>
          <w:szCs w:val="22"/>
          <w:lang w:val="bg-BG"/>
        </w:rPr>
        <w:t xml:space="preserve"> </w:t>
      </w:r>
      <w:r w:rsidRPr="00BC513A">
        <w:rPr>
          <w:sz w:val="22"/>
          <w:szCs w:val="22"/>
          <w:lang w:val="bg-BG"/>
        </w:rPr>
        <w:t>членки към предизвикателствата, свързани с икономическата и финансова криза в третото изменение на програмата е добавен допълнителен бюджет от 36,83 млн. евро (от които 3,68 млн. евро национално съфинансиране) за 2009 и 2010 г. Средствата са насочени към дейностите по ос 1 и ос 3 на ПРСР, свързани с управлението на водите (56% от средствата), възобновяемата енергия (35%) и преструктуриране на млечния сектор (9%). Допълнителните средства по ЕПИВ са взети предвид при всички изчисления.</w:t>
      </w:r>
    </w:p>
    <w:p w14:paraId="1F3DD074" w14:textId="30FB901A"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Окончателният договорен бюджет на ПРСР 2007-2013 е представен в таблица 10 и показва разделението между ЕЗФРСР, националния принос и очаквания принос на частния сектор. Данните за приноса на частния сектор са взети от последната 16-та модификация на бюджета на програма, в която очаквания</w:t>
      </w:r>
      <w:r w:rsidR="00147071">
        <w:rPr>
          <w:sz w:val="22"/>
          <w:szCs w:val="22"/>
          <w:lang w:val="bg-BG"/>
        </w:rPr>
        <w:t>т</w:t>
      </w:r>
      <w:r w:rsidRPr="00BC513A">
        <w:rPr>
          <w:sz w:val="22"/>
          <w:szCs w:val="22"/>
          <w:lang w:val="bg-BG"/>
        </w:rPr>
        <w:t xml:space="preserve"> принос е намален с 8,9% спрямо предварителния бюджет.</w:t>
      </w:r>
    </w:p>
    <w:p w14:paraId="2172B487"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60" w:name="_Toc504136182"/>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10</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Окончателен одобрен бюджет (в евро)*</w:t>
      </w:r>
      <w:bookmarkEnd w:id="60"/>
    </w:p>
    <w:tbl>
      <w:tblPr>
        <w:tblW w:w="9356" w:type="dxa"/>
        <w:tblInd w:w="-5" w:type="dxa"/>
        <w:tblCellMar>
          <w:left w:w="70" w:type="dxa"/>
          <w:right w:w="70" w:type="dxa"/>
        </w:tblCellMar>
        <w:tblLook w:val="04A0" w:firstRow="1" w:lastRow="0" w:firstColumn="1" w:lastColumn="0" w:noHBand="0" w:noVBand="1"/>
      </w:tblPr>
      <w:tblGrid>
        <w:gridCol w:w="993"/>
        <w:gridCol w:w="1417"/>
        <w:gridCol w:w="1701"/>
        <w:gridCol w:w="1276"/>
        <w:gridCol w:w="1417"/>
        <w:gridCol w:w="1276"/>
        <w:gridCol w:w="1276"/>
      </w:tblGrid>
      <w:tr w:rsidR="00E8617E" w:rsidRPr="00BC513A" w14:paraId="36CCF36A" w14:textId="77777777" w:rsidTr="00922731">
        <w:trPr>
          <w:trHeight w:val="300"/>
          <w:tblHeader/>
        </w:trPr>
        <w:tc>
          <w:tcPr>
            <w:tcW w:w="993" w:type="dxa"/>
            <w:vMerge w:val="restart"/>
            <w:tcBorders>
              <w:top w:val="single" w:sz="4" w:space="0" w:color="auto"/>
              <w:left w:val="single" w:sz="4" w:space="0" w:color="auto"/>
              <w:right w:val="single" w:sz="4" w:space="0" w:color="auto"/>
            </w:tcBorders>
            <w:shd w:val="clear" w:color="auto" w:fill="1F4E79" w:themeFill="accent1" w:themeFillShade="80"/>
            <w:noWrap/>
            <w:vAlign w:val="center"/>
            <w:hideMark/>
          </w:tcPr>
          <w:p w14:paraId="48847656" w14:textId="242C20AD" w:rsidR="00E8617E" w:rsidRPr="00BC513A" w:rsidRDefault="00E8617E" w:rsidP="00AB2B2B">
            <w:pPr>
              <w:spacing w:after="0" w:line="240" w:lineRule="auto"/>
              <w:jc w:val="center"/>
              <w:rPr>
                <w:rFonts w:ascii="Arial" w:eastAsia="Times New Roman" w:hAnsi="Arial" w:cs="Arial"/>
                <w:b/>
                <w:color w:val="FFFFFF" w:themeColor="background1"/>
                <w:sz w:val="18"/>
                <w:szCs w:val="18"/>
                <w:lang w:eastAsia="bg-BG"/>
              </w:rPr>
            </w:pPr>
            <w:r w:rsidRPr="00BC513A">
              <w:rPr>
                <w:rFonts w:ascii="Arial" w:eastAsia="Times New Roman" w:hAnsi="Arial" w:cs="Arial"/>
                <w:b/>
                <w:color w:val="FFFFFF" w:themeColor="background1"/>
                <w:sz w:val="18"/>
                <w:szCs w:val="18"/>
                <w:lang w:eastAsia="bg-BG"/>
              </w:rPr>
              <w:t>О</w:t>
            </w:r>
            <w:r w:rsidR="00AB2B2B">
              <w:rPr>
                <w:rFonts w:ascii="Arial" w:eastAsia="Times New Roman" w:hAnsi="Arial" w:cs="Arial"/>
                <w:b/>
                <w:color w:val="FFFFFF" w:themeColor="background1"/>
                <w:sz w:val="18"/>
                <w:szCs w:val="18"/>
                <w:lang w:eastAsia="bg-BG"/>
              </w:rPr>
              <w:t>с</w:t>
            </w:r>
          </w:p>
        </w:tc>
        <w:tc>
          <w:tcPr>
            <w:tcW w:w="1417" w:type="dxa"/>
            <w:vMerge w:val="restart"/>
            <w:tcBorders>
              <w:top w:val="single" w:sz="4" w:space="0" w:color="auto"/>
              <w:left w:val="nil"/>
              <w:right w:val="single" w:sz="4" w:space="0" w:color="auto"/>
            </w:tcBorders>
            <w:shd w:val="clear" w:color="auto" w:fill="1F4E79" w:themeFill="accent1" w:themeFillShade="80"/>
            <w:noWrap/>
            <w:vAlign w:val="center"/>
            <w:hideMark/>
          </w:tcPr>
          <w:p w14:paraId="1CBC8C2C" w14:textId="77777777" w:rsidR="00E8617E" w:rsidRPr="00BC513A" w:rsidRDefault="00E8617E" w:rsidP="00922731">
            <w:pPr>
              <w:spacing w:after="0" w:line="240" w:lineRule="auto"/>
              <w:jc w:val="center"/>
              <w:rPr>
                <w:rFonts w:ascii="Arial" w:eastAsia="Times New Roman" w:hAnsi="Arial" w:cs="Arial"/>
                <w:b/>
                <w:color w:val="FFFFFF" w:themeColor="background1"/>
                <w:sz w:val="18"/>
                <w:szCs w:val="18"/>
                <w:lang w:eastAsia="bg-BG"/>
              </w:rPr>
            </w:pPr>
            <w:r w:rsidRPr="00BC513A">
              <w:rPr>
                <w:rFonts w:ascii="Arial" w:eastAsia="Times New Roman" w:hAnsi="Arial" w:cs="Arial"/>
                <w:b/>
                <w:color w:val="FFFFFF" w:themeColor="background1"/>
                <w:sz w:val="18"/>
                <w:szCs w:val="18"/>
                <w:lang w:eastAsia="bg-BG"/>
              </w:rPr>
              <w:t>Общ Бюджет</w:t>
            </w:r>
          </w:p>
        </w:tc>
        <w:tc>
          <w:tcPr>
            <w:tcW w:w="4394" w:type="dxa"/>
            <w:gridSpan w:val="3"/>
            <w:tcBorders>
              <w:top w:val="single" w:sz="4" w:space="0" w:color="auto"/>
              <w:left w:val="nil"/>
              <w:bottom w:val="single" w:sz="4" w:space="0" w:color="auto"/>
              <w:right w:val="single" w:sz="4" w:space="0" w:color="auto"/>
            </w:tcBorders>
            <w:shd w:val="clear" w:color="auto" w:fill="1F4E79" w:themeFill="accent1" w:themeFillShade="80"/>
            <w:noWrap/>
            <w:vAlign w:val="center"/>
            <w:hideMark/>
          </w:tcPr>
          <w:p w14:paraId="085A400A" w14:textId="77777777" w:rsidR="00E8617E" w:rsidRPr="00BC513A" w:rsidRDefault="00E8617E" w:rsidP="00922731">
            <w:pPr>
              <w:spacing w:after="0" w:line="240" w:lineRule="auto"/>
              <w:jc w:val="center"/>
              <w:rPr>
                <w:rFonts w:ascii="Arial" w:eastAsia="Times New Roman" w:hAnsi="Arial" w:cs="Arial"/>
                <w:b/>
                <w:color w:val="FFFFFF" w:themeColor="background1"/>
                <w:sz w:val="18"/>
                <w:szCs w:val="18"/>
                <w:lang w:eastAsia="bg-BG"/>
              </w:rPr>
            </w:pPr>
            <w:r w:rsidRPr="00BC513A">
              <w:rPr>
                <w:rFonts w:ascii="Arial" w:eastAsia="Times New Roman" w:hAnsi="Arial" w:cs="Arial"/>
                <w:b/>
                <w:color w:val="FFFFFF" w:themeColor="background1"/>
                <w:sz w:val="18"/>
                <w:szCs w:val="18"/>
                <w:lang w:eastAsia="bg-BG"/>
              </w:rPr>
              <w:t>Бюджет на публичния сектор</w:t>
            </w:r>
          </w:p>
        </w:tc>
        <w:tc>
          <w:tcPr>
            <w:tcW w:w="1276" w:type="dxa"/>
            <w:vMerge w:val="restart"/>
            <w:tcBorders>
              <w:top w:val="single" w:sz="4" w:space="0" w:color="auto"/>
              <w:left w:val="single" w:sz="4" w:space="0" w:color="auto"/>
              <w:right w:val="single" w:sz="4" w:space="0" w:color="auto"/>
            </w:tcBorders>
            <w:shd w:val="clear" w:color="auto" w:fill="1F4E79" w:themeFill="accent1" w:themeFillShade="80"/>
            <w:noWrap/>
            <w:vAlign w:val="center"/>
            <w:hideMark/>
          </w:tcPr>
          <w:p w14:paraId="09578120" w14:textId="77777777" w:rsidR="00E8617E" w:rsidRPr="00BC513A" w:rsidRDefault="00E8617E" w:rsidP="00922731">
            <w:pPr>
              <w:spacing w:after="0" w:line="240" w:lineRule="auto"/>
              <w:jc w:val="center"/>
              <w:rPr>
                <w:rFonts w:ascii="Arial" w:eastAsia="Times New Roman" w:hAnsi="Arial" w:cs="Arial"/>
                <w:b/>
                <w:color w:val="FFFFFF" w:themeColor="background1"/>
                <w:sz w:val="18"/>
                <w:szCs w:val="18"/>
                <w:lang w:eastAsia="bg-BG"/>
              </w:rPr>
            </w:pPr>
            <w:r w:rsidRPr="00BC513A">
              <w:rPr>
                <w:rFonts w:ascii="Arial" w:eastAsia="Times New Roman" w:hAnsi="Arial" w:cs="Arial"/>
                <w:b/>
                <w:color w:val="FFFFFF" w:themeColor="background1"/>
                <w:sz w:val="18"/>
                <w:szCs w:val="18"/>
                <w:lang w:eastAsia="bg-BG"/>
              </w:rPr>
              <w:t xml:space="preserve">Частни </w:t>
            </w:r>
            <w:r w:rsidRPr="00BC513A">
              <w:rPr>
                <w:rFonts w:ascii="Arial" w:eastAsia="Times New Roman" w:hAnsi="Arial" w:cs="Arial"/>
                <w:b/>
                <w:color w:val="FFFFFF" w:themeColor="background1"/>
                <w:sz w:val="18"/>
                <w:szCs w:val="18"/>
                <w:lang w:eastAsia="bg-BG"/>
              </w:rPr>
              <w:lastRenderedPageBreak/>
              <w:t>разходи</w:t>
            </w:r>
          </w:p>
        </w:tc>
        <w:tc>
          <w:tcPr>
            <w:tcW w:w="1276" w:type="dxa"/>
            <w:vMerge w:val="restart"/>
            <w:tcBorders>
              <w:top w:val="single" w:sz="4" w:space="0" w:color="auto"/>
              <w:left w:val="single" w:sz="4" w:space="0" w:color="auto"/>
              <w:right w:val="single" w:sz="4" w:space="0" w:color="auto"/>
            </w:tcBorders>
            <w:shd w:val="clear" w:color="auto" w:fill="1F4E79" w:themeFill="accent1" w:themeFillShade="80"/>
            <w:vAlign w:val="center"/>
            <w:hideMark/>
          </w:tcPr>
          <w:p w14:paraId="7D0152A8" w14:textId="77777777" w:rsidR="00E8617E" w:rsidRPr="00BC513A" w:rsidRDefault="00E8617E" w:rsidP="00922731">
            <w:pPr>
              <w:spacing w:after="0" w:line="240" w:lineRule="auto"/>
              <w:jc w:val="center"/>
              <w:rPr>
                <w:rFonts w:ascii="Arial" w:eastAsia="Times New Roman" w:hAnsi="Arial" w:cs="Arial"/>
                <w:b/>
                <w:color w:val="FFFFFF" w:themeColor="background1"/>
                <w:sz w:val="18"/>
                <w:szCs w:val="18"/>
                <w:lang w:eastAsia="bg-BG"/>
              </w:rPr>
            </w:pPr>
            <w:r w:rsidRPr="00BC513A">
              <w:rPr>
                <w:rFonts w:ascii="Arial" w:eastAsia="Times New Roman" w:hAnsi="Arial" w:cs="Arial"/>
                <w:b/>
                <w:color w:val="FFFFFF" w:themeColor="background1"/>
                <w:sz w:val="18"/>
                <w:szCs w:val="18"/>
                <w:lang w:eastAsia="bg-BG"/>
              </w:rPr>
              <w:lastRenderedPageBreak/>
              <w:t xml:space="preserve">Принос на </w:t>
            </w:r>
            <w:r w:rsidRPr="00BC513A">
              <w:rPr>
                <w:rFonts w:ascii="Arial" w:eastAsia="Times New Roman" w:hAnsi="Arial" w:cs="Arial"/>
                <w:b/>
                <w:color w:val="FFFFFF" w:themeColor="background1"/>
                <w:sz w:val="18"/>
                <w:szCs w:val="18"/>
                <w:lang w:eastAsia="bg-BG"/>
              </w:rPr>
              <w:lastRenderedPageBreak/>
              <w:t>частните разходи (%) в общия бюджет</w:t>
            </w:r>
          </w:p>
        </w:tc>
      </w:tr>
      <w:tr w:rsidR="00E8617E" w:rsidRPr="00BC513A" w14:paraId="4A4C3FB0" w14:textId="77777777" w:rsidTr="00BC7D66">
        <w:trPr>
          <w:trHeight w:val="720"/>
          <w:tblHeader/>
        </w:trPr>
        <w:tc>
          <w:tcPr>
            <w:tcW w:w="993" w:type="dxa"/>
            <w:vMerge/>
            <w:tcBorders>
              <w:left w:val="single" w:sz="4" w:space="0" w:color="auto"/>
              <w:bottom w:val="single" w:sz="4" w:space="0" w:color="auto"/>
              <w:right w:val="single" w:sz="4" w:space="0" w:color="auto"/>
            </w:tcBorders>
            <w:shd w:val="clear" w:color="auto" w:fill="auto"/>
            <w:noWrap/>
            <w:vAlign w:val="bottom"/>
            <w:hideMark/>
          </w:tcPr>
          <w:p w14:paraId="6FA2F110" w14:textId="77777777" w:rsidR="00E8617E" w:rsidRPr="00BC513A" w:rsidRDefault="00E8617E" w:rsidP="00922731">
            <w:pPr>
              <w:spacing w:after="0" w:line="240" w:lineRule="auto"/>
              <w:rPr>
                <w:rFonts w:ascii="Arial" w:eastAsia="Times New Roman" w:hAnsi="Arial" w:cs="Arial"/>
                <w:color w:val="000000"/>
                <w:sz w:val="18"/>
                <w:szCs w:val="18"/>
                <w:lang w:eastAsia="bg-BG"/>
              </w:rPr>
            </w:pPr>
          </w:p>
        </w:tc>
        <w:tc>
          <w:tcPr>
            <w:tcW w:w="1417" w:type="dxa"/>
            <w:vMerge/>
            <w:tcBorders>
              <w:left w:val="nil"/>
              <w:bottom w:val="single" w:sz="4" w:space="0" w:color="auto"/>
              <w:right w:val="single" w:sz="4" w:space="0" w:color="auto"/>
            </w:tcBorders>
            <w:shd w:val="clear" w:color="auto" w:fill="auto"/>
            <w:noWrap/>
            <w:vAlign w:val="bottom"/>
            <w:hideMark/>
          </w:tcPr>
          <w:p w14:paraId="5906DE8F" w14:textId="77777777" w:rsidR="00E8617E" w:rsidRPr="00BC513A" w:rsidRDefault="00E8617E" w:rsidP="00922731">
            <w:pPr>
              <w:spacing w:after="0" w:line="240" w:lineRule="auto"/>
              <w:rPr>
                <w:rFonts w:ascii="Arial" w:eastAsia="Times New Roman" w:hAnsi="Arial" w:cs="Arial"/>
                <w:color w:val="000000"/>
                <w:sz w:val="18"/>
                <w:szCs w:val="18"/>
                <w:lang w:eastAsia="bg-BG"/>
              </w:rPr>
            </w:pPr>
          </w:p>
        </w:tc>
        <w:tc>
          <w:tcPr>
            <w:tcW w:w="1701" w:type="dxa"/>
            <w:tcBorders>
              <w:top w:val="nil"/>
              <w:left w:val="nil"/>
              <w:bottom w:val="single" w:sz="4" w:space="0" w:color="auto"/>
              <w:right w:val="single" w:sz="4" w:space="0" w:color="auto"/>
            </w:tcBorders>
            <w:shd w:val="clear" w:color="auto" w:fill="1F4E79" w:themeFill="accent1" w:themeFillShade="80"/>
            <w:noWrap/>
            <w:vAlign w:val="center"/>
            <w:hideMark/>
          </w:tcPr>
          <w:p w14:paraId="7794F594" w14:textId="77777777" w:rsidR="00E8617E" w:rsidRPr="00BC513A" w:rsidRDefault="00E8617E" w:rsidP="00922731">
            <w:pPr>
              <w:spacing w:after="0" w:line="240" w:lineRule="auto"/>
              <w:jc w:val="center"/>
              <w:rPr>
                <w:rFonts w:ascii="Arial" w:eastAsia="Times New Roman" w:hAnsi="Arial" w:cs="Arial"/>
                <w:b/>
                <w:color w:val="FFFFFF" w:themeColor="background1"/>
                <w:sz w:val="18"/>
                <w:szCs w:val="18"/>
                <w:lang w:eastAsia="bg-BG"/>
              </w:rPr>
            </w:pPr>
            <w:r w:rsidRPr="00BC513A">
              <w:rPr>
                <w:rFonts w:ascii="Arial" w:eastAsia="Times New Roman" w:hAnsi="Arial" w:cs="Arial"/>
                <w:b/>
                <w:color w:val="FFFFFF" w:themeColor="background1"/>
                <w:sz w:val="18"/>
                <w:szCs w:val="18"/>
                <w:lang w:eastAsia="bg-BG"/>
              </w:rPr>
              <w:t>Средства по ЕЗФРСР</w:t>
            </w:r>
          </w:p>
        </w:tc>
        <w:tc>
          <w:tcPr>
            <w:tcW w:w="1276" w:type="dxa"/>
            <w:tcBorders>
              <w:top w:val="nil"/>
              <w:left w:val="nil"/>
              <w:bottom w:val="single" w:sz="4" w:space="0" w:color="auto"/>
              <w:right w:val="single" w:sz="4" w:space="0" w:color="auto"/>
            </w:tcBorders>
            <w:shd w:val="clear" w:color="auto" w:fill="1F4E79" w:themeFill="accent1" w:themeFillShade="80"/>
            <w:noWrap/>
            <w:vAlign w:val="center"/>
            <w:hideMark/>
          </w:tcPr>
          <w:p w14:paraId="289E229B" w14:textId="77777777" w:rsidR="00E8617E" w:rsidRPr="00BC513A" w:rsidRDefault="00E8617E" w:rsidP="00922731">
            <w:pPr>
              <w:spacing w:after="0" w:line="240" w:lineRule="auto"/>
              <w:jc w:val="center"/>
              <w:rPr>
                <w:rFonts w:ascii="Arial" w:eastAsia="Times New Roman" w:hAnsi="Arial" w:cs="Arial"/>
                <w:b/>
                <w:color w:val="FFFFFF" w:themeColor="background1"/>
                <w:sz w:val="18"/>
                <w:szCs w:val="18"/>
                <w:lang w:eastAsia="bg-BG"/>
              </w:rPr>
            </w:pPr>
            <w:r w:rsidRPr="00BC513A">
              <w:rPr>
                <w:rFonts w:ascii="Arial" w:eastAsia="Times New Roman" w:hAnsi="Arial" w:cs="Arial"/>
                <w:b/>
                <w:color w:val="FFFFFF" w:themeColor="background1"/>
                <w:sz w:val="18"/>
                <w:szCs w:val="18"/>
                <w:lang w:eastAsia="bg-BG"/>
              </w:rPr>
              <w:t>Принос на ЕЗФРСР (%)</w:t>
            </w:r>
          </w:p>
        </w:tc>
        <w:tc>
          <w:tcPr>
            <w:tcW w:w="1417" w:type="dxa"/>
            <w:tcBorders>
              <w:top w:val="nil"/>
              <w:left w:val="nil"/>
              <w:bottom w:val="single" w:sz="4" w:space="0" w:color="auto"/>
              <w:right w:val="single" w:sz="4" w:space="0" w:color="auto"/>
            </w:tcBorders>
            <w:shd w:val="clear" w:color="auto" w:fill="1F4E79" w:themeFill="accent1" w:themeFillShade="80"/>
            <w:noWrap/>
            <w:vAlign w:val="center"/>
            <w:hideMark/>
          </w:tcPr>
          <w:p w14:paraId="55A26741" w14:textId="77777777" w:rsidR="00E8617E" w:rsidRPr="00BC513A" w:rsidRDefault="00E8617E" w:rsidP="00922731">
            <w:pPr>
              <w:spacing w:after="0" w:line="240" w:lineRule="auto"/>
              <w:jc w:val="center"/>
              <w:rPr>
                <w:rFonts w:ascii="Arial" w:eastAsia="Times New Roman" w:hAnsi="Arial" w:cs="Arial"/>
                <w:b/>
                <w:color w:val="FFFFFF" w:themeColor="background1"/>
                <w:sz w:val="18"/>
                <w:szCs w:val="18"/>
                <w:lang w:eastAsia="bg-BG"/>
              </w:rPr>
            </w:pPr>
            <w:r w:rsidRPr="00BC513A">
              <w:rPr>
                <w:rFonts w:ascii="Arial" w:eastAsia="Times New Roman" w:hAnsi="Arial" w:cs="Arial"/>
                <w:b/>
                <w:color w:val="FFFFFF" w:themeColor="background1"/>
                <w:sz w:val="18"/>
                <w:szCs w:val="18"/>
                <w:lang w:eastAsia="bg-BG"/>
              </w:rPr>
              <w:t>Публични разходи</w:t>
            </w:r>
          </w:p>
        </w:tc>
        <w:tc>
          <w:tcPr>
            <w:tcW w:w="1276" w:type="dxa"/>
            <w:vMerge/>
            <w:tcBorders>
              <w:left w:val="single" w:sz="4" w:space="0" w:color="auto"/>
              <w:bottom w:val="single" w:sz="4" w:space="0" w:color="auto"/>
              <w:right w:val="single" w:sz="4" w:space="0" w:color="auto"/>
            </w:tcBorders>
            <w:vAlign w:val="center"/>
            <w:hideMark/>
          </w:tcPr>
          <w:p w14:paraId="52600560" w14:textId="77777777" w:rsidR="00E8617E" w:rsidRPr="00BC513A" w:rsidRDefault="00E8617E" w:rsidP="00922731">
            <w:pPr>
              <w:spacing w:after="0" w:line="240" w:lineRule="auto"/>
              <w:rPr>
                <w:rFonts w:ascii="Arial" w:eastAsia="Times New Roman" w:hAnsi="Arial" w:cs="Arial"/>
                <w:b/>
                <w:color w:val="000000"/>
                <w:sz w:val="18"/>
                <w:szCs w:val="18"/>
                <w:lang w:eastAsia="bg-BG"/>
              </w:rPr>
            </w:pPr>
          </w:p>
        </w:tc>
        <w:tc>
          <w:tcPr>
            <w:tcW w:w="1276" w:type="dxa"/>
            <w:vMerge/>
            <w:tcBorders>
              <w:left w:val="single" w:sz="4" w:space="0" w:color="auto"/>
              <w:bottom w:val="single" w:sz="4" w:space="0" w:color="auto"/>
              <w:right w:val="single" w:sz="4" w:space="0" w:color="auto"/>
            </w:tcBorders>
            <w:vAlign w:val="center"/>
            <w:hideMark/>
          </w:tcPr>
          <w:p w14:paraId="48BB08C5" w14:textId="77777777" w:rsidR="00E8617E" w:rsidRPr="00BC513A" w:rsidRDefault="00E8617E" w:rsidP="00922731">
            <w:pPr>
              <w:spacing w:after="0" w:line="240" w:lineRule="auto"/>
              <w:rPr>
                <w:rFonts w:ascii="Arial" w:eastAsia="Times New Roman" w:hAnsi="Arial" w:cs="Arial"/>
                <w:b/>
                <w:color w:val="000000"/>
                <w:sz w:val="18"/>
                <w:szCs w:val="18"/>
                <w:lang w:eastAsia="bg-BG"/>
              </w:rPr>
            </w:pPr>
          </w:p>
        </w:tc>
      </w:tr>
      <w:tr w:rsidR="00E8617E" w:rsidRPr="00BC513A" w14:paraId="6CB3CACA" w14:textId="77777777" w:rsidTr="00922731">
        <w:trPr>
          <w:trHeight w:val="122"/>
          <w:tblHeader/>
        </w:trPr>
        <w:tc>
          <w:tcPr>
            <w:tcW w:w="9356" w:type="dxa"/>
            <w:gridSpan w:val="7"/>
            <w:tcBorders>
              <w:top w:val="nil"/>
              <w:left w:val="single" w:sz="4" w:space="0" w:color="auto"/>
              <w:bottom w:val="single" w:sz="4" w:space="0" w:color="auto"/>
              <w:right w:val="single" w:sz="4" w:space="0" w:color="auto"/>
            </w:tcBorders>
            <w:shd w:val="clear" w:color="auto" w:fill="auto"/>
            <w:noWrap/>
            <w:vAlign w:val="bottom"/>
            <w:hideMark/>
          </w:tcPr>
          <w:p w14:paraId="6A341FC5" w14:textId="77777777" w:rsidR="00E8617E" w:rsidRPr="00BC513A" w:rsidRDefault="00E8617E" w:rsidP="00922731">
            <w:pPr>
              <w:spacing w:after="0" w:line="240" w:lineRule="auto"/>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lastRenderedPageBreak/>
              <w:t> </w:t>
            </w:r>
          </w:p>
        </w:tc>
      </w:tr>
      <w:tr w:rsidR="00E8617E" w:rsidRPr="00BC513A" w14:paraId="342C8D38" w14:textId="77777777" w:rsidTr="00BC7D66">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48779BBF"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w:t>
            </w:r>
          </w:p>
        </w:tc>
        <w:tc>
          <w:tcPr>
            <w:tcW w:w="1417" w:type="dxa"/>
            <w:tcBorders>
              <w:top w:val="nil"/>
              <w:left w:val="nil"/>
              <w:bottom w:val="single" w:sz="4" w:space="0" w:color="auto"/>
              <w:right w:val="single" w:sz="4" w:space="0" w:color="auto"/>
            </w:tcBorders>
            <w:shd w:val="clear" w:color="auto" w:fill="auto"/>
            <w:noWrap/>
            <w:vAlign w:val="center"/>
            <w:hideMark/>
          </w:tcPr>
          <w:p w14:paraId="2F9ECBAC"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1 628 464 491</w:t>
            </w:r>
          </w:p>
        </w:tc>
        <w:tc>
          <w:tcPr>
            <w:tcW w:w="1701" w:type="dxa"/>
            <w:tcBorders>
              <w:top w:val="nil"/>
              <w:left w:val="nil"/>
              <w:bottom w:val="single" w:sz="4" w:space="0" w:color="auto"/>
              <w:right w:val="single" w:sz="4" w:space="0" w:color="auto"/>
            </w:tcBorders>
            <w:shd w:val="clear" w:color="auto" w:fill="auto"/>
            <w:noWrap/>
            <w:vAlign w:val="center"/>
            <w:hideMark/>
          </w:tcPr>
          <w:p w14:paraId="79F864CA"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744 630 006</w:t>
            </w:r>
          </w:p>
        </w:tc>
        <w:tc>
          <w:tcPr>
            <w:tcW w:w="1276" w:type="dxa"/>
            <w:tcBorders>
              <w:top w:val="nil"/>
              <w:left w:val="nil"/>
              <w:bottom w:val="single" w:sz="4" w:space="0" w:color="auto"/>
              <w:right w:val="single" w:sz="4" w:space="0" w:color="auto"/>
            </w:tcBorders>
            <w:shd w:val="clear" w:color="auto" w:fill="auto"/>
            <w:noWrap/>
            <w:vAlign w:val="center"/>
            <w:hideMark/>
          </w:tcPr>
          <w:p w14:paraId="493F9B62"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80,10%</w:t>
            </w:r>
          </w:p>
        </w:tc>
        <w:tc>
          <w:tcPr>
            <w:tcW w:w="1417" w:type="dxa"/>
            <w:tcBorders>
              <w:top w:val="nil"/>
              <w:left w:val="nil"/>
              <w:bottom w:val="single" w:sz="4" w:space="0" w:color="auto"/>
              <w:right w:val="single" w:sz="4" w:space="0" w:color="auto"/>
            </w:tcBorders>
            <w:shd w:val="clear" w:color="auto" w:fill="auto"/>
            <w:noWrap/>
            <w:vAlign w:val="center"/>
            <w:hideMark/>
          </w:tcPr>
          <w:p w14:paraId="2838DE23"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929 636 465</w:t>
            </w:r>
          </w:p>
        </w:tc>
        <w:tc>
          <w:tcPr>
            <w:tcW w:w="1276" w:type="dxa"/>
            <w:tcBorders>
              <w:top w:val="nil"/>
              <w:left w:val="nil"/>
              <w:bottom w:val="single" w:sz="4" w:space="0" w:color="auto"/>
              <w:right w:val="single" w:sz="4" w:space="0" w:color="auto"/>
            </w:tcBorders>
            <w:shd w:val="clear" w:color="auto" w:fill="auto"/>
            <w:noWrap/>
            <w:vAlign w:val="center"/>
            <w:hideMark/>
          </w:tcPr>
          <w:p w14:paraId="28AEAEE5"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698 828 026</w:t>
            </w:r>
          </w:p>
        </w:tc>
        <w:tc>
          <w:tcPr>
            <w:tcW w:w="1276" w:type="dxa"/>
            <w:tcBorders>
              <w:top w:val="nil"/>
              <w:left w:val="nil"/>
              <w:bottom w:val="single" w:sz="4" w:space="0" w:color="auto"/>
              <w:right w:val="single" w:sz="4" w:space="0" w:color="auto"/>
            </w:tcBorders>
            <w:shd w:val="clear" w:color="auto" w:fill="auto"/>
            <w:noWrap/>
            <w:vAlign w:val="center"/>
            <w:hideMark/>
          </w:tcPr>
          <w:p w14:paraId="50785A49"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42,91%</w:t>
            </w:r>
          </w:p>
        </w:tc>
      </w:tr>
      <w:tr w:rsidR="00E8617E" w:rsidRPr="00BC513A" w14:paraId="109492CD" w14:textId="77777777" w:rsidTr="00BC7D66">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C3269FF"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2</w:t>
            </w:r>
          </w:p>
        </w:tc>
        <w:tc>
          <w:tcPr>
            <w:tcW w:w="1417" w:type="dxa"/>
            <w:tcBorders>
              <w:top w:val="nil"/>
              <w:left w:val="nil"/>
              <w:bottom w:val="single" w:sz="4" w:space="0" w:color="auto"/>
              <w:right w:val="single" w:sz="4" w:space="0" w:color="auto"/>
            </w:tcBorders>
            <w:shd w:val="clear" w:color="auto" w:fill="auto"/>
            <w:noWrap/>
            <w:vAlign w:val="center"/>
            <w:hideMark/>
          </w:tcPr>
          <w:p w14:paraId="25192E82"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752 522 238</w:t>
            </w:r>
          </w:p>
        </w:tc>
        <w:tc>
          <w:tcPr>
            <w:tcW w:w="1701" w:type="dxa"/>
            <w:tcBorders>
              <w:top w:val="nil"/>
              <w:left w:val="nil"/>
              <w:bottom w:val="single" w:sz="4" w:space="0" w:color="auto"/>
              <w:right w:val="single" w:sz="4" w:space="0" w:color="auto"/>
            </w:tcBorders>
            <w:shd w:val="clear" w:color="auto" w:fill="auto"/>
            <w:noWrap/>
            <w:vAlign w:val="center"/>
            <w:hideMark/>
          </w:tcPr>
          <w:p w14:paraId="521A0705"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615 930 000</w:t>
            </w:r>
          </w:p>
        </w:tc>
        <w:tc>
          <w:tcPr>
            <w:tcW w:w="1276" w:type="dxa"/>
            <w:tcBorders>
              <w:top w:val="nil"/>
              <w:left w:val="nil"/>
              <w:bottom w:val="single" w:sz="4" w:space="0" w:color="auto"/>
              <w:right w:val="single" w:sz="4" w:space="0" w:color="auto"/>
            </w:tcBorders>
            <w:shd w:val="clear" w:color="auto" w:fill="auto"/>
            <w:noWrap/>
            <w:vAlign w:val="center"/>
            <w:hideMark/>
          </w:tcPr>
          <w:p w14:paraId="4B8C23D5"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82,00%</w:t>
            </w:r>
          </w:p>
        </w:tc>
        <w:tc>
          <w:tcPr>
            <w:tcW w:w="1417" w:type="dxa"/>
            <w:tcBorders>
              <w:top w:val="nil"/>
              <w:left w:val="nil"/>
              <w:bottom w:val="single" w:sz="4" w:space="0" w:color="auto"/>
              <w:right w:val="single" w:sz="4" w:space="0" w:color="auto"/>
            </w:tcBorders>
            <w:shd w:val="clear" w:color="auto" w:fill="auto"/>
            <w:noWrap/>
            <w:vAlign w:val="center"/>
            <w:hideMark/>
          </w:tcPr>
          <w:p w14:paraId="5A477420"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751 134 146</w:t>
            </w:r>
          </w:p>
        </w:tc>
        <w:tc>
          <w:tcPr>
            <w:tcW w:w="1276" w:type="dxa"/>
            <w:tcBorders>
              <w:top w:val="nil"/>
              <w:left w:val="nil"/>
              <w:bottom w:val="single" w:sz="4" w:space="0" w:color="auto"/>
              <w:right w:val="single" w:sz="4" w:space="0" w:color="auto"/>
            </w:tcBorders>
            <w:shd w:val="clear" w:color="auto" w:fill="auto"/>
            <w:noWrap/>
            <w:vAlign w:val="center"/>
            <w:hideMark/>
          </w:tcPr>
          <w:p w14:paraId="023ECFFD"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1 388 092</w:t>
            </w:r>
          </w:p>
        </w:tc>
        <w:tc>
          <w:tcPr>
            <w:tcW w:w="1276" w:type="dxa"/>
            <w:tcBorders>
              <w:top w:val="nil"/>
              <w:left w:val="nil"/>
              <w:bottom w:val="single" w:sz="4" w:space="0" w:color="auto"/>
              <w:right w:val="single" w:sz="4" w:space="0" w:color="auto"/>
            </w:tcBorders>
            <w:shd w:val="clear" w:color="auto" w:fill="auto"/>
            <w:noWrap/>
            <w:vAlign w:val="center"/>
            <w:hideMark/>
          </w:tcPr>
          <w:p w14:paraId="3EBDC0A7"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0,18%</w:t>
            </w:r>
          </w:p>
        </w:tc>
      </w:tr>
      <w:tr w:rsidR="00E8617E" w:rsidRPr="00BC513A" w14:paraId="67878092" w14:textId="77777777" w:rsidTr="00BC7D66">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2ED07B92"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3</w:t>
            </w:r>
          </w:p>
        </w:tc>
        <w:tc>
          <w:tcPr>
            <w:tcW w:w="1417" w:type="dxa"/>
            <w:tcBorders>
              <w:top w:val="nil"/>
              <w:left w:val="nil"/>
              <w:bottom w:val="single" w:sz="4" w:space="0" w:color="auto"/>
              <w:right w:val="single" w:sz="4" w:space="0" w:color="auto"/>
            </w:tcBorders>
            <w:shd w:val="clear" w:color="auto" w:fill="auto"/>
            <w:noWrap/>
            <w:vAlign w:val="center"/>
            <w:hideMark/>
          </w:tcPr>
          <w:p w14:paraId="0F215341"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1 402 367 420</w:t>
            </w:r>
          </w:p>
        </w:tc>
        <w:tc>
          <w:tcPr>
            <w:tcW w:w="1701" w:type="dxa"/>
            <w:tcBorders>
              <w:top w:val="nil"/>
              <w:left w:val="nil"/>
              <w:bottom w:val="single" w:sz="4" w:space="0" w:color="auto"/>
              <w:right w:val="single" w:sz="4" w:space="0" w:color="auto"/>
            </w:tcBorders>
            <w:shd w:val="clear" w:color="auto" w:fill="auto"/>
            <w:noWrap/>
            <w:vAlign w:val="center"/>
            <w:hideMark/>
          </w:tcPr>
          <w:p w14:paraId="0C839578"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942 881 165</w:t>
            </w:r>
          </w:p>
        </w:tc>
        <w:tc>
          <w:tcPr>
            <w:tcW w:w="1276" w:type="dxa"/>
            <w:tcBorders>
              <w:top w:val="nil"/>
              <w:left w:val="nil"/>
              <w:bottom w:val="single" w:sz="4" w:space="0" w:color="auto"/>
              <w:right w:val="single" w:sz="4" w:space="0" w:color="auto"/>
            </w:tcBorders>
            <w:shd w:val="clear" w:color="auto" w:fill="auto"/>
            <w:noWrap/>
            <w:vAlign w:val="center"/>
            <w:hideMark/>
          </w:tcPr>
          <w:p w14:paraId="2F09E08E"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80,24%</w:t>
            </w:r>
          </w:p>
        </w:tc>
        <w:tc>
          <w:tcPr>
            <w:tcW w:w="1417" w:type="dxa"/>
            <w:tcBorders>
              <w:top w:val="nil"/>
              <w:left w:val="nil"/>
              <w:bottom w:val="single" w:sz="4" w:space="0" w:color="auto"/>
              <w:right w:val="single" w:sz="4" w:space="0" w:color="auto"/>
            </w:tcBorders>
            <w:shd w:val="clear" w:color="auto" w:fill="auto"/>
            <w:noWrap/>
            <w:vAlign w:val="center"/>
            <w:hideMark/>
          </w:tcPr>
          <w:p w14:paraId="28F877C3"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1 175 148 331</w:t>
            </w:r>
          </w:p>
        </w:tc>
        <w:tc>
          <w:tcPr>
            <w:tcW w:w="1276" w:type="dxa"/>
            <w:tcBorders>
              <w:top w:val="nil"/>
              <w:left w:val="nil"/>
              <w:bottom w:val="single" w:sz="4" w:space="0" w:color="auto"/>
              <w:right w:val="single" w:sz="4" w:space="0" w:color="auto"/>
            </w:tcBorders>
            <w:shd w:val="clear" w:color="auto" w:fill="auto"/>
            <w:noWrap/>
            <w:vAlign w:val="center"/>
            <w:hideMark/>
          </w:tcPr>
          <w:p w14:paraId="5F1734F3"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227 219 089</w:t>
            </w:r>
          </w:p>
        </w:tc>
        <w:tc>
          <w:tcPr>
            <w:tcW w:w="1276" w:type="dxa"/>
            <w:tcBorders>
              <w:top w:val="nil"/>
              <w:left w:val="nil"/>
              <w:bottom w:val="single" w:sz="4" w:space="0" w:color="auto"/>
              <w:right w:val="single" w:sz="4" w:space="0" w:color="auto"/>
            </w:tcBorders>
            <w:shd w:val="clear" w:color="auto" w:fill="auto"/>
            <w:noWrap/>
            <w:vAlign w:val="center"/>
            <w:hideMark/>
          </w:tcPr>
          <w:p w14:paraId="18574890"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16,20%</w:t>
            </w:r>
          </w:p>
        </w:tc>
      </w:tr>
      <w:tr w:rsidR="00E8617E" w:rsidRPr="00BC513A" w14:paraId="750D952D" w14:textId="77777777" w:rsidTr="00BC7D66">
        <w:trPr>
          <w:trHeight w:val="300"/>
        </w:trPr>
        <w:tc>
          <w:tcPr>
            <w:tcW w:w="993" w:type="dxa"/>
            <w:tcBorders>
              <w:top w:val="nil"/>
              <w:left w:val="single" w:sz="4" w:space="0" w:color="auto"/>
              <w:bottom w:val="single" w:sz="4" w:space="0" w:color="auto"/>
              <w:right w:val="single" w:sz="4" w:space="0" w:color="auto"/>
            </w:tcBorders>
            <w:shd w:val="clear" w:color="auto" w:fill="auto"/>
            <w:noWrap/>
            <w:vAlign w:val="bottom"/>
            <w:hideMark/>
          </w:tcPr>
          <w:p w14:paraId="545C4D16"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4</w:t>
            </w:r>
          </w:p>
        </w:tc>
        <w:tc>
          <w:tcPr>
            <w:tcW w:w="1417" w:type="dxa"/>
            <w:tcBorders>
              <w:top w:val="nil"/>
              <w:left w:val="nil"/>
              <w:bottom w:val="single" w:sz="4" w:space="0" w:color="auto"/>
              <w:right w:val="single" w:sz="4" w:space="0" w:color="auto"/>
            </w:tcBorders>
            <w:shd w:val="clear" w:color="auto" w:fill="auto"/>
            <w:noWrap/>
            <w:vAlign w:val="center"/>
            <w:hideMark/>
          </w:tcPr>
          <w:p w14:paraId="74061BFB"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70 211 861</w:t>
            </w:r>
          </w:p>
        </w:tc>
        <w:tc>
          <w:tcPr>
            <w:tcW w:w="1701" w:type="dxa"/>
            <w:tcBorders>
              <w:top w:val="nil"/>
              <w:left w:val="nil"/>
              <w:bottom w:val="single" w:sz="4" w:space="0" w:color="auto"/>
              <w:right w:val="single" w:sz="4" w:space="0" w:color="auto"/>
            </w:tcBorders>
            <w:shd w:val="clear" w:color="auto" w:fill="auto"/>
            <w:noWrap/>
            <w:vAlign w:val="center"/>
            <w:hideMark/>
          </w:tcPr>
          <w:p w14:paraId="296C67F8"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42 710 000</w:t>
            </w:r>
          </w:p>
        </w:tc>
        <w:tc>
          <w:tcPr>
            <w:tcW w:w="1276" w:type="dxa"/>
            <w:tcBorders>
              <w:top w:val="nil"/>
              <w:left w:val="nil"/>
              <w:bottom w:val="single" w:sz="4" w:space="0" w:color="auto"/>
              <w:right w:val="single" w:sz="4" w:space="0" w:color="auto"/>
            </w:tcBorders>
            <w:shd w:val="clear" w:color="auto" w:fill="auto"/>
            <w:noWrap/>
            <w:vAlign w:val="center"/>
            <w:hideMark/>
          </w:tcPr>
          <w:p w14:paraId="3EDD4B44"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80,00%</w:t>
            </w:r>
          </w:p>
        </w:tc>
        <w:tc>
          <w:tcPr>
            <w:tcW w:w="1417" w:type="dxa"/>
            <w:tcBorders>
              <w:top w:val="nil"/>
              <w:left w:val="nil"/>
              <w:bottom w:val="single" w:sz="4" w:space="0" w:color="auto"/>
              <w:right w:val="single" w:sz="4" w:space="0" w:color="auto"/>
            </w:tcBorders>
            <w:shd w:val="clear" w:color="auto" w:fill="auto"/>
            <w:noWrap/>
            <w:vAlign w:val="center"/>
            <w:hideMark/>
          </w:tcPr>
          <w:p w14:paraId="4A9D560E"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53 387 500</w:t>
            </w:r>
          </w:p>
        </w:tc>
        <w:tc>
          <w:tcPr>
            <w:tcW w:w="1276" w:type="dxa"/>
            <w:tcBorders>
              <w:top w:val="nil"/>
              <w:left w:val="nil"/>
              <w:bottom w:val="single" w:sz="4" w:space="0" w:color="auto"/>
              <w:right w:val="single" w:sz="4" w:space="0" w:color="auto"/>
            </w:tcBorders>
            <w:shd w:val="clear" w:color="auto" w:fill="auto"/>
            <w:noWrap/>
            <w:vAlign w:val="center"/>
            <w:hideMark/>
          </w:tcPr>
          <w:p w14:paraId="10FB3593"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16 824 361</w:t>
            </w:r>
          </w:p>
        </w:tc>
        <w:tc>
          <w:tcPr>
            <w:tcW w:w="1276" w:type="dxa"/>
            <w:tcBorders>
              <w:top w:val="nil"/>
              <w:left w:val="nil"/>
              <w:bottom w:val="single" w:sz="4" w:space="0" w:color="auto"/>
              <w:right w:val="single" w:sz="4" w:space="0" w:color="auto"/>
            </w:tcBorders>
            <w:shd w:val="clear" w:color="auto" w:fill="auto"/>
            <w:noWrap/>
            <w:vAlign w:val="center"/>
            <w:hideMark/>
          </w:tcPr>
          <w:p w14:paraId="1042FDC1"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23,96%</w:t>
            </w:r>
          </w:p>
        </w:tc>
      </w:tr>
      <w:tr w:rsidR="00E8617E" w:rsidRPr="00BC513A" w14:paraId="752AC436" w14:textId="77777777" w:rsidTr="00922731">
        <w:trPr>
          <w:trHeight w:val="73"/>
        </w:trPr>
        <w:tc>
          <w:tcPr>
            <w:tcW w:w="9356" w:type="dxa"/>
            <w:gridSpan w:val="7"/>
            <w:tcBorders>
              <w:top w:val="nil"/>
              <w:left w:val="single" w:sz="4" w:space="0" w:color="auto"/>
              <w:bottom w:val="single" w:sz="4" w:space="0" w:color="auto"/>
              <w:right w:val="single" w:sz="4" w:space="0" w:color="auto"/>
            </w:tcBorders>
            <w:shd w:val="clear" w:color="auto" w:fill="auto"/>
            <w:noWrap/>
            <w:vAlign w:val="bottom"/>
          </w:tcPr>
          <w:p w14:paraId="2520C4CD"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513A" w14:paraId="23183A94" w14:textId="77777777" w:rsidTr="00BC7D66">
        <w:trPr>
          <w:trHeight w:val="300"/>
        </w:trPr>
        <w:tc>
          <w:tcPr>
            <w:tcW w:w="993" w:type="dxa"/>
            <w:tcBorders>
              <w:top w:val="nil"/>
              <w:left w:val="single" w:sz="4" w:space="0" w:color="auto"/>
              <w:bottom w:val="single" w:sz="4" w:space="0" w:color="auto"/>
              <w:right w:val="single" w:sz="4" w:space="0" w:color="auto"/>
            </w:tcBorders>
            <w:shd w:val="clear" w:color="auto" w:fill="DEEAF6" w:themeFill="accent1" w:themeFillTint="33"/>
            <w:noWrap/>
            <w:vAlign w:val="bottom"/>
            <w:hideMark/>
          </w:tcPr>
          <w:p w14:paraId="04B6405C" w14:textId="0F8DD1A9" w:rsidR="00E8617E" w:rsidRPr="00BC513A" w:rsidRDefault="00E8617E" w:rsidP="00AB2B2B">
            <w:pPr>
              <w:spacing w:after="0" w:line="240" w:lineRule="auto"/>
              <w:rPr>
                <w:rFonts w:ascii="Arial" w:eastAsia="Times New Roman" w:hAnsi="Arial" w:cs="Arial"/>
                <w:b/>
                <w:bCs/>
                <w:color w:val="000000"/>
                <w:sz w:val="18"/>
                <w:szCs w:val="18"/>
                <w:lang w:eastAsia="bg-BG"/>
              </w:rPr>
            </w:pPr>
            <w:r w:rsidRPr="00BC513A">
              <w:rPr>
                <w:rFonts w:ascii="Arial" w:eastAsia="Times New Roman" w:hAnsi="Arial" w:cs="Arial"/>
                <w:b/>
                <w:bCs/>
                <w:color w:val="000000"/>
                <w:sz w:val="18"/>
                <w:szCs w:val="18"/>
                <w:lang w:eastAsia="bg-BG"/>
              </w:rPr>
              <w:t>ОБЩО О</w:t>
            </w:r>
            <w:r w:rsidR="00AB2B2B">
              <w:rPr>
                <w:rFonts w:ascii="Arial" w:eastAsia="Times New Roman" w:hAnsi="Arial" w:cs="Arial"/>
                <w:b/>
                <w:bCs/>
                <w:color w:val="000000"/>
                <w:sz w:val="18"/>
                <w:szCs w:val="18"/>
                <w:lang w:eastAsia="bg-BG"/>
              </w:rPr>
              <w:t>с</w:t>
            </w:r>
            <w:r w:rsidRPr="00BC513A">
              <w:rPr>
                <w:rFonts w:ascii="Arial" w:eastAsia="Times New Roman" w:hAnsi="Arial" w:cs="Arial"/>
                <w:b/>
                <w:bCs/>
                <w:color w:val="000000"/>
                <w:sz w:val="18"/>
                <w:szCs w:val="18"/>
                <w:lang w:eastAsia="bg-BG"/>
              </w:rPr>
              <w:t xml:space="preserve"> 1,2,3 и 4</w:t>
            </w:r>
          </w:p>
        </w:tc>
        <w:tc>
          <w:tcPr>
            <w:tcW w:w="1417" w:type="dxa"/>
            <w:tcBorders>
              <w:top w:val="nil"/>
              <w:left w:val="nil"/>
              <w:bottom w:val="single" w:sz="4" w:space="0" w:color="auto"/>
              <w:right w:val="single" w:sz="4" w:space="0" w:color="auto"/>
            </w:tcBorders>
            <w:shd w:val="clear" w:color="auto" w:fill="DEEAF6" w:themeFill="accent1" w:themeFillTint="33"/>
            <w:noWrap/>
            <w:vAlign w:val="center"/>
            <w:hideMark/>
          </w:tcPr>
          <w:p w14:paraId="5ECFBCE5" w14:textId="77777777" w:rsidR="00E8617E" w:rsidRPr="00BC513A" w:rsidRDefault="00E8617E" w:rsidP="00922731">
            <w:pPr>
              <w:spacing w:after="0" w:line="240" w:lineRule="auto"/>
              <w:jc w:val="center"/>
              <w:rPr>
                <w:rFonts w:ascii="Arial" w:eastAsia="Times New Roman" w:hAnsi="Arial" w:cs="Arial"/>
                <w:b/>
                <w:bCs/>
                <w:color w:val="000000"/>
                <w:sz w:val="18"/>
                <w:szCs w:val="18"/>
                <w:lang w:eastAsia="bg-BG"/>
              </w:rPr>
            </w:pPr>
            <w:r w:rsidRPr="00BC513A">
              <w:rPr>
                <w:rFonts w:ascii="Arial" w:eastAsia="Times New Roman" w:hAnsi="Arial" w:cs="Arial"/>
                <w:b/>
                <w:bCs/>
                <w:color w:val="000000"/>
                <w:sz w:val="18"/>
                <w:szCs w:val="18"/>
                <w:lang w:eastAsia="bg-BG"/>
              </w:rPr>
              <w:t>3 853 566 011</w:t>
            </w:r>
          </w:p>
        </w:tc>
        <w:tc>
          <w:tcPr>
            <w:tcW w:w="1701" w:type="dxa"/>
            <w:tcBorders>
              <w:top w:val="nil"/>
              <w:left w:val="nil"/>
              <w:bottom w:val="single" w:sz="4" w:space="0" w:color="auto"/>
              <w:right w:val="single" w:sz="4" w:space="0" w:color="auto"/>
            </w:tcBorders>
            <w:shd w:val="clear" w:color="auto" w:fill="DEEAF6" w:themeFill="accent1" w:themeFillTint="33"/>
            <w:noWrap/>
            <w:vAlign w:val="center"/>
            <w:hideMark/>
          </w:tcPr>
          <w:p w14:paraId="628E953A" w14:textId="77777777" w:rsidR="00E8617E" w:rsidRPr="00BC513A" w:rsidRDefault="00E8617E" w:rsidP="00922731">
            <w:pPr>
              <w:spacing w:after="0" w:line="240" w:lineRule="auto"/>
              <w:jc w:val="center"/>
              <w:rPr>
                <w:rFonts w:ascii="Arial" w:eastAsia="Times New Roman" w:hAnsi="Arial" w:cs="Arial"/>
                <w:b/>
                <w:bCs/>
                <w:color w:val="000000"/>
                <w:sz w:val="18"/>
                <w:szCs w:val="18"/>
                <w:lang w:eastAsia="bg-BG"/>
              </w:rPr>
            </w:pPr>
            <w:r w:rsidRPr="00BC513A">
              <w:rPr>
                <w:rFonts w:ascii="Arial" w:eastAsia="Times New Roman" w:hAnsi="Arial" w:cs="Arial"/>
                <w:b/>
                <w:bCs/>
                <w:color w:val="000000"/>
                <w:sz w:val="18"/>
                <w:szCs w:val="18"/>
                <w:lang w:eastAsia="bg-BG"/>
              </w:rPr>
              <w:t>2 346 151 171</w:t>
            </w:r>
          </w:p>
        </w:tc>
        <w:tc>
          <w:tcPr>
            <w:tcW w:w="1276" w:type="dxa"/>
            <w:tcBorders>
              <w:top w:val="nil"/>
              <w:left w:val="nil"/>
              <w:bottom w:val="single" w:sz="4" w:space="0" w:color="auto"/>
              <w:right w:val="single" w:sz="4" w:space="0" w:color="auto"/>
            </w:tcBorders>
            <w:shd w:val="clear" w:color="auto" w:fill="DEEAF6" w:themeFill="accent1" w:themeFillTint="33"/>
            <w:noWrap/>
            <w:vAlign w:val="center"/>
            <w:hideMark/>
          </w:tcPr>
          <w:p w14:paraId="12FFAB76" w14:textId="77777777" w:rsidR="00E8617E" w:rsidRPr="00BC513A" w:rsidRDefault="00E8617E" w:rsidP="00922731">
            <w:pPr>
              <w:spacing w:after="0" w:line="240" w:lineRule="auto"/>
              <w:jc w:val="center"/>
              <w:rPr>
                <w:rFonts w:ascii="Arial" w:eastAsia="Times New Roman" w:hAnsi="Arial" w:cs="Arial"/>
                <w:b/>
                <w:bCs/>
                <w:color w:val="000000"/>
                <w:sz w:val="18"/>
                <w:szCs w:val="18"/>
                <w:lang w:eastAsia="bg-BG"/>
              </w:rPr>
            </w:pPr>
            <w:r w:rsidRPr="00BC513A">
              <w:rPr>
                <w:rFonts w:ascii="Arial" w:eastAsia="Times New Roman" w:hAnsi="Arial" w:cs="Arial"/>
                <w:b/>
                <w:bCs/>
                <w:color w:val="000000"/>
                <w:sz w:val="18"/>
                <w:szCs w:val="18"/>
                <w:lang w:eastAsia="bg-BG"/>
              </w:rPr>
              <w:t>80,64%</w:t>
            </w:r>
          </w:p>
        </w:tc>
        <w:tc>
          <w:tcPr>
            <w:tcW w:w="1417" w:type="dxa"/>
            <w:tcBorders>
              <w:top w:val="nil"/>
              <w:left w:val="nil"/>
              <w:bottom w:val="single" w:sz="4" w:space="0" w:color="auto"/>
              <w:right w:val="single" w:sz="4" w:space="0" w:color="auto"/>
            </w:tcBorders>
            <w:shd w:val="clear" w:color="auto" w:fill="DEEAF6" w:themeFill="accent1" w:themeFillTint="33"/>
            <w:noWrap/>
            <w:vAlign w:val="center"/>
            <w:hideMark/>
          </w:tcPr>
          <w:p w14:paraId="75619C17" w14:textId="77777777" w:rsidR="00E8617E" w:rsidRPr="00BC513A" w:rsidRDefault="00E8617E" w:rsidP="00922731">
            <w:pPr>
              <w:spacing w:after="0" w:line="240" w:lineRule="auto"/>
              <w:jc w:val="center"/>
              <w:rPr>
                <w:rFonts w:ascii="Arial" w:eastAsia="Times New Roman" w:hAnsi="Arial" w:cs="Arial"/>
                <w:b/>
                <w:bCs/>
                <w:color w:val="000000"/>
                <w:sz w:val="18"/>
                <w:szCs w:val="18"/>
                <w:lang w:eastAsia="bg-BG"/>
              </w:rPr>
            </w:pPr>
            <w:r w:rsidRPr="00BC513A">
              <w:rPr>
                <w:rFonts w:ascii="Arial" w:eastAsia="Times New Roman" w:hAnsi="Arial" w:cs="Arial"/>
                <w:b/>
                <w:bCs/>
                <w:color w:val="000000"/>
                <w:sz w:val="18"/>
                <w:szCs w:val="18"/>
                <w:lang w:eastAsia="bg-BG"/>
              </w:rPr>
              <w:t>2 909 306 443</w:t>
            </w:r>
          </w:p>
        </w:tc>
        <w:tc>
          <w:tcPr>
            <w:tcW w:w="1276" w:type="dxa"/>
            <w:tcBorders>
              <w:top w:val="nil"/>
              <w:left w:val="nil"/>
              <w:bottom w:val="single" w:sz="4" w:space="0" w:color="auto"/>
              <w:right w:val="single" w:sz="4" w:space="0" w:color="auto"/>
            </w:tcBorders>
            <w:shd w:val="clear" w:color="auto" w:fill="DEEAF6" w:themeFill="accent1" w:themeFillTint="33"/>
            <w:noWrap/>
            <w:vAlign w:val="center"/>
            <w:hideMark/>
          </w:tcPr>
          <w:p w14:paraId="3CAE1079" w14:textId="77777777" w:rsidR="00E8617E" w:rsidRPr="00BC513A" w:rsidRDefault="00E8617E" w:rsidP="00922731">
            <w:pPr>
              <w:spacing w:after="0" w:line="240" w:lineRule="auto"/>
              <w:jc w:val="center"/>
              <w:rPr>
                <w:rFonts w:ascii="Arial" w:eastAsia="Times New Roman" w:hAnsi="Arial" w:cs="Arial"/>
                <w:b/>
                <w:bCs/>
                <w:color w:val="000000"/>
                <w:sz w:val="18"/>
                <w:szCs w:val="18"/>
                <w:lang w:eastAsia="bg-BG"/>
              </w:rPr>
            </w:pPr>
            <w:r w:rsidRPr="00BC513A">
              <w:rPr>
                <w:rFonts w:ascii="Arial" w:eastAsia="Times New Roman" w:hAnsi="Arial" w:cs="Arial"/>
                <w:b/>
                <w:bCs/>
                <w:color w:val="000000"/>
                <w:sz w:val="18"/>
                <w:szCs w:val="18"/>
                <w:lang w:eastAsia="bg-BG"/>
              </w:rPr>
              <w:t>944 259 568</w:t>
            </w:r>
          </w:p>
        </w:tc>
        <w:tc>
          <w:tcPr>
            <w:tcW w:w="1276" w:type="dxa"/>
            <w:tcBorders>
              <w:top w:val="nil"/>
              <w:left w:val="nil"/>
              <w:bottom w:val="single" w:sz="4" w:space="0" w:color="auto"/>
              <w:right w:val="single" w:sz="4" w:space="0" w:color="auto"/>
            </w:tcBorders>
            <w:shd w:val="clear" w:color="auto" w:fill="DEEAF6" w:themeFill="accent1" w:themeFillTint="33"/>
            <w:noWrap/>
            <w:vAlign w:val="center"/>
            <w:hideMark/>
          </w:tcPr>
          <w:p w14:paraId="7CBABE02" w14:textId="77777777" w:rsidR="00E8617E" w:rsidRPr="00BC513A" w:rsidRDefault="00E8617E" w:rsidP="00922731">
            <w:pPr>
              <w:spacing w:after="0" w:line="240" w:lineRule="auto"/>
              <w:jc w:val="center"/>
              <w:rPr>
                <w:rFonts w:ascii="Arial" w:eastAsia="Times New Roman" w:hAnsi="Arial" w:cs="Arial"/>
                <w:b/>
                <w:bCs/>
                <w:color w:val="000000"/>
                <w:sz w:val="18"/>
                <w:szCs w:val="18"/>
                <w:lang w:eastAsia="bg-BG"/>
              </w:rPr>
            </w:pPr>
            <w:r w:rsidRPr="00BC513A">
              <w:rPr>
                <w:rFonts w:ascii="Arial" w:eastAsia="Times New Roman" w:hAnsi="Arial" w:cs="Arial"/>
                <w:b/>
                <w:bCs/>
                <w:color w:val="000000"/>
                <w:sz w:val="18"/>
                <w:szCs w:val="18"/>
                <w:lang w:eastAsia="bg-BG"/>
              </w:rPr>
              <w:t>24,50%</w:t>
            </w:r>
          </w:p>
        </w:tc>
      </w:tr>
      <w:tr w:rsidR="00E8617E" w:rsidRPr="00BC513A" w14:paraId="6609DF8B" w14:textId="77777777" w:rsidTr="00BC7D66">
        <w:trPr>
          <w:trHeight w:val="304"/>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738C1050" w14:textId="77777777" w:rsidR="00E8617E" w:rsidRPr="00BC513A" w:rsidRDefault="00E8617E" w:rsidP="00922731">
            <w:pPr>
              <w:spacing w:after="0" w:line="240" w:lineRule="auto"/>
              <w:rPr>
                <w:rFonts w:ascii="Arial" w:eastAsia="Times New Roman" w:hAnsi="Arial" w:cs="Arial"/>
                <w:bCs/>
                <w:sz w:val="18"/>
                <w:szCs w:val="18"/>
                <w:lang w:eastAsia="bg-BG"/>
              </w:rPr>
            </w:pPr>
            <w:r w:rsidRPr="00BC513A">
              <w:rPr>
                <w:rFonts w:ascii="Arial" w:eastAsia="Times New Roman" w:hAnsi="Arial" w:cs="Arial"/>
                <w:bCs/>
                <w:sz w:val="18"/>
                <w:szCs w:val="18"/>
                <w:lang w:eastAsia="bg-BG"/>
              </w:rPr>
              <w:t xml:space="preserve">511** </w:t>
            </w:r>
          </w:p>
        </w:tc>
        <w:tc>
          <w:tcPr>
            <w:tcW w:w="1417" w:type="dxa"/>
            <w:tcBorders>
              <w:top w:val="nil"/>
              <w:left w:val="nil"/>
              <w:bottom w:val="single" w:sz="4" w:space="0" w:color="auto"/>
              <w:right w:val="single" w:sz="4" w:space="0" w:color="auto"/>
            </w:tcBorders>
            <w:shd w:val="clear" w:color="auto" w:fill="auto"/>
            <w:noWrap/>
            <w:vAlign w:val="center"/>
            <w:hideMark/>
          </w:tcPr>
          <w:p w14:paraId="5F5AB104"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39 125 000</w:t>
            </w:r>
          </w:p>
        </w:tc>
        <w:tc>
          <w:tcPr>
            <w:tcW w:w="1701" w:type="dxa"/>
            <w:tcBorders>
              <w:top w:val="nil"/>
              <w:left w:val="nil"/>
              <w:bottom w:val="single" w:sz="4" w:space="0" w:color="auto"/>
              <w:right w:val="single" w:sz="4" w:space="0" w:color="auto"/>
            </w:tcBorders>
            <w:shd w:val="clear" w:color="auto" w:fill="auto"/>
            <w:noWrap/>
            <w:vAlign w:val="center"/>
            <w:hideMark/>
          </w:tcPr>
          <w:p w14:paraId="3545CC48"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31 300 000</w:t>
            </w:r>
          </w:p>
        </w:tc>
        <w:tc>
          <w:tcPr>
            <w:tcW w:w="1276" w:type="dxa"/>
            <w:tcBorders>
              <w:top w:val="nil"/>
              <w:left w:val="nil"/>
              <w:bottom w:val="single" w:sz="4" w:space="0" w:color="auto"/>
              <w:right w:val="single" w:sz="4" w:space="0" w:color="auto"/>
            </w:tcBorders>
            <w:shd w:val="clear" w:color="auto" w:fill="auto"/>
            <w:noWrap/>
            <w:vAlign w:val="center"/>
            <w:hideMark/>
          </w:tcPr>
          <w:p w14:paraId="51BABA3A"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80,00%</w:t>
            </w:r>
          </w:p>
        </w:tc>
        <w:tc>
          <w:tcPr>
            <w:tcW w:w="1417" w:type="dxa"/>
            <w:tcBorders>
              <w:top w:val="nil"/>
              <w:left w:val="nil"/>
              <w:bottom w:val="single" w:sz="4" w:space="0" w:color="auto"/>
              <w:right w:val="single" w:sz="4" w:space="0" w:color="auto"/>
            </w:tcBorders>
            <w:shd w:val="clear" w:color="auto" w:fill="auto"/>
            <w:noWrap/>
            <w:vAlign w:val="center"/>
            <w:hideMark/>
          </w:tcPr>
          <w:p w14:paraId="03871545"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39 125 000</w:t>
            </w:r>
          </w:p>
        </w:tc>
        <w:tc>
          <w:tcPr>
            <w:tcW w:w="1276" w:type="dxa"/>
            <w:tcBorders>
              <w:top w:val="nil"/>
              <w:left w:val="nil"/>
              <w:bottom w:val="single" w:sz="4" w:space="0" w:color="auto"/>
              <w:right w:val="single" w:sz="4" w:space="0" w:color="auto"/>
            </w:tcBorders>
            <w:shd w:val="clear" w:color="auto" w:fill="auto"/>
            <w:noWrap/>
            <w:vAlign w:val="center"/>
            <w:hideMark/>
          </w:tcPr>
          <w:p w14:paraId="7047B581"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0</w:t>
            </w:r>
          </w:p>
        </w:tc>
        <w:tc>
          <w:tcPr>
            <w:tcW w:w="1276" w:type="dxa"/>
            <w:tcBorders>
              <w:top w:val="nil"/>
              <w:left w:val="nil"/>
              <w:bottom w:val="single" w:sz="4" w:space="0" w:color="auto"/>
              <w:right w:val="single" w:sz="4" w:space="0" w:color="auto"/>
            </w:tcBorders>
            <w:shd w:val="clear" w:color="auto" w:fill="auto"/>
            <w:noWrap/>
            <w:vAlign w:val="center"/>
            <w:hideMark/>
          </w:tcPr>
          <w:p w14:paraId="0A0B13F9"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0,00%</w:t>
            </w:r>
          </w:p>
        </w:tc>
      </w:tr>
      <w:tr w:rsidR="00E8617E" w:rsidRPr="00BC513A" w14:paraId="22C1CB69" w14:textId="77777777" w:rsidTr="00BC7D66">
        <w:trPr>
          <w:trHeight w:val="368"/>
        </w:trPr>
        <w:tc>
          <w:tcPr>
            <w:tcW w:w="993" w:type="dxa"/>
            <w:tcBorders>
              <w:top w:val="nil"/>
              <w:left w:val="single" w:sz="4" w:space="0" w:color="auto"/>
              <w:bottom w:val="single" w:sz="4" w:space="0" w:color="auto"/>
              <w:right w:val="single" w:sz="4" w:space="0" w:color="auto"/>
            </w:tcBorders>
            <w:shd w:val="clear" w:color="auto" w:fill="auto"/>
            <w:vAlign w:val="center"/>
            <w:hideMark/>
          </w:tcPr>
          <w:p w14:paraId="23D1B828" w14:textId="77777777" w:rsidR="00E8617E" w:rsidRPr="00BC513A" w:rsidRDefault="00E8617E" w:rsidP="00922731">
            <w:pPr>
              <w:spacing w:after="0" w:line="240" w:lineRule="auto"/>
              <w:rPr>
                <w:rFonts w:ascii="Arial" w:eastAsia="Times New Roman" w:hAnsi="Arial" w:cs="Arial"/>
                <w:bCs/>
                <w:sz w:val="18"/>
                <w:szCs w:val="18"/>
                <w:lang w:eastAsia="bg-BG"/>
              </w:rPr>
            </w:pPr>
            <w:r w:rsidRPr="00BC513A">
              <w:rPr>
                <w:rFonts w:ascii="Arial" w:eastAsia="Times New Roman" w:hAnsi="Arial" w:cs="Arial"/>
                <w:bCs/>
                <w:sz w:val="18"/>
                <w:szCs w:val="18"/>
                <w:lang w:eastAsia="bg-BG"/>
              </w:rPr>
              <w:t>611***</w:t>
            </w:r>
          </w:p>
        </w:tc>
        <w:tc>
          <w:tcPr>
            <w:tcW w:w="1417" w:type="dxa"/>
            <w:tcBorders>
              <w:top w:val="nil"/>
              <w:left w:val="nil"/>
              <w:bottom w:val="single" w:sz="4" w:space="0" w:color="auto"/>
              <w:right w:val="single" w:sz="4" w:space="0" w:color="auto"/>
            </w:tcBorders>
            <w:shd w:val="clear" w:color="auto" w:fill="auto"/>
            <w:noWrap/>
            <w:vAlign w:val="center"/>
            <w:hideMark/>
          </w:tcPr>
          <w:p w14:paraId="3F929625"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154 232 500</w:t>
            </w:r>
          </w:p>
        </w:tc>
        <w:tc>
          <w:tcPr>
            <w:tcW w:w="1701" w:type="dxa"/>
            <w:tcBorders>
              <w:top w:val="nil"/>
              <w:left w:val="nil"/>
              <w:bottom w:val="single" w:sz="4" w:space="0" w:color="auto"/>
              <w:right w:val="single" w:sz="4" w:space="0" w:color="auto"/>
            </w:tcBorders>
            <w:shd w:val="clear" w:color="auto" w:fill="auto"/>
            <w:noWrap/>
            <w:vAlign w:val="center"/>
            <w:hideMark/>
          </w:tcPr>
          <w:p w14:paraId="7596EB72"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123 386 000</w:t>
            </w:r>
          </w:p>
        </w:tc>
        <w:tc>
          <w:tcPr>
            <w:tcW w:w="1276" w:type="dxa"/>
            <w:tcBorders>
              <w:top w:val="nil"/>
              <w:left w:val="nil"/>
              <w:bottom w:val="single" w:sz="4" w:space="0" w:color="auto"/>
              <w:right w:val="single" w:sz="4" w:space="0" w:color="auto"/>
            </w:tcBorders>
            <w:shd w:val="clear" w:color="auto" w:fill="auto"/>
            <w:noWrap/>
            <w:vAlign w:val="center"/>
            <w:hideMark/>
          </w:tcPr>
          <w:p w14:paraId="39D364BB"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80,00%</w:t>
            </w:r>
          </w:p>
        </w:tc>
        <w:tc>
          <w:tcPr>
            <w:tcW w:w="1417" w:type="dxa"/>
            <w:tcBorders>
              <w:top w:val="nil"/>
              <w:left w:val="nil"/>
              <w:bottom w:val="single" w:sz="4" w:space="0" w:color="auto"/>
              <w:right w:val="single" w:sz="4" w:space="0" w:color="auto"/>
            </w:tcBorders>
            <w:shd w:val="clear" w:color="auto" w:fill="auto"/>
            <w:noWrap/>
            <w:vAlign w:val="center"/>
            <w:hideMark/>
          </w:tcPr>
          <w:p w14:paraId="7DCC3E8F"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154 232 500</w:t>
            </w:r>
          </w:p>
        </w:tc>
        <w:tc>
          <w:tcPr>
            <w:tcW w:w="1276" w:type="dxa"/>
            <w:tcBorders>
              <w:top w:val="nil"/>
              <w:left w:val="nil"/>
              <w:bottom w:val="single" w:sz="4" w:space="0" w:color="auto"/>
              <w:right w:val="single" w:sz="4" w:space="0" w:color="auto"/>
            </w:tcBorders>
            <w:shd w:val="clear" w:color="auto" w:fill="auto"/>
            <w:noWrap/>
            <w:vAlign w:val="center"/>
            <w:hideMark/>
          </w:tcPr>
          <w:p w14:paraId="1F88F1FB"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0</w:t>
            </w:r>
          </w:p>
        </w:tc>
        <w:tc>
          <w:tcPr>
            <w:tcW w:w="1276" w:type="dxa"/>
            <w:tcBorders>
              <w:top w:val="nil"/>
              <w:left w:val="nil"/>
              <w:bottom w:val="single" w:sz="4" w:space="0" w:color="auto"/>
              <w:right w:val="single" w:sz="4" w:space="0" w:color="auto"/>
            </w:tcBorders>
            <w:shd w:val="clear" w:color="auto" w:fill="auto"/>
            <w:noWrap/>
            <w:vAlign w:val="center"/>
            <w:hideMark/>
          </w:tcPr>
          <w:p w14:paraId="63B7F1BD"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0,00%</w:t>
            </w:r>
          </w:p>
        </w:tc>
      </w:tr>
      <w:tr w:rsidR="00E8617E" w:rsidRPr="00BC513A" w14:paraId="001F8E3F" w14:textId="77777777" w:rsidTr="00922731">
        <w:trPr>
          <w:trHeight w:val="73"/>
        </w:trPr>
        <w:tc>
          <w:tcPr>
            <w:tcW w:w="9356" w:type="dxa"/>
            <w:gridSpan w:val="7"/>
            <w:tcBorders>
              <w:top w:val="nil"/>
              <w:left w:val="single" w:sz="4" w:space="0" w:color="auto"/>
              <w:bottom w:val="single" w:sz="4" w:space="0" w:color="auto"/>
              <w:right w:val="single" w:sz="4" w:space="0" w:color="auto"/>
            </w:tcBorders>
            <w:shd w:val="clear" w:color="auto" w:fill="auto"/>
            <w:vAlign w:val="center"/>
          </w:tcPr>
          <w:p w14:paraId="7FA53642"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513A" w14:paraId="0ACF26EB" w14:textId="77777777" w:rsidTr="00BC7D66">
        <w:trPr>
          <w:trHeight w:val="300"/>
        </w:trPr>
        <w:tc>
          <w:tcPr>
            <w:tcW w:w="993"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5A0BB8F"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Общ бюджет</w:t>
            </w:r>
          </w:p>
        </w:tc>
        <w:tc>
          <w:tcPr>
            <w:tcW w:w="1417" w:type="dxa"/>
            <w:tcBorders>
              <w:top w:val="nil"/>
              <w:left w:val="nil"/>
              <w:bottom w:val="single" w:sz="4" w:space="0" w:color="auto"/>
              <w:right w:val="single" w:sz="4" w:space="0" w:color="auto"/>
            </w:tcBorders>
            <w:shd w:val="clear" w:color="auto" w:fill="D9D9D9" w:themeFill="background1" w:themeFillShade="D9"/>
            <w:noWrap/>
            <w:vAlign w:val="center"/>
            <w:hideMark/>
          </w:tcPr>
          <w:p w14:paraId="12485164"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4 046 923 511</w:t>
            </w:r>
          </w:p>
        </w:tc>
        <w:tc>
          <w:tcPr>
            <w:tcW w:w="1701" w:type="dxa"/>
            <w:tcBorders>
              <w:top w:val="nil"/>
              <w:left w:val="nil"/>
              <w:bottom w:val="single" w:sz="4" w:space="0" w:color="auto"/>
              <w:right w:val="single" w:sz="4" w:space="0" w:color="auto"/>
            </w:tcBorders>
            <w:shd w:val="clear" w:color="auto" w:fill="D9D9D9" w:themeFill="background1" w:themeFillShade="D9"/>
            <w:noWrap/>
            <w:vAlign w:val="center"/>
            <w:hideMark/>
          </w:tcPr>
          <w:p w14:paraId="7B673587"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2 500 837 171</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hideMark/>
          </w:tcPr>
          <w:p w14:paraId="417D71D5"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80,60%</w:t>
            </w:r>
          </w:p>
        </w:tc>
        <w:tc>
          <w:tcPr>
            <w:tcW w:w="1417" w:type="dxa"/>
            <w:tcBorders>
              <w:top w:val="nil"/>
              <w:left w:val="nil"/>
              <w:bottom w:val="single" w:sz="4" w:space="0" w:color="auto"/>
              <w:right w:val="single" w:sz="4" w:space="0" w:color="auto"/>
            </w:tcBorders>
            <w:shd w:val="clear" w:color="auto" w:fill="D9D9D9" w:themeFill="background1" w:themeFillShade="D9"/>
            <w:noWrap/>
            <w:vAlign w:val="center"/>
            <w:hideMark/>
          </w:tcPr>
          <w:p w14:paraId="0484C08A"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3 102 663 943</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hideMark/>
          </w:tcPr>
          <w:p w14:paraId="73DB1E89"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944 259 568</w:t>
            </w:r>
          </w:p>
        </w:tc>
        <w:tc>
          <w:tcPr>
            <w:tcW w:w="1276" w:type="dxa"/>
            <w:tcBorders>
              <w:top w:val="nil"/>
              <w:left w:val="nil"/>
              <w:bottom w:val="single" w:sz="4" w:space="0" w:color="auto"/>
              <w:right w:val="single" w:sz="4" w:space="0" w:color="auto"/>
            </w:tcBorders>
            <w:shd w:val="clear" w:color="auto" w:fill="D9D9D9" w:themeFill="background1" w:themeFillShade="D9"/>
            <w:noWrap/>
            <w:vAlign w:val="center"/>
            <w:hideMark/>
          </w:tcPr>
          <w:p w14:paraId="382F54A6"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23,33%</w:t>
            </w:r>
          </w:p>
        </w:tc>
      </w:tr>
    </w:tbl>
    <w:p w14:paraId="4814CB34" w14:textId="77777777" w:rsidR="00E8617E" w:rsidRPr="00BC1A5E" w:rsidRDefault="00E8617E" w:rsidP="00E8617E">
      <w:pPr>
        <w:pStyle w:val="DefaultText"/>
        <w:spacing w:line="240" w:lineRule="auto"/>
        <w:rPr>
          <w:rFonts w:cs="Arial"/>
          <w:szCs w:val="18"/>
          <w:lang w:val="bg-BG"/>
        </w:rPr>
      </w:pPr>
      <w:r w:rsidRPr="00BC1A5E">
        <w:rPr>
          <w:rFonts w:cs="Arial"/>
          <w:szCs w:val="18"/>
          <w:lang w:val="bg-BG"/>
        </w:rPr>
        <w:t xml:space="preserve">Забележка: * Включително ЕПИВ и нестартиралите мерки; ** Техническа помощ *** </w:t>
      </w:r>
      <w:r w:rsidRPr="00BC1A5E">
        <w:rPr>
          <w:rFonts w:cs="Arial"/>
          <w:bCs/>
          <w:szCs w:val="18"/>
          <w:lang w:val="bg-BG" w:eastAsia="bg-BG"/>
        </w:rPr>
        <w:t>Доплащания към директните плащания</w:t>
      </w:r>
    </w:p>
    <w:p w14:paraId="60C46ED1" w14:textId="77777777" w:rsidR="00E8617E" w:rsidRPr="00BC1A5E" w:rsidRDefault="00E8617E" w:rsidP="00E8617E">
      <w:pPr>
        <w:pStyle w:val="DefaultText"/>
        <w:spacing w:line="240" w:lineRule="auto"/>
        <w:rPr>
          <w:rFonts w:cs="Arial"/>
          <w:szCs w:val="18"/>
          <w:lang w:val="bg-BG"/>
        </w:rPr>
      </w:pPr>
      <w:r w:rsidRPr="00BC1A5E">
        <w:rPr>
          <w:rFonts w:cs="Arial"/>
          <w:szCs w:val="18"/>
          <w:lang w:val="bg-BG"/>
        </w:rPr>
        <w:t>Източник: МЗХГ,</w:t>
      </w:r>
      <w:r w:rsidRPr="00BC1A5E">
        <w:rPr>
          <w:szCs w:val="18"/>
          <w:lang w:val="bg-BG"/>
        </w:rPr>
        <w:t xml:space="preserve"> </w:t>
      </w:r>
      <w:r w:rsidRPr="00BC1A5E">
        <w:rPr>
          <w:rFonts w:cs="Arial"/>
          <w:szCs w:val="18"/>
          <w:lang w:val="bg-BG"/>
        </w:rPr>
        <w:t>Шестнадесето изменение на ПРСР (2007-2013г.)  (одобрено на 16 дек.2015) собствени изчисления</w:t>
      </w:r>
    </w:p>
    <w:p w14:paraId="6ADC3B77" w14:textId="77777777" w:rsidR="00E8617E" w:rsidRPr="00BC513A" w:rsidRDefault="00E8617E" w:rsidP="00E8617E">
      <w:pPr>
        <w:pStyle w:val="DefaultText"/>
        <w:spacing w:line="240" w:lineRule="auto"/>
        <w:rPr>
          <w:rFonts w:cs="Arial"/>
          <w:sz w:val="20"/>
          <w:lang w:val="bg-BG"/>
        </w:rPr>
      </w:pPr>
    </w:p>
    <w:p w14:paraId="1DE22185" w14:textId="74E75F35"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С осмото изменение на ПРСР 2007-2013 г. е създаден Гаранционен фонд, който е учреден като отделен финансов блок в рамките на „Национален гаранционен фонд” ЕАД (част от Българска </w:t>
      </w:r>
      <w:r w:rsidR="00147071">
        <w:rPr>
          <w:sz w:val="22"/>
          <w:szCs w:val="22"/>
          <w:lang w:val="bg-BG"/>
        </w:rPr>
        <w:t>б</w:t>
      </w:r>
      <w:r w:rsidRPr="00BC513A">
        <w:rPr>
          <w:sz w:val="22"/>
          <w:szCs w:val="22"/>
          <w:lang w:val="bg-BG"/>
        </w:rPr>
        <w:t xml:space="preserve">анка за </w:t>
      </w:r>
      <w:r w:rsidR="00147071">
        <w:rPr>
          <w:sz w:val="22"/>
          <w:szCs w:val="22"/>
          <w:lang w:val="bg-BG"/>
        </w:rPr>
        <w:t>р</w:t>
      </w:r>
      <w:r w:rsidRPr="00BC513A">
        <w:rPr>
          <w:sz w:val="22"/>
          <w:szCs w:val="22"/>
          <w:lang w:val="bg-BG"/>
        </w:rPr>
        <w:t xml:space="preserve">азвитие). Капиталът на фонда е в размер на </w:t>
      </w:r>
      <w:r w:rsidR="00147071">
        <w:rPr>
          <w:sz w:val="22"/>
          <w:szCs w:val="22"/>
          <w:lang w:val="bg-BG"/>
        </w:rPr>
        <w:t xml:space="preserve">                   </w:t>
      </w:r>
      <w:r w:rsidRPr="00BC513A">
        <w:rPr>
          <w:sz w:val="22"/>
          <w:szCs w:val="22"/>
          <w:lang w:val="bg-BG"/>
        </w:rPr>
        <w:t>121 100 000 евро, от които приносът на ЕЗФРСР е в размер на 96 880 000 евро, а националният принос е в размер на 24 220 000 евро. Основната цел на фонда е да осигури издаването на гаранции за допълване на обезпечението по заеми на предприятията по смисъла на Закона за МСП, за проекти по ПРСР, съфинансирани по мярка 121, мярка 122 и мярка 123, без предоставяне на „гаранции за авансово плащане“ на бенефициенти с одобрени проекти по посочените мерки.</w:t>
      </w:r>
    </w:p>
    <w:p w14:paraId="072CA457" w14:textId="0A6351A2"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До края на 2014 г. чрез Гаранционния фонд са подкрепени над 400 малки и средни фирми с общ размер на заемите с гаранция в размер на 188 млн. лева. С</w:t>
      </w:r>
      <w:r w:rsidR="0018283D">
        <w:rPr>
          <w:sz w:val="22"/>
          <w:szCs w:val="22"/>
          <w:lang w:val="bg-BG"/>
        </w:rPr>
        <w:t xml:space="preserve">            </w:t>
      </w:r>
      <w:r w:rsidRPr="00BC513A">
        <w:rPr>
          <w:sz w:val="22"/>
          <w:szCs w:val="22"/>
          <w:lang w:val="bg-BG"/>
        </w:rPr>
        <w:t xml:space="preserve"> 14</w:t>
      </w:r>
      <w:r w:rsidR="0018283D">
        <w:rPr>
          <w:sz w:val="22"/>
          <w:szCs w:val="22"/>
          <w:lang w:val="bg-BG"/>
        </w:rPr>
        <w:t>-</w:t>
      </w:r>
      <w:r w:rsidRPr="00BC513A">
        <w:rPr>
          <w:sz w:val="22"/>
          <w:szCs w:val="22"/>
          <w:lang w:val="bg-BG"/>
        </w:rPr>
        <w:t>тото изменение на ПРСР 2007-2013 се осъществява частична декапитализация на фонда и пренасочване на средства в размер на 89 млн. евро от бюджета на гаранционната схема. Намалението на капитала на фонда е базирано на постигнатите към момента резултати по гаранционната схема и направеният анализ за необходимия капитал за осигуряване на гаранции по оставащите за реализация проекти по трите мерки на ПРСР.</w:t>
      </w:r>
    </w:p>
    <w:p w14:paraId="56A959D9" w14:textId="77777777"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Таблица 11 по-долу илюстрира промените в общия публичен принос на ПРСР на първоначалния бюджет спрямо окончателния одобрен бюджет и действителните разходи. Таблици 12 и 13 показват разпределението между ЕЗФРСР и националния принос.</w:t>
      </w:r>
    </w:p>
    <w:p w14:paraId="39E8B52C" w14:textId="77777777" w:rsidR="00E8617E" w:rsidRPr="00BC513A" w:rsidRDefault="00E8617E" w:rsidP="00E8617E">
      <w:pPr>
        <w:pStyle w:val="Caption"/>
        <w:keepNext/>
        <w:spacing w:before="120" w:after="120"/>
        <w:rPr>
          <w:rFonts w:ascii="Arial" w:hAnsi="Arial" w:cs="Arial"/>
          <w:b/>
          <w:i w:val="0"/>
          <w:color w:val="0070C0"/>
          <w:sz w:val="20"/>
          <w:szCs w:val="20"/>
        </w:rPr>
      </w:pPr>
      <w:bookmarkStart w:id="61" w:name="_Toc504136183"/>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11</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Общо публични разходи на равнището оси (в евро)</w:t>
      </w:r>
      <w:bookmarkEnd w:id="61"/>
    </w:p>
    <w:tbl>
      <w:tblPr>
        <w:tblW w:w="9423" w:type="dxa"/>
        <w:tblInd w:w="-214" w:type="dxa"/>
        <w:tblCellMar>
          <w:left w:w="70" w:type="dxa"/>
          <w:right w:w="70" w:type="dxa"/>
        </w:tblCellMar>
        <w:tblLook w:val="04A0" w:firstRow="1" w:lastRow="0" w:firstColumn="1" w:lastColumn="0" w:noHBand="0" w:noVBand="1"/>
      </w:tblPr>
      <w:tblGrid>
        <w:gridCol w:w="1211"/>
        <w:gridCol w:w="1550"/>
        <w:gridCol w:w="1559"/>
        <w:gridCol w:w="1559"/>
        <w:gridCol w:w="1701"/>
        <w:gridCol w:w="1843"/>
      </w:tblGrid>
      <w:tr w:rsidR="00E8617E" w:rsidRPr="00BC513A" w14:paraId="28B840B8" w14:textId="77777777" w:rsidTr="00922731">
        <w:trPr>
          <w:trHeight w:val="600"/>
          <w:tblHeader/>
        </w:trPr>
        <w:tc>
          <w:tcPr>
            <w:tcW w:w="1211"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2F7B1C92" w14:textId="78C17E90" w:rsidR="00E8617E" w:rsidRPr="00BC513A" w:rsidRDefault="00E8617E" w:rsidP="00AB2B2B">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О</w:t>
            </w:r>
            <w:r w:rsidR="00AB2B2B">
              <w:rPr>
                <w:rFonts w:ascii="Arial" w:hAnsi="Arial" w:cs="Arial"/>
                <w:b/>
                <w:color w:val="FFFFFF" w:themeColor="background1"/>
                <w:sz w:val="18"/>
                <w:szCs w:val="18"/>
                <w:lang w:eastAsia="bg-BG"/>
              </w:rPr>
              <w:t>с</w:t>
            </w:r>
          </w:p>
        </w:tc>
        <w:tc>
          <w:tcPr>
            <w:tcW w:w="1550"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2103E0BC"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Първоначален бюджет</w:t>
            </w:r>
            <w:r w:rsidRPr="00BC513A">
              <w:rPr>
                <w:rStyle w:val="FootnoteReference"/>
                <w:rFonts w:ascii="Arial" w:hAnsi="Arial" w:cs="Arial"/>
                <w:b/>
                <w:color w:val="FFFFFF" w:themeColor="background1"/>
                <w:sz w:val="18"/>
                <w:szCs w:val="18"/>
                <w:lang w:eastAsia="bg-BG"/>
              </w:rPr>
              <w:footnoteReference w:id="21"/>
            </w:r>
          </w:p>
        </w:tc>
        <w:tc>
          <w:tcPr>
            <w:tcW w:w="1559"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2CD16204"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Окончателен бюджет</w:t>
            </w:r>
          </w:p>
        </w:tc>
        <w:tc>
          <w:tcPr>
            <w:tcW w:w="1559"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77AA057F"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Действителни разходи</w:t>
            </w:r>
          </w:p>
        </w:tc>
        <w:tc>
          <w:tcPr>
            <w:tcW w:w="1701"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50A1D55E"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Действителни разходи като % от финалния бюджет</w:t>
            </w:r>
          </w:p>
        </w:tc>
        <w:tc>
          <w:tcPr>
            <w:tcW w:w="1843"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6B835747"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Действителни разходи като % от първоначалния бюджет</w:t>
            </w:r>
          </w:p>
        </w:tc>
      </w:tr>
      <w:tr w:rsidR="00E8617E" w:rsidRPr="00BC513A" w14:paraId="389A8951" w14:textId="77777777" w:rsidTr="00922731">
        <w:trPr>
          <w:trHeight w:val="87"/>
        </w:trPr>
        <w:tc>
          <w:tcPr>
            <w:tcW w:w="9423" w:type="dxa"/>
            <w:gridSpan w:val="6"/>
            <w:tcBorders>
              <w:top w:val="nil"/>
              <w:left w:val="single" w:sz="4" w:space="0" w:color="auto"/>
              <w:bottom w:val="single" w:sz="4" w:space="0" w:color="auto"/>
              <w:right w:val="single" w:sz="4" w:space="0" w:color="auto"/>
            </w:tcBorders>
            <w:shd w:val="clear" w:color="auto" w:fill="auto"/>
            <w:noWrap/>
            <w:vAlign w:val="bottom"/>
            <w:hideMark/>
          </w:tcPr>
          <w:p w14:paraId="3F97AB7C" w14:textId="77777777" w:rsidR="00E8617E" w:rsidRPr="00BC513A" w:rsidRDefault="00E8617E" w:rsidP="00922731">
            <w:pPr>
              <w:spacing w:after="0" w:line="240" w:lineRule="auto"/>
              <w:outlineLvl w:val="0"/>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lastRenderedPageBreak/>
              <w:t> </w:t>
            </w:r>
          </w:p>
        </w:tc>
      </w:tr>
      <w:tr w:rsidR="00E8617E" w:rsidRPr="00BC513A" w14:paraId="76B77D7F" w14:textId="77777777" w:rsidTr="00922731">
        <w:trPr>
          <w:trHeight w:val="300"/>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1B92B707"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w:t>
            </w:r>
          </w:p>
        </w:tc>
        <w:tc>
          <w:tcPr>
            <w:tcW w:w="1550" w:type="dxa"/>
            <w:tcBorders>
              <w:top w:val="nil"/>
              <w:left w:val="nil"/>
              <w:bottom w:val="single" w:sz="4" w:space="0" w:color="auto"/>
              <w:right w:val="single" w:sz="4" w:space="0" w:color="auto"/>
            </w:tcBorders>
            <w:shd w:val="clear" w:color="auto" w:fill="auto"/>
            <w:noWrap/>
            <w:vAlign w:val="center"/>
            <w:hideMark/>
          </w:tcPr>
          <w:p w14:paraId="66844FC6"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 xml:space="preserve">1 214 075 316 </w:t>
            </w:r>
          </w:p>
        </w:tc>
        <w:tc>
          <w:tcPr>
            <w:tcW w:w="1559" w:type="dxa"/>
            <w:tcBorders>
              <w:top w:val="nil"/>
              <w:left w:val="nil"/>
              <w:bottom w:val="single" w:sz="4" w:space="0" w:color="auto"/>
              <w:right w:val="single" w:sz="4" w:space="0" w:color="auto"/>
            </w:tcBorders>
            <w:shd w:val="clear" w:color="auto" w:fill="auto"/>
            <w:noWrap/>
            <w:vAlign w:val="center"/>
            <w:hideMark/>
          </w:tcPr>
          <w:p w14:paraId="7CF53CA9"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929 636 465</w:t>
            </w:r>
          </w:p>
        </w:tc>
        <w:tc>
          <w:tcPr>
            <w:tcW w:w="1559" w:type="dxa"/>
            <w:tcBorders>
              <w:top w:val="nil"/>
              <w:left w:val="nil"/>
              <w:bottom w:val="single" w:sz="4" w:space="0" w:color="auto"/>
              <w:right w:val="single" w:sz="4" w:space="0" w:color="auto"/>
            </w:tcBorders>
            <w:shd w:val="clear" w:color="auto" w:fill="auto"/>
            <w:noWrap/>
            <w:vAlign w:val="center"/>
            <w:hideMark/>
          </w:tcPr>
          <w:p w14:paraId="67252883"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924 877 781</w:t>
            </w:r>
          </w:p>
        </w:tc>
        <w:tc>
          <w:tcPr>
            <w:tcW w:w="1701" w:type="dxa"/>
            <w:tcBorders>
              <w:top w:val="nil"/>
              <w:left w:val="nil"/>
              <w:bottom w:val="single" w:sz="4" w:space="0" w:color="auto"/>
              <w:right w:val="single" w:sz="4" w:space="0" w:color="auto"/>
            </w:tcBorders>
            <w:shd w:val="clear" w:color="auto" w:fill="auto"/>
            <w:noWrap/>
            <w:vAlign w:val="center"/>
            <w:hideMark/>
          </w:tcPr>
          <w:p w14:paraId="17901304"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99,49%</w:t>
            </w:r>
          </w:p>
        </w:tc>
        <w:tc>
          <w:tcPr>
            <w:tcW w:w="1843" w:type="dxa"/>
            <w:tcBorders>
              <w:top w:val="nil"/>
              <w:left w:val="nil"/>
              <w:bottom w:val="single" w:sz="4" w:space="0" w:color="auto"/>
              <w:right w:val="single" w:sz="4" w:space="0" w:color="auto"/>
            </w:tcBorders>
            <w:shd w:val="clear" w:color="auto" w:fill="auto"/>
            <w:noWrap/>
            <w:vAlign w:val="center"/>
            <w:hideMark/>
          </w:tcPr>
          <w:p w14:paraId="0D3649BD"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76,18%</w:t>
            </w:r>
          </w:p>
        </w:tc>
      </w:tr>
      <w:tr w:rsidR="00E8617E" w:rsidRPr="00BC513A" w14:paraId="10ED2B97" w14:textId="77777777" w:rsidTr="00922731">
        <w:trPr>
          <w:trHeight w:val="300"/>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785666EC"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2</w:t>
            </w:r>
          </w:p>
        </w:tc>
        <w:tc>
          <w:tcPr>
            <w:tcW w:w="1550" w:type="dxa"/>
            <w:tcBorders>
              <w:top w:val="nil"/>
              <w:left w:val="nil"/>
              <w:bottom w:val="single" w:sz="4" w:space="0" w:color="auto"/>
              <w:right w:val="single" w:sz="4" w:space="0" w:color="auto"/>
            </w:tcBorders>
            <w:shd w:val="clear" w:color="auto" w:fill="auto"/>
            <w:noWrap/>
            <w:vAlign w:val="center"/>
            <w:hideMark/>
          </w:tcPr>
          <w:p w14:paraId="25B75A41"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777 394 110</w:t>
            </w:r>
          </w:p>
        </w:tc>
        <w:tc>
          <w:tcPr>
            <w:tcW w:w="1559" w:type="dxa"/>
            <w:tcBorders>
              <w:top w:val="nil"/>
              <w:left w:val="nil"/>
              <w:bottom w:val="single" w:sz="4" w:space="0" w:color="auto"/>
              <w:right w:val="single" w:sz="4" w:space="0" w:color="auto"/>
            </w:tcBorders>
            <w:shd w:val="clear" w:color="auto" w:fill="auto"/>
            <w:noWrap/>
            <w:vAlign w:val="center"/>
            <w:hideMark/>
          </w:tcPr>
          <w:p w14:paraId="060E4676"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751 134 146</w:t>
            </w:r>
          </w:p>
        </w:tc>
        <w:tc>
          <w:tcPr>
            <w:tcW w:w="1559" w:type="dxa"/>
            <w:tcBorders>
              <w:top w:val="nil"/>
              <w:left w:val="nil"/>
              <w:bottom w:val="single" w:sz="4" w:space="0" w:color="auto"/>
              <w:right w:val="single" w:sz="4" w:space="0" w:color="auto"/>
            </w:tcBorders>
            <w:shd w:val="clear" w:color="auto" w:fill="auto"/>
            <w:noWrap/>
            <w:vAlign w:val="center"/>
            <w:hideMark/>
          </w:tcPr>
          <w:p w14:paraId="6CB1BDFC"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749 606 072</w:t>
            </w:r>
          </w:p>
        </w:tc>
        <w:tc>
          <w:tcPr>
            <w:tcW w:w="1701" w:type="dxa"/>
            <w:tcBorders>
              <w:top w:val="nil"/>
              <w:left w:val="nil"/>
              <w:bottom w:val="single" w:sz="4" w:space="0" w:color="auto"/>
              <w:right w:val="single" w:sz="4" w:space="0" w:color="auto"/>
            </w:tcBorders>
            <w:shd w:val="clear" w:color="auto" w:fill="auto"/>
            <w:noWrap/>
            <w:vAlign w:val="center"/>
            <w:hideMark/>
          </w:tcPr>
          <w:p w14:paraId="79D25152"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99,80%</w:t>
            </w:r>
          </w:p>
        </w:tc>
        <w:tc>
          <w:tcPr>
            <w:tcW w:w="1843" w:type="dxa"/>
            <w:tcBorders>
              <w:top w:val="nil"/>
              <w:left w:val="nil"/>
              <w:bottom w:val="single" w:sz="4" w:space="0" w:color="auto"/>
              <w:right w:val="single" w:sz="4" w:space="0" w:color="auto"/>
            </w:tcBorders>
            <w:shd w:val="clear" w:color="auto" w:fill="auto"/>
            <w:noWrap/>
            <w:vAlign w:val="center"/>
            <w:hideMark/>
          </w:tcPr>
          <w:p w14:paraId="1486C2D5"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96,43%</w:t>
            </w:r>
          </w:p>
        </w:tc>
      </w:tr>
      <w:tr w:rsidR="00E8617E" w:rsidRPr="00BC513A" w14:paraId="3C7E8284" w14:textId="77777777" w:rsidTr="00922731">
        <w:trPr>
          <w:trHeight w:val="300"/>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75ADFAE5"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3</w:t>
            </w:r>
          </w:p>
        </w:tc>
        <w:tc>
          <w:tcPr>
            <w:tcW w:w="1550" w:type="dxa"/>
            <w:tcBorders>
              <w:top w:val="nil"/>
              <w:left w:val="nil"/>
              <w:bottom w:val="single" w:sz="4" w:space="0" w:color="auto"/>
              <w:right w:val="single" w:sz="4" w:space="0" w:color="auto"/>
            </w:tcBorders>
            <w:shd w:val="clear" w:color="auto" w:fill="auto"/>
            <w:noWrap/>
            <w:vAlign w:val="center"/>
            <w:hideMark/>
          </w:tcPr>
          <w:p w14:paraId="2E7F287E"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 xml:space="preserve">905 291 684 </w:t>
            </w:r>
          </w:p>
        </w:tc>
        <w:tc>
          <w:tcPr>
            <w:tcW w:w="1559" w:type="dxa"/>
            <w:tcBorders>
              <w:top w:val="nil"/>
              <w:left w:val="nil"/>
              <w:bottom w:val="single" w:sz="4" w:space="0" w:color="auto"/>
              <w:right w:val="single" w:sz="4" w:space="0" w:color="auto"/>
            </w:tcBorders>
            <w:shd w:val="clear" w:color="auto" w:fill="auto"/>
            <w:noWrap/>
            <w:vAlign w:val="center"/>
            <w:hideMark/>
          </w:tcPr>
          <w:p w14:paraId="5F4122A4"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1 175 148 331</w:t>
            </w:r>
          </w:p>
        </w:tc>
        <w:tc>
          <w:tcPr>
            <w:tcW w:w="1559" w:type="dxa"/>
            <w:tcBorders>
              <w:top w:val="nil"/>
              <w:left w:val="nil"/>
              <w:bottom w:val="single" w:sz="4" w:space="0" w:color="auto"/>
              <w:right w:val="single" w:sz="4" w:space="0" w:color="auto"/>
            </w:tcBorders>
            <w:shd w:val="clear" w:color="auto" w:fill="auto"/>
            <w:noWrap/>
            <w:vAlign w:val="center"/>
            <w:hideMark/>
          </w:tcPr>
          <w:p w14:paraId="60DAE89C"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1 153 264 338</w:t>
            </w:r>
          </w:p>
        </w:tc>
        <w:tc>
          <w:tcPr>
            <w:tcW w:w="1701" w:type="dxa"/>
            <w:tcBorders>
              <w:top w:val="nil"/>
              <w:left w:val="nil"/>
              <w:bottom w:val="single" w:sz="4" w:space="0" w:color="auto"/>
              <w:right w:val="single" w:sz="4" w:space="0" w:color="auto"/>
            </w:tcBorders>
            <w:shd w:val="clear" w:color="auto" w:fill="auto"/>
            <w:noWrap/>
            <w:vAlign w:val="center"/>
            <w:hideMark/>
          </w:tcPr>
          <w:p w14:paraId="491A8C40"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98,14%</w:t>
            </w:r>
          </w:p>
        </w:tc>
        <w:tc>
          <w:tcPr>
            <w:tcW w:w="1843" w:type="dxa"/>
            <w:tcBorders>
              <w:top w:val="nil"/>
              <w:left w:val="nil"/>
              <w:bottom w:val="single" w:sz="4" w:space="0" w:color="auto"/>
              <w:right w:val="single" w:sz="4" w:space="0" w:color="auto"/>
            </w:tcBorders>
            <w:shd w:val="clear" w:color="auto" w:fill="auto"/>
            <w:noWrap/>
            <w:vAlign w:val="center"/>
            <w:hideMark/>
          </w:tcPr>
          <w:p w14:paraId="1A835C74"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127,39%</w:t>
            </w:r>
          </w:p>
        </w:tc>
      </w:tr>
      <w:tr w:rsidR="00E8617E" w:rsidRPr="00BC513A" w14:paraId="7C0CAC71" w14:textId="77777777" w:rsidTr="00922731">
        <w:trPr>
          <w:trHeight w:val="300"/>
        </w:trPr>
        <w:tc>
          <w:tcPr>
            <w:tcW w:w="1211" w:type="dxa"/>
            <w:tcBorders>
              <w:top w:val="nil"/>
              <w:left w:val="single" w:sz="4" w:space="0" w:color="auto"/>
              <w:bottom w:val="single" w:sz="4" w:space="0" w:color="auto"/>
              <w:right w:val="single" w:sz="4" w:space="0" w:color="auto"/>
            </w:tcBorders>
            <w:shd w:val="clear" w:color="auto" w:fill="auto"/>
            <w:noWrap/>
            <w:vAlign w:val="center"/>
            <w:hideMark/>
          </w:tcPr>
          <w:p w14:paraId="5C61DA84"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4</w:t>
            </w:r>
          </w:p>
        </w:tc>
        <w:tc>
          <w:tcPr>
            <w:tcW w:w="1550" w:type="dxa"/>
            <w:tcBorders>
              <w:top w:val="nil"/>
              <w:left w:val="nil"/>
              <w:bottom w:val="single" w:sz="4" w:space="0" w:color="auto"/>
              <w:right w:val="single" w:sz="4" w:space="0" w:color="auto"/>
            </w:tcBorders>
            <w:shd w:val="clear" w:color="auto" w:fill="auto"/>
            <w:noWrap/>
            <w:vAlign w:val="center"/>
            <w:hideMark/>
          </w:tcPr>
          <w:p w14:paraId="3108EE9E"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76 988 306</w:t>
            </w:r>
          </w:p>
        </w:tc>
        <w:tc>
          <w:tcPr>
            <w:tcW w:w="1559" w:type="dxa"/>
            <w:tcBorders>
              <w:top w:val="nil"/>
              <w:left w:val="nil"/>
              <w:bottom w:val="single" w:sz="4" w:space="0" w:color="auto"/>
              <w:right w:val="single" w:sz="4" w:space="0" w:color="auto"/>
            </w:tcBorders>
            <w:shd w:val="clear" w:color="auto" w:fill="auto"/>
            <w:noWrap/>
            <w:vAlign w:val="center"/>
            <w:hideMark/>
          </w:tcPr>
          <w:p w14:paraId="3EB6F61F"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53 387 500</w:t>
            </w:r>
          </w:p>
        </w:tc>
        <w:tc>
          <w:tcPr>
            <w:tcW w:w="1559" w:type="dxa"/>
            <w:tcBorders>
              <w:top w:val="nil"/>
              <w:left w:val="nil"/>
              <w:bottom w:val="single" w:sz="4" w:space="0" w:color="auto"/>
              <w:right w:val="single" w:sz="4" w:space="0" w:color="auto"/>
            </w:tcBorders>
            <w:shd w:val="clear" w:color="auto" w:fill="auto"/>
            <w:noWrap/>
            <w:vAlign w:val="center"/>
            <w:hideMark/>
          </w:tcPr>
          <w:p w14:paraId="0C0CCB1F"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52 852 322</w:t>
            </w:r>
          </w:p>
        </w:tc>
        <w:tc>
          <w:tcPr>
            <w:tcW w:w="1701" w:type="dxa"/>
            <w:tcBorders>
              <w:top w:val="nil"/>
              <w:left w:val="nil"/>
              <w:bottom w:val="single" w:sz="4" w:space="0" w:color="auto"/>
              <w:right w:val="single" w:sz="4" w:space="0" w:color="auto"/>
            </w:tcBorders>
            <w:shd w:val="clear" w:color="auto" w:fill="auto"/>
            <w:noWrap/>
            <w:vAlign w:val="center"/>
            <w:hideMark/>
          </w:tcPr>
          <w:p w14:paraId="61D91F27"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99,00%</w:t>
            </w:r>
          </w:p>
        </w:tc>
        <w:tc>
          <w:tcPr>
            <w:tcW w:w="1843" w:type="dxa"/>
            <w:tcBorders>
              <w:top w:val="nil"/>
              <w:left w:val="nil"/>
              <w:bottom w:val="single" w:sz="4" w:space="0" w:color="auto"/>
              <w:right w:val="single" w:sz="4" w:space="0" w:color="auto"/>
            </w:tcBorders>
            <w:shd w:val="clear" w:color="auto" w:fill="auto"/>
            <w:noWrap/>
            <w:vAlign w:val="center"/>
            <w:hideMark/>
          </w:tcPr>
          <w:p w14:paraId="618D1287"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68,65%</w:t>
            </w:r>
          </w:p>
        </w:tc>
      </w:tr>
      <w:tr w:rsidR="00E8617E" w:rsidRPr="00BC513A" w14:paraId="7971049A" w14:textId="77777777" w:rsidTr="00922731">
        <w:trPr>
          <w:trHeight w:val="73"/>
        </w:trPr>
        <w:tc>
          <w:tcPr>
            <w:tcW w:w="9423" w:type="dxa"/>
            <w:gridSpan w:val="6"/>
            <w:tcBorders>
              <w:top w:val="nil"/>
              <w:left w:val="single" w:sz="4" w:space="0" w:color="auto"/>
              <w:bottom w:val="single" w:sz="4" w:space="0" w:color="auto"/>
              <w:right w:val="single" w:sz="4" w:space="0" w:color="auto"/>
            </w:tcBorders>
            <w:shd w:val="clear" w:color="auto" w:fill="auto"/>
            <w:noWrap/>
            <w:vAlign w:val="center"/>
          </w:tcPr>
          <w:p w14:paraId="0D405E5E" w14:textId="77777777" w:rsidR="00E8617E" w:rsidRPr="00BC513A" w:rsidRDefault="00E8617E" w:rsidP="00922731">
            <w:pPr>
              <w:spacing w:after="0" w:line="240" w:lineRule="auto"/>
              <w:jc w:val="center"/>
              <w:outlineLvl w:val="0"/>
              <w:rPr>
                <w:rFonts w:ascii="Arial" w:eastAsia="Times New Roman" w:hAnsi="Arial" w:cs="Arial"/>
                <w:color w:val="000000"/>
                <w:sz w:val="18"/>
                <w:szCs w:val="18"/>
                <w:lang w:eastAsia="bg-BG"/>
              </w:rPr>
            </w:pPr>
          </w:p>
        </w:tc>
      </w:tr>
      <w:tr w:rsidR="00E8617E" w:rsidRPr="00BC513A" w14:paraId="4AB8B52E" w14:textId="77777777" w:rsidTr="00BC7D66">
        <w:trPr>
          <w:trHeight w:val="300"/>
        </w:trPr>
        <w:tc>
          <w:tcPr>
            <w:tcW w:w="1211"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7FCA7A95" w14:textId="45832126" w:rsidR="00E8617E" w:rsidRPr="00BC513A" w:rsidRDefault="00E8617E" w:rsidP="00AB2B2B">
            <w:pPr>
              <w:spacing w:after="0"/>
              <w:jc w:val="center"/>
              <w:rPr>
                <w:rFonts w:ascii="Arial" w:eastAsia="Times New Roman" w:hAnsi="Arial" w:cs="Arial"/>
                <w:b/>
                <w:bCs/>
                <w:color w:val="000000"/>
                <w:sz w:val="18"/>
                <w:szCs w:val="18"/>
                <w:lang w:eastAsia="bg-BG"/>
              </w:rPr>
            </w:pPr>
            <w:r w:rsidRPr="00BC513A">
              <w:rPr>
                <w:rFonts w:ascii="Arial" w:hAnsi="Arial" w:cs="Arial"/>
                <w:b/>
                <w:sz w:val="18"/>
                <w:szCs w:val="18"/>
                <w:lang w:eastAsia="bg-BG"/>
              </w:rPr>
              <w:t>ОБЩО О</w:t>
            </w:r>
            <w:r w:rsidR="00AB2B2B">
              <w:rPr>
                <w:rFonts w:ascii="Arial" w:hAnsi="Arial" w:cs="Arial"/>
                <w:b/>
                <w:sz w:val="18"/>
                <w:szCs w:val="18"/>
                <w:lang w:eastAsia="bg-BG"/>
              </w:rPr>
              <w:t>с</w:t>
            </w:r>
            <w:r w:rsidRPr="00BC513A">
              <w:rPr>
                <w:rFonts w:ascii="Arial" w:hAnsi="Arial" w:cs="Arial"/>
                <w:b/>
                <w:sz w:val="18"/>
                <w:szCs w:val="18"/>
                <w:lang w:eastAsia="bg-BG"/>
              </w:rPr>
              <w:t xml:space="preserve"> 1,2,3 и 4</w:t>
            </w:r>
          </w:p>
        </w:tc>
        <w:tc>
          <w:tcPr>
            <w:tcW w:w="1550" w:type="dxa"/>
            <w:tcBorders>
              <w:top w:val="nil"/>
              <w:left w:val="nil"/>
              <w:bottom w:val="single" w:sz="4" w:space="0" w:color="auto"/>
              <w:right w:val="single" w:sz="4" w:space="0" w:color="auto"/>
            </w:tcBorders>
            <w:shd w:val="clear" w:color="auto" w:fill="DEEAF6" w:themeFill="accent1" w:themeFillTint="33"/>
            <w:noWrap/>
            <w:vAlign w:val="center"/>
            <w:hideMark/>
          </w:tcPr>
          <w:p w14:paraId="15CDA30A"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2 973 749 416</w:t>
            </w:r>
          </w:p>
        </w:tc>
        <w:tc>
          <w:tcPr>
            <w:tcW w:w="1559" w:type="dxa"/>
            <w:tcBorders>
              <w:top w:val="nil"/>
              <w:left w:val="nil"/>
              <w:bottom w:val="single" w:sz="4" w:space="0" w:color="auto"/>
              <w:right w:val="single" w:sz="4" w:space="0" w:color="auto"/>
            </w:tcBorders>
            <w:shd w:val="clear" w:color="auto" w:fill="DEEAF6" w:themeFill="accent1" w:themeFillTint="33"/>
            <w:noWrap/>
            <w:vAlign w:val="center"/>
            <w:hideMark/>
          </w:tcPr>
          <w:p w14:paraId="0CF46252"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2 909 306 443</w:t>
            </w:r>
          </w:p>
        </w:tc>
        <w:tc>
          <w:tcPr>
            <w:tcW w:w="1559" w:type="dxa"/>
            <w:tcBorders>
              <w:top w:val="nil"/>
              <w:left w:val="nil"/>
              <w:bottom w:val="single" w:sz="4" w:space="0" w:color="auto"/>
              <w:right w:val="single" w:sz="4" w:space="0" w:color="auto"/>
            </w:tcBorders>
            <w:shd w:val="clear" w:color="auto" w:fill="DEEAF6" w:themeFill="accent1" w:themeFillTint="33"/>
            <w:noWrap/>
            <w:vAlign w:val="center"/>
            <w:hideMark/>
          </w:tcPr>
          <w:p w14:paraId="166C934C"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2 880 600 513</w:t>
            </w:r>
          </w:p>
        </w:tc>
        <w:tc>
          <w:tcPr>
            <w:tcW w:w="1701" w:type="dxa"/>
            <w:tcBorders>
              <w:top w:val="nil"/>
              <w:left w:val="nil"/>
              <w:bottom w:val="single" w:sz="4" w:space="0" w:color="auto"/>
              <w:right w:val="single" w:sz="4" w:space="0" w:color="auto"/>
            </w:tcBorders>
            <w:shd w:val="clear" w:color="auto" w:fill="DEEAF6" w:themeFill="accent1" w:themeFillTint="33"/>
            <w:noWrap/>
            <w:vAlign w:val="center"/>
            <w:hideMark/>
          </w:tcPr>
          <w:p w14:paraId="5E5B843A"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99,01%</w:t>
            </w:r>
          </w:p>
        </w:tc>
        <w:tc>
          <w:tcPr>
            <w:tcW w:w="1843" w:type="dxa"/>
            <w:tcBorders>
              <w:top w:val="nil"/>
              <w:left w:val="nil"/>
              <w:bottom w:val="single" w:sz="4" w:space="0" w:color="auto"/>
              <w:right w:val="single" w:sz="4" w:space="0" w:color="auto"/>
            </w:tcBorders>
            <w:shd w:val="clear" w:color="auto" w:fill="DEEAF6" w:themeFill="accent1" w:themeFillTint="33"/>
            <w:noWrap/>
            <w:vAlign w:val="center"/>
            <w:hideMark/>
          </w:tcPr>
          <w:p w14:paraId="77EC990E"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96,87%</w:t>
            </w:r>
          </w:p>
        </w:tc>
      </w:tr>
      <w:tr w:rsidR="00E8617E" w:rsidRPr="00BC513A" w14:paraId="7608F4C9" w14:textId="77777777" w:rsidTr="00922731">
        <w:trPr>
          <w:trHeight w:val="73"/>
        </w:trPr>
        <w:tc>
          <w:tcPr>
            <w:tcW w:w="9423" w:type="dxa"/>
            <w:gridSpan w:val="6"/>
            <w:tcBorders>
              <w:top w:val="nil"/>
              <w:left w:val="single" w:sz="4" w:space="0" w:color="auto"/>
              <w:bottom w:val="single" w:sz="4" w:space="0" w:color="auto"/>
              <w:right w:val="single" w:sz="4" w:space="0" w:color="auto"/>
            </w:tcBorders>
            <w:shd w:val="clear" w:color="auto" w:fill="FFFFFF" w:themeFill="background1"/>
            <w:noWrap/>
            <w:vAlign w:val="center"/>
          </w:tcPr>
          <w:p w14:paraId="2B0B92BC" w14:textId="77777777" w:rsidR="00E8617E" w:rsidRPr="00BC513A" w:rsidRDefault="00E8617E" w:rsidP="00922731">
            <w:pPr>
              <w:spacing w:after="0" w:line="240" w:lineRule="auto"/>
              <w:jc w:val="center"/>
              <w:outlineLvl w:val="0"/>
              <w:rPr>
                <w:rFonts w:ascii="Arial" w:eastAsia="Times New Roman" w:hAnsi="Arial" w:cs="Arial"/>
                <w:b/>
                <w:color w:val="000000"/>
                <w:sz w:val="18"/>
                <w:szCs w:val="18"/>
                <w:lang w:eastAsia="bg-BG"/>
              </w:rPr>
            </w:pPr>
          </w:p>
        </w:tc>
      </w:tr>
      <w:tr w:rsidR="00E8617E" w:rsidRPr="00BC513A" w14:paraId="327F4D17" w14:textId="77777777" w:rsidTr="00922731">
        <w:trPr>
          <w:trHeight w:val="300"/>
        </w:trPr>
        <w:tc>
          <w:tcPr>
            <w:tcW w:w="1211" w:type="dxa"/>
            <w:tcBorders>
              <w:top w:val="nil"/>
              <w:left w:val="single" w:sz="4" w:space="0" w:color="auto"/>
              <w:bottom w:val="single" w:sz="4" w:space="0" w:color="auto"/>
              <w:right w:val="single" w:sz="4" w:space="0" w:color="auto"/>
            </w:tcBorders>
            <w:shd w:val="clear" w:color="auto" w:fill="auto"/>
            <w:vAlign w:val="center"/>
            <w:hideMark/>
          </w:tcPr>
          <w:p w14:paraId="50A3AF97"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 xml:space="preserve">511* </w:t>
            </w:r>
          </w:p>
        </w:tc>
        <w:tc>
          <w:tcPr>
            <w:tcW w:w="1550" w:type="dxa"/>
            <w:tcBorders>
              <w:top w:val="nil"/>
              <w:left w:val="nil"/>
              <w:bottom w:val="single" w:sz="4" w:space="0" w:color="auto"/>
              <w:right w:val="single" w:sz="4" w:space="0" w:color="auto"/>
            </w:tcBorders>
            <w:shd w:val="clear" w:color="auto" w:fill="auto"/>
            <w:noWrap/>
            <w:vAlign w:val="center"/>
            <w:hideMark/>
          </w:tcPr>
          <w:p w14:paraId="32941557"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123 181 289</w:t>
            </w:r>
          </w:p>
        </w:tc>
        <w:tc>
          <w:tcPr>
            <w:tcW w:w="1559" w:type="dxa"/>
            <w:tcBorders>
              <w:top w:val="nil"/>
              <w:left w:val="nil"/>
              <w:bottom w:val="single" w:sz="4" w:space="0" w:color="auto"/>
              <w:right w:val="single" w:sz="4" w:space="0" w:color="auto"/>
            </w:tcBorders>
            <w:shd w:val="clear" w:color="auto" w:fill="auto"/>
            <w:noWrap/>
            <w:vAlign w:val="center"/>
            <w:hideMark/>
          </w:tcPr>
          <w:p w14:paraId="76036A24"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39 125 000</w:t>
            </w:r>
          </w:p>
        </w:tc>
        <w:tc>
          <w:tcPr>
            <w:tcW w:w="1559" w:type="dxa"/>
            <w:tcBorders>
              <w:top w:val="nil"/>
              <w:left w:val="nil"/>
              <w:bottom w:val="single" w:sz="4" w:space="0" w:color="auto"/>
              <w:right w:val="single" w:sz="4" w:space="0" w:color="auto"/>
            </w:tcBorders>
            <w:shd w:val="clear" w:color="auto" w:fill="auto"/>
            <w:noWrap/>
            <w:vAlign w:val="center"/>
            <w:hideMark/>
          </w:tcPr>
          <w:p w14:paraId="7C0BE87A"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38 133 658</w:t>
            </w:r>
          </w:p>
        </w:tc>
        <w:tc>
          <w:tcPr>
            <w:tcW w:w="1701" w:type="dxa"/>
            <w:tcBorders>
              <w:top w:val="nil"/>
              <w:left w:val="nil"/>
              <w:bottom w:val="single" w:sz="4" w:space="0" w:color="auto"/>
              <w:right w:val="single" w:sz="4" w:space="0" w:color="auto"/>
            </w:tcBorders>
            <w:shd w:val="clear" w:color="auto" w:fill="auto"/>
            <w:noWrap/>
            <w:vAlign w:val="center"/>
            <w:hideMark/>
          </w:tcPr>
          <w:p w14:paraId="6FE284D5"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97,47%</w:t>
            </w:r>
          </w:p>
        </w:tc>
        <w:tc>
          <w:tcPr>
            <w:tcW w:w="1843" w:type="dxa"/>
            <w:tcBorders>
              <w:top w:val="nil"/>
              <w:left w:val="nil"/>
              <w:bottom w:val="single" w:sz="4" w:space="0" w:color="auto"/>
              <w:right w:val="single" w:sz="4" w:space="0" w:color="auto"/>
            </w:tcBorders>
            <w:shd w:val="clear" w:color="auto" w:fill="auto"/>
            <w:noWrap/>
            <w:vAlign w:val="center"/>
            <w:hideMark/>
          </w:tcPr>
          <w:p w14:paraId="600ECA9A"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30,96%</w:t>
            </w:r>
          </w:p>
        </w:tc>
      </w:tr>
      <w:tr w:rsidR="00E8617E" w:rsidRPr="00BC513A" w14:paraId="51043AE0" w14:textId="77777777" w:rsidTr="00922731">
        <w:trPr>
          <w:trHeight w:val="510"/>
        </w:trPr>
        <w:tc>
          <w:tcPr>
            <w:tcW w:w="1211" w:type="dxa"/>
            <w:tcBorders>
              <w:top w:val="nil"/>
              <w:left w:val="single" w:sz="4" w:space="0" w:color="auto"/>
              <w:bottom w:val="single" w:sz="4" w:space="0" w:color="auto"/>
              <w:right w:val="single" w:sz="4" w:space="0" w:color="auto"/>
            </w:tcBorders>
            <w:shd w:val="clear" w:color="auto" w:fill="auto"/>
            <w:vAlign w:val="center"/>
            <w:hideMark/>
          </w:tcPr>
          <w:p w14:paraId="58BD2859"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 xml:space="preserve">611** </w:t>
            </w:r>
          </w:p>
        </w:tc>
        <w:tc>
          <w:tcPr>
            <w:tcW w:w="1550" w:type="dxa"/>
            <w:tcBorders>
              <w:top w:val="nil"/>
              <w:left w:val="nil"/>
              <w:bottom w:val="single" w:sz="4" w:space="0" w:color="auto"/>
              <w:right w:val="single" w:sz="4" w:space="0" w:color="auto"/>
            </w:tcBorders>
            <w:shd w:val="clear" w:color="auto" w:fill="auto"/>
            <w:noWrap/>
            <w:vAlign w:val="center"/>
            <w:hideMark/>
          </w:tcPr>
          <w:p w14:paraId="6BC1B2A0"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181 841 021</w:t>
            </w:r>
          </w:p>
        </w:tc>
        <w:tc>
          <w:tcPr>
            <w:tcW w:w="1559" w:type="dxa"/>
            <w:tcBorders>
              <w:top w:val="nil"/>
              <w:left w:val="nil"/>
              <w:bottom w:val="single" w:sz="4" w:space="0" w:color="auto"/>
              <w:right w:val="single" w:sz="4" w:space="0" w:color="auto"/>
            </w:tcBorders>
            <w:shd w:val="clear" w:color="auto" w:fill="auto"/>
            <w:noWrap/>
            <w:vAlign w:val="center"/>
            <w:hideMark/>
          </w:tcPr>
          <w:p w14:paraId="00EE8B3B"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154 232 500</w:t>
            </w:r>
          </w:p>
        </w:tc>
        <w:tc>
          <w:tcPr>
            <w:tcW w:w="1559" w:type="dxa"/>
            <w:tcBorders>
              <w:top w:val="nil"/>
              <w:left w:val="nil"/>
              <w:bottom w:val="single" w:sz="4" w:space="0" w:color="auto"/>
              <w:right w:val="single" w:sz="4" w:space="0" w:color="auto"/>
            </w:tcBorders>
            <w:shd w:val="clear" w:color="auto" w:fill="auto"/>
            <w:noWrap/>
            <w:vAlign w:val="center"/>
            <w:hideMark/>
          </w:tcPr>
          <w:p w14:paraId="5A600783"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154 257 456</w:t>
            </w:r>
          </w:p>
        </w:tc>
        <w:tc>
          <w:tcPr>
            <w:tcW w:w="1701" w:type="dxa"/>
            <w:tcBorders>
              <w:top w:val="nil"/>
              <w:left w:val="nil"/>
              <w:bottom w:val="single" w:sz="4" w:space="0" w:color="auto"/>
              <w:right w:val="single" w:sz="4" w:space="0" w:color="auto"/>
            </w:tcBorders>
            <w:shd w:val="clear" w:color="auto" w:fill="auto"/>
            <w:noWrap/>
            <w:vAlign w:val="center"/>
            <w:hideMark/>
          </w:tcPr>
          <w:p w14:paraId="310D0575"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100,02%</w:t>
            </w:r>
          </w:p>
        </w:tc>
        <w:tc>
          <w:tcPr>
            <w:tcW w:w="1843" w:type="dxa"/>
            <w:tcBorders>
              <w:top w:val="nil"/>
              <w:left w:val="nil"/>
              <w:bottom w:val="single" w:sz="4" w:space="0" w:color="auto"/>
              <w:right w:val="single" w:sz="4" w:space="0" w:color="auto"/>
            </w:tcBorders>
            <w:shd w:val="clear" w:color="auto" w:fill="auto"/>
            <w:noWrap/>
            <w:vAlign w:val="center"/>
            <w:hideMark/>
          </w:tcPr>
          <w:p w14:paraId="5B9728C7"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84,83%</w:t>
            </w:r>
          </w:p>
        </w:tc>
      </w:tr>
      <w:tr w:rsidR="00E8617E" w:rsidRPr="00BC513A" w14:paraId="60BDCFBA" w14:textId="77777777" w:rsidTr="00922731">
        <w:trPr>
          <w:trHeight w:val="73"/>
        </w:trPr>
        <w:tc>
          <w:tcPr>
            <w:tcW w:w="9423" w:type="dxa"/>
            <w:gridSpan w:val="6"/>
            <w:tcBorders>
              <w:top w:val="nil"/>
              <w:left w:val="single" w:sz="4" w:space="0" w:color="auto"/>
              <w:bottom w:val="single" w:sz="4" w:space="0" w:color="auto"/>
              <w:right w:val="single" w:sz="4" w:space="0" w:color="auto"/>
            </w:tcBorders>
            <w:shd w:val="clear" w:color="auto" w:fill="auto"/>
            <w:vAlign w:val="center"/>
          </w:tcPr>
          <w:p w14:paraId="2A538263" w14:textId="77777777" w:rsidR="00E8617E" w:rsidRPr="00BC513A" w:rsidRDefault="00E8617E" w:rsidP="00922731">
            <w:pPr>
              <w:spacing w:after="0" w:line="240" w:lineRule="auto"/>
              <w:jc w:val="center"/>
              <w:outlineLvl w:val="0"/>
              <w:rPr>
                <w:rFonts w:ascii="Arial" w:eastAsia="Times New Roman" w:hAnsi="Arial" w:cs="Arial"/>
                <w:color w:val="000000"/>
                <w:sz w:val="18"/>
                <w:szCs w:val="18"/>
                <w:lang w:eastAsia="bg-BG"/>
              </w:rPr>
            </w:pPr>
          </w:p>
        </w:tc>
      </w:tr>
      <w:tr w:rsidR="00E8617E" w:rsidRPr="00BC513A" w14:paraId="46FF934E" w14:textId="77777777" w:rsidTr="00922731">
        <w:trPr>
          <w:trHeight w:val="300"/>
        </w:trPr>
        <w:tc>
          <w:tcPr>
            <w:tcW w:w="1211"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6CD70283"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Общ бюджет</w:t>
            </w:r>
          </w:p>
        </w:tc>
        <w:tc>
          <w:tcPr>
            <w:tcW w:w="1550" w:type="dxa"/>
            <w:tcBorders>
              <w:top w:val="nil"/>
              <w:left w:val="nil"/>
              <w:bottom w:val="single" w:sz="4" w:space="0" w:color="auto"/>
              <w:right w:val="single" w:sz="4" w:space="0" w:color="auto"/>
            </w:tcBorders>
            <w:shd w:val="clear" w:color="auto" w:fill="D9D9D9" w:themeFill="background1" w:themeFillShade="D9"/>
            <w:noWrap/>
            <w:vAlign w:val="center"/>
            <w:hideMark/>
          </w:tcPr>
          <w:p w14:paraId="0F8843AB"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3 278 771 726</w:t>
            </w:r>
          </w:p>
        </w:tc>
        <w:tc>
          <w:tcPr>
            <w:tcW w:w="1559" w:type="dxa"/>
            <w:tcBorders>
              <w:top w:val="nil"/>
              <w:left w:val="nil"/>
              <w:bottom w:val="single" w:sz="4" w:space="0" w:color="auto"/>
              <w:right w:val="single" w:sz="4" w:space="0" w:color="auto"/>
            </w:tcBorders>
            <w:shd w:val="clear" w:color="auto" w:fill="D9D9D9" w:themeFill="background1" w:themeFillShade="D9"/>
            <w:noWrap/>
            <w:vAlign w:val="center"/>
            <w:hideMark/>
          </w:tcPr>
          <w:p w14:paraId="7998B622"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3 102 663 943</w:t>
            </w:r>
          </w:p>
        </w:tc>
        <w:tc>
          <w:tcPr>
            <w:tcW w:w="1559" w:type="dxa"/>
            <w:tcBorders>
              <w:top w:val="nil"/>
              <w:left w:val="nil"/>
              <w:bottom w:val="single" w:sz="4" w:space="0" w:color="auto"/>
              <w:right w:val="single" w:sz="4" w:space="0" w:color="auto"/>
            </w:tcBorders>
            <w:shd w:val="clear" w:color="auto" w:fill="D9D9D9" w:themeFill="background1" w:themeFillShade="D9"/>
            <w:noWrap/>
            <w:vAlign w:val="center"/>
            <w:hideMark/>
          </w:tcPr>
          <w:p w14:paraId="72902D56"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3 072 991 628</w:t>
            </w:r>
          </w:p>
        </w:tc>
        <w:tc>
          <w:tcPr>
            <w:tcW w:w="1701" w:type="dxa"/>
            <w:tcBorders>
              <w:top w:val="nil"/>
              <w:left w:val="nil"/>
              <w:bottom w:val="single" w:sz="4" w:space="0" w:color="auto"/>
              <w:right w:val="single" w:sz="4" w:space="0" w:color="auto"/>
            </w:tcBorders>
            <w:shd w:val="clear" w:color="auto" w:fill="D9D9D9" w:themeFill="background1" w:themeFillShade="D9"/>
            <w:noWrap/>
            <w:vAlign w:val="center"/>
            <w:hideMark/>
          </w:tcPr>
          <w:p w14:paraId="2028272B"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99,04%</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14:paraId="3F7357E4"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93,72%%</w:t>
            </w:r>
          </w:p>
        </w:tc>
      </w:tr>
    </w:tbl>
    <w:p w14:paraId="55C2EA21" w14:textId="77777777" w:rsidR="00E8617E" w:rsidRPr="00BC1A5E" w:rsidRDefault="00E8617E" w:rsidP="00E8617E">
      <w:pPr>
        <w:pStyle w:val="DefaultText"/>
        <w:spacing w:line="240" w:lineRule="auto"/>
        <w:rPr>
          <w:rFonts w:cs="Arial"/>
          <w:szCs w:val="18"/>
          <w:lang w:val="bg-BG"/>
        </w:rPr>
      </w:pPr>
      <w:r w:rsidRPr="00BC1A5E">
        <w:rPr>
          <w:rFonts w:cs="Arial"/>
          <w:szCs w:val="18"/>
          <w:lang w:val="bg-BG"/>
        </w:rPr>
        <w:t xml:space="preserve">* Техническа помощ ** </w:t>
      </w:r>
      <w:r w:rsidRPr="00BC1A5E">
        <w:rPr>
          <w:rFonts w:cs="Arial"/>
          <w:bCs/>
          <w:szCs w:val="18"/>
          <w:lang w:val="bg-BG" w:eastAsia="bg-BG"/>
        </w:rPr>
        <w:t>Доплащания към директните плащания</w:t>
      </w:r>
    </w:p>
    <w:p w14:paraId="319CE92D" w14:textId="77777777" w:rsidR="00E8617E" w:rsidRPr="00BC1A5E" w:rsidRDefault="00E8617E" w:rsidP="00E8617E">
      <w:pPr>
        <w:pStyle w:val="DefaultText"/>
        <w:spacing w:line="240" w:lineRule="auto"/>
        <w:rPr>
          <w:rFonts w:cs="Arial"/>
          <w:szCs w:val="18"/>
          <w:lang w:val="bg-BG"/>
        </w:rPr>
      </w:pPr>
      <w:r w:rsidRPr="00BC1A5E">
        <w:rPr>
          <w:rFonts w:cs="Arial"/>
          <w:szCs w:val="18"/>
          <w:lang w:val="bg-BG"/>
        </w:rPr>
        <w:t>Източник: МЗХГ,</w:t>
      </w:r>
      <w:r w:rsidRPr="00BC1A5E">
        <w:rPr>
          <w:szCs w:val="18"/>
          <w:lang w:val="bg-BG"/>
        </w:rPr>
        <w:t xml:space="preserve"> ПРСР 2007-2013, </w:t>
      </w:r>
      <w:r w:rsidRPr="00BC1A5E">
        <w:rPr>
          <w:rFonts w:cs="Arial"/>
          <w:szCs w:val="18"/>
          <w:lang w:val="bg-BG"/>
        </w:rPr>
        <w:t>Шестнадесето изменение на ПРСР (2007-2013г.), собствени изчисления</w:t>
      </w:r>
    </w:p>
    <w:p w14:paraId="6BAA407B" w14:textId="77777777" w:rsidR="00E8617E" w:rsidRPr="00BC513A" w:rsidRDefault="00E8617E" w:rsidP="00E8617E">
      <w:pPr>
        <w:pStyle w:val="DefaultText"/>
        <w:spacing w:line="240" w:lineRule="auto"/>
        <w:rPr>
          <w:rFonts w:cs="Arial"/>
          <w:sz w:val="20"/>
          <w:lang w:val="bg-BG"/>
        </w:rPr>
      </w:pPr>
    </w:p>
    <w:p w14:paraId="7D78A66A" w14:textId="7B944C53"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В края на периода ос 3 се превръща в основен приоритет, като извършените разходите по оста възлизат на 37,53% от всички реални разходи по </w:t>
      </w:r>
      <w:r w:rsidR="000F57E9">
        <w:rPr>
          <w:sz w:val="22"/>
          <w:szCs w:val="22"/>
          <w:lang w:val="bg-BG"/>
        </w:rPr>
        <w:t>п</w:t>
      </w:r>
      <w:r w:rsidRPr="00BC513A">
        <w:rPr>
          <w:sz w:val="22"/>
          <w:szCs w:val="22"/>
          <w:lang w:val="bg-BG"/>
        </w:rPr>
        <w:t>рограмата. Реалните разходи по ос 2 и ос 4 възлизат съответно на 24,39% и 1,72%.</w:t>
      </w:r>
    </w:p>
    <w:p w14:paraId="18953AE7"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Предвидената мярка 341 </w:t>
      </w:r>
      <w:r w:rsidRPr="00BC513A">
        <w:rPr>
          <w:i/>
          <w:sz w:val="22"/>
          <w:szCs w:val="22"/>
          <w:lang w:val="bg-BG"/>
        </w:rPr>
        <w:t>Придобиване на умения и постигане на обществена активност с оглед на подготовката и прилагането на стратегии за местно развитие</w:t>
      </w:r>
      <w:r w:rsidRPr="00BC513A">
        <w:rPr>
          <w:sz w:val="22"/>
          <w:szCs w:val="22"/>
          <w:lang w:val="bg-BG"/>
        </w:rPr>
        <w:t>, която има отношение към прилагането на подхода ЛИДЕР (ос 4) с финансов ресурс в размер на 61,437 млн. евро (49,1496 млн. евро принос на ЕЗФРСР) не е приложена. Финансовият ресурс е пренасочен към инвестиционните мерки на ос 3.  Така планираните средства по ос 4 в окончателния бюджет са в размер на</w:t>
      </w:r>
      <w:r w:rsidR="003573C2">
        <w:rPr>
          <w:sz w:val="22"/>
          <w:szCs w:val="22"/>
          <w:lang w:val="bg-BG"/>
        </w:rPr>
        <w:t xml:space="preserve"> 1,71% от приноса на ЕЗФРСР</w:t>
      </w:r>
      <w:r w:rsidRPr="00BC513A">
        <w:rPr>
          <w:sz w:val="22"/>
          <w:szCs w:val="22"/>
          <w:lang w:val="bg-BG"/>
        </w:rPr>
        <w:t>.</w:t>
      </w:r>
    </w:p>
    <w:p w14:paraId="30017647" w14:textId="77777777" w:rsidR="00E8617E" w:rsidRPr="00BC513A" w:rsidRDefault="00E8617E" w:rsidP="00E8617E">
      <w:pPr>
        <w:pStyle w:val="Caption"/>
        <w:keepNext/>
        <w:spacing w:before="240" w:after="120"/>
        <w:rPr>
          <w:rFonts w:ascii="Arial" w:hAnsi="Arial" w:cs="Arial"/>
          <w:b/>
          <w:i w:val="0"/>
          <w:color w:val="0070C0"/>
          <w:sz w:val="20"/>
          <w:szCs w:val="20"/>
        </w:rPr>
      </w:pPr>
      <w:bookmarkStart w:id="62" w:name="_Toc504136184"/>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12</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Разпределение на средствата от ЕЗФРСР по оси (в евро)</w:t>
      </w:r>
      <w:bookmarkEnd w:id="62"/>
    </w:p>
    <w:tbl>
      <w:tblPr>
        <w:tblW w:w="9072" w:type="dxa"/>
        <w:tblInd w:w="-5" w:type="dxa"/>
        <w:tblLayout w:type="fixed"/>
        <w:tblCellMar>
          <w:left w:w="70" w:type="dxa"/>
          <w:right w:w="70" w:type="dxa"/>
        </w:tblCellMar>
        <w:tblLook w:val="04A0" w:firstRow="1" w:lastRow="0" w:firstColumn="1" w:lastColumn="0" w:noHBand="0" w:noVBand="1"/>
      </w:tblPr>
      <w:tblGrid>
        <w:gridCol w:w="1134"/>
        <w:gridCol w:w="1560"/>
        <w:gridCol w:w="1417"/>
        <w:gridCol w:w="1418"/>
        <w:gridCol w:w="1842"/>
        <w:gridCol w:w="1701"/>
      </w:tblGrid>
      <w:tr w:rsidR="00E8617E" w:rsidRPr="00BC513A" w14:paraId="7AAD780D" w14:textId="77777777" w:rsidTr="00BC7D66">
        <w:trPr>
          <w:trHeight w:val="900"/>
          <w:tblHeader/>
        </w:trPr>
        <w:tc>
          <w:tcPr>
            <w:tcW w:w="1134"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43234AC6" w14:textId="357C809A" w:rsidR="00E8617E" w:rsidRPr="00BC513A" w:rsidRDefault="00E8617E" w:rsidP="00AB2B2B">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О</w:t>
            </w:r>
            <w:r w:rsidR="00AB2B2B">
              <w:rPr>
                <w:rFonts w:ascii="Arial" w:hAnsi="Arial" w:cs="Arial"/>
                <w:b/>
                <w:color w:val="FFFFFF" w:themeColor="background1"/>
                <w:sz w:val="18"/>
                <w:szCs w:val="18"/>
                <w:lang w:eastAsia="bg-BG"/>
              </w:rPr>
              <w:t>с</w:t>
            </w:r>
          </w:p>
        </w:tc>
        <w:tc>
          <w:tcPr>
            <w:tcW w:w="1560"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3BF8649F"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Първоначален бюджет</w:t>
            </w:r>
          </w:p>
        </w:tc>
        <w:tc>
          <w:tcPr>
            <w:tcW w:w="1417"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33907AC"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Окончателен бюджет</w:t>
            </w:r>
          </w:p>
        </w:tc>
        <w:tc>
          <w:tcPr>
            <w:tcW w:w="1418"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7DE81823"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Действителни разходи</w:t>
            </w:r>
          </w:p>
        </w:tc>
        <w:tc>
          <w:tcPr>
            <w:tcW w:w="1842"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BF301EE"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Действителни разходи като % от финалния бюджет</w:t>
            </w:r>
          </w:p>
        </w:tc>
        <w:tc>
          <w:tcPr>
            <w:tcW w:w="1701"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49DF42F"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Действителни разходи като % от първоначалния бюджет</w:t>
            </w:r>
          </w:p>
        </w:tc>
      </w:tr>
      <w:tr w:rsidR="00E8617E" w:rsidRPr="00BC513A" w14:paraId="12DCBD47" w14:textId="77777777" w:rsidTr="00922731">
        <w:trPr>
          <w:trHeight w:val="167"/>
          <w:tblHeader/>
        </w:trPr>
        <w:tc>
          <w:tcPr>
            <w:tcW w:w="9072" w:type="dxa"/>
            <w:gridSpan w:val="6"/>
            <w:tcBorders>
              <w:top w:val="nil"/>
              <w:left w:val="single" w:sz="4" w:space="0" w:color="auto"/>
              <w:bottom w:val="single" w:sz="4" w:space="0" w:color="auto"/>
              <w:right w:val="single" w:sz="4" w:space="0" w:color="auto"/>
            </w:tcBorders>
            <w:shd w:val="clear" w:color="auto" w:fill="auto"/>
            <w:noWrap/>
            <w:vAlign w:val="bottom"/>
            <w:hideMark/>
          </w:tcPr>
          <w:p w14:paraId="6BE387C7" w14:textId="77777777" w:rsidR="00E8617E" w:rsidRPr="00BC513A" w:rsidRDefault="00E8617E" w:rsidP="00922731">
            <w:pPr>
              <w:spacing w:after="0" w:line="240" w:lineRule="auto"/>
              <w:outlineLvl w:val="0"/>
              <w:rPr>
                <w:rFonts w:ascii="Arial" w:eastAsia="Times New Roman" w:hAnsi="Arial" w:cs="Arial"/>
                <w:color w:val="000000"/>
                <w:sz w:val="18"/>
                <w:szCs w:val="18"/>
                <w:lang w:eastAsia="bg-BG"/>
              </w:rPr>
            </w:pPr>
          </w:p>
        </w:tc>
      </w:tr>
      <w:tr w:rsidR="00E8617E" w:rsidRPr="00BC513A" w14:paraId="0BA8D50C" w14:textId="77777777" w:rsidTr="00BC7D66">
        <w:trPr>
          <w:trHeight w:val="30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9561A7F"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w:t>
            </w:r>
          </w:p>
        </w:tc>
        <w:tc>
          <w:tcPr>
            <w:tcW w:w="1560" w:type="dxa"/>
            <w:tcBorders>
              <w:top w:val="nil"/>
              <w:left w:val="nil"/>
              <w:bottom w:val="single" w:sz="4" w:space="0" w:color="auto"/>
              <w:right w:val="single" w:sz="4" w:space="0" w:color="auto"/>
            </w:tcBorders>
            <w:shd w:val="clear" w:color="auto" w:fill="auto"/>
            <w:noWrap/>
            <w:vAlign w:val="center"/>
            <w:hideMark/>
          </w:tcPr>
          <w:p w14:paraId="37433B7A"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972 181 086</w:t>
            </w:r>
            <w:r w:rsidRPr="00BC513A">
              <w:rPr>
                <w:rStyle w:val="FootnoteReference"/>
                <w:rFonts w:ascii="Arial" w:hAnsi="Arial" w:cs="Arial"/>
                <w:sz w:val="18"/>
                <w:szCs w:val="18"/>
                <w:lang w:eastAsia="bg-BG"/>
              </w:rPr>
              <w:footnoteReference w:id="22"/>
            </w:r>
          </w:p>
        </w:tc>
        <w:tc>
          <w:tcPr>
            <w:tcW w:w="1417" w:type="dxa"/>
            <w:tcBorders>
              <w:top w:val="nil"/>
              <w:left w:val="nil"/>
              <w:bottom w:val="single" w:sz="4" w:space="0" w:color="auto"/>
              <w:right w:val="single" w:sz="4" w:space="0" w:color="auto"/>
            </w:tcBorders>
            <w:shd w:val="clear" w:color="auto" w:fill="auto"/>
            <w:noWrap/>
            <w:vAlign w:val="center"/>
            <w:hideMark/>
          </w:tcPr>
          <w:p w14:paraId="294D79C9"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744 630 006</w:t>
            </w:r>
          </w:p>
        </w:tc>
        <w:tc>
          <w:tcPr>
            <w:tcW w:w="1418" w:type="dxa"/>
            <w:tcBorders>
              <w:top w:val="nil"/>
              <w:left w:val="nil"/>
              <w:bottom w:val="single" w:sz="4" w:space="0" w:color="auto"/>
              <w:right w:val="single" w:sz="4" w:space="0" w:color="auto"/>
            </w:tcBorders>
            <w:shd w:val="clear" w:color="auto" w:fill="auto"/>
            <w:noWrap/>
            <w:vAlign w:val="center"/>
            <w:hideMark/>
          </w:tcPr>
          <w:p w14:paraId="1C45CBEB"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740 343 416</w:t>
            </w:r>
          </w:p>
        </w:tc>
        <w:tc>
          <w:tcPr>
            <w:tcW w:w="1842" w:type="dxa"/>
            <w:tcBorders>
              <w:top w:val="nil"/>
              <w:left w:val="nil"/>
              <w:bottom w:val="single" w:sz="4" w:space="0" w:color="auto"/>
              <w:right w:val="single" w:sz="4" w:space="0" w:color="auto"/>
            </w:tcBorders>
            <w:shd w:val="clear" w:color="auto" w:fill="auto"/>
            <w:noWrap/>
            <w:vAlign w:val="center"/>
            <w:hideMark/>
          </w:tcPr>
          <w:p w14:paraId="3CACBD2E"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99,42%</w:t>
            </w:r>
          </w:p>
        </w:tc>
        <w:tc>
          <w:tcPr>
            <w:tcW w:w="1701" w:type="dxa"/>
            <w:tcBorders>
              <w:top w:val="nil"/>
              <w:left w:val="nil"/>
              <w:bottom w:val="single" w:sz="4" w:space="0" w:color="auto"/>
              <w:right w:val="single" w:sz="4" w:space="0" w:color="auto"/>
            </w:tcBorders>
            <w:shd w:val="clear" w:color="auto" w:fill="auto"/>
            <w:noWrap/>
            <w:vAlign w:val="center"/>
            <w:hideMark/>
          </w:tcPr>
          <w:p w14:paraId="49E25A23"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76,15%</w:t>
            </w:r>
          </w:p>
        </w:tc>
      </w:tr>
      <w:tr w:rsidR="00E8617E" w:rsidRPr="00BC513A" w14:paraId="76DD2E5C" w14:textId="77777777" w:rsidTr="00BC7D66">
        <w:trPr>
          <w:trHeight w:val="30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6701E926"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2</w:t>
            </w:r>
          </w:p>
        </w:tc>
        <w:tc>
          <w:tcPr>
            <w:tcW w:w="1560" w:type="dxa"/>
            <w:tcBorders>
              <w:top w:val="nil"/>
              <w:left w:val="nil"/>
              <w:bottom w:val="single" w:sz="4" w:space="0" w:color="auto"/>
              <w:right w:val="single" w:sz="4" w:space="0" w:color="auto"/>
            </w:tcBorders>
            <w:shd w:val="clear" w:color="auto" w:fill="auto"/>
            <w:noWrap/>
            <w:vAlign w:val="center"/>
            <w:hideMark/>
          </w:tcPr>
          <w:p w14:paraId="4F5A550F"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637 463 170</w:t>
            </w:r>
          </w:p>
        </w:tc>
        <w:tc>
          <w:tcPr>
            <w:tcW w:w="1417" w:type="dxa"/>
            <w:tcBorders>
              <w:top w:val="nil"/>
              <w:left w:val="nil"/>
              <w:bottom w:val="single" w:sz="4" w:space="0" w:color="auto"/>
              <w:right w:val="single" w:sz="4" w:space="0" w:color="auto"/>
            </w:tcBorders>
            <w:shd w:val="clear" w:color="auto" w:fill="auto"/>
            <w:noWrap/>
            <w:vAlign w:val="center"/>
            <w:hideMark/>
          </w:tcPr>
          <w:p w14:paraId="577DFCC3"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615 930 000</w:t>
            </w:r>
          </w:p>
        </w:tc>
        <w:tc>
          <w:tcPr>
            <w:tcW w:w="1418" w:type="dxa"/>
            <w:tcBorders>
              <w:top w:val="nil"/>
              <w:left w:val="nil"/>
              <w:bottom w:val="single" w:sz="4" w:space="0" w:color="auto"/>
              <w:right w:val="single" w:sz="4" w:space="0" w:color="auto"/>
            </w:tcBorders>
            <w:shd w:val="clear" w:color="auto" w:fill="auto"/>
            <w:noWrap/>
            <w:vAlign w:val="center"/>
            <w:hideMark/>
          </w:tcPr>
          <w:p w14:paraId="1756964A"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614 676 977</w:t>
            </w:r>
          </w:p>
        </w:tc>
        <w:tc>
          <w:tcPr>
            <w:tcW w:w="1842" w:type="dxa"/>
            <w:tcBorders>
              <w:top w:val="nil"/>
              <w:left w:val="nil"/>
              <w:bottom w:val="single" w:sz="4" w:space="0" w:color="auto"/>
              <w:right w:val="single" w:sz="4" w:space="0" w:color="auto"/>
            </w:tcBorders>
            <w:shd w:val="clear" w:color="auto" w:fill="auto"/>
            <w:noWrap/>
            <w:vAlign w:val="center"/>
            <w:hideMark/>
          </w:tcPr>
          <w:p w14:paraId="6FD0595D"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99,80%</w:t>
            </w:r>
          </w:p>
        </w:tc>
        <w:tc>
          <w:tcPr>
            <w:tcW w:w="1701" w:type="dxa"/>
            <w:tcBorders>
              <w:top w:val="nil"/>
              <w:left w:val="nil"/>
              <w:bottom w:val="single" w:sz="4" w:space="0" w:color="auto"/>
              <w:right w:val="single" w:sz="4" w:space="0" w:color="auto"/>
            </w:tcBorders>
            <w:shd w:val="clear" w:color="auto" w:fill="auto"/>
            <w:noWrap/>
            <w:vAlign w:val="center"/>
            <w:hideMark/>
          </w:tcPr>
          <w:p w14:paraId="270145BD"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96,43%</w:t>
            </w:r>
          </w:p>
        </w:tc>
      </w:tr>
      <w:tr w:rsidR="00E8617E" w:rsidRPr="00BC513A" w14:paraId="65B24670" w14:textId="77777777" w:rsidTr="00BC7D66">
        <w:trPr>
          <w:trHeight w:val="30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1E48834C"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3</w:t>
            </w:r>
          </w:p>
        </w:tc>
        <w:tc>
          <w:tcPr>
            <w:tcW w:w="1560" w:type="dxa"/>
            <w:tcBorders>
              <w:top w:val="nil"/>
              <w:left w:val="nil"/>
              <w:bottom w:val="single" w:sz="4" w:space="0" w:color="auto"/>
              <w:right w:val="single" w:sz="4" w:space="0" w:color="auto"/>
            </w:tcBorders>
            <w:shd w:val="clear" w:color="auto" w:fill="auto"/>
            <w:noWrap/>
            <w:vAlign w:val="center"/>
            <w:hideMark/>
          </w:tcPr>
          <w:p w14:paraId="5EE1C875"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726 995 847</w:t>
            </w:r>
          </w:p>
        </w:tc>
        <w:tc>
          <w:tcPr>
            <w:tcW w:w="1417" w:type="dxa"/>
            <w:tcBorders>
              <w:top w:val="nil"/>
              <w:left w:val="nil"/>
              <w:bottom w:val="single" w:sz="4" w:space="0" w:color="auto"/>
              <w:right w:val="single" w:sz="4" w:space="0" w:color="auto"/>
            </w:tcBorders>
            <w:shd w:val="clear" w:color="auto" w:fill="auto"/>
            <w:noWrap/>
            <w:vAlign w:val="center"/>
            <w:hideMark/>
          </w:tcPr>
          <w:p w14:paraId="16D42625"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942 881 165</w:t>
            </w:r>
          </w:p>
        </w:tc>
        <w:tc>
          <w:tcPr>
            <w:tcW w:w="1418" w:type="dxa"/>
            <w:tcBorders>
              <w:top w:val="nil"/>
              <w:left w:val="nil"/>
              <w:bottom w:val="single" w:sz="4" w:space="0" w:color="auto"/>
              <w:right w:val="single" w:sz="4" w:space="0" w:color="auto"/>
            </w:tcBorders>
            <w:shd w:val="clear" w:color="auto" w:fill="auto"/>
            <w:noWrap/>
            <w:vAlign w:val="center"/>
            <w:hideMark/>
          </w:tcPr>
          <w:p w14:paraId="63C813A9"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924 840 266</w:t>
            </w:r>
          </w:p>
        </w:tc>
        <w:tc>
          <w:tcPr>
            <w:tcW w:w="1842" w:type="dxa"/>
            <w:tcBorders>
              <w:top w:val="nil"/>
              <w:left w:val="nil"/>
              <w:bottom w:val="single" w:sz="4" w:space="0" w:color="auto"/>
              <w:right w:val="single" w:sz="4" w:space="0" w:color="auto"/>
            </w:tcBorders>
            <w:shd w:val="clear" w:color="auto" w:fill="auto"/>
            <w:noWrap/>
            <w:vAlign w:val="center"/>
            <w:hideMark/>
          </w:tcPr>
          <w:p w14:paraId="0DA71968"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98,09%</w:t>
            </w:r>
          </w:p>
        </w:tc>
        <w:tc>
          <w:tcPr>
            <w:tcW w:w="1701" w:type="dxa"/>
            <w:tcBorders>
              <w:top w:val="nil"/>
              <w:left w:val="nil"/>
              <w:bottom w:val="single" w:sz="4" w:space="0" w:color="auto"/>
              <w:right w:val="single" w:sz="4" w:space="0" w:color="auto"/>
            </w:tcBorders>
            <w:shd w:val="clear" w:color="auto" w:fill="auto"/>
            <w:noWrap/>
            <w:vAlign w:val="center"/>
            <w:hideMark/>
          </w:tcPr>
          <w:p w14:paraId="5E866A8B"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127,21%</w:t>
            </w:r>
          </w:p>
        </w:tc>
      </w:tr>
      <w:tr w:rsidR="00E8617E" w:rsidRPr="00BC513A" w14:paraId="130D2108" w14:textId="77777777" w:rsidTr="00BC7D66">
        <w:trPr>
          <w:trHeight w:val="30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03451EC4"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4</w:t>
            </w:r>
          </w:p>
        </w:tc>
        <w:tc>
          <w:tcPr>
            <w:tcW w:w="1560" w:type="dxa"/>
            <w:tcBorders>
              <w:top w:val="nil"/>
              <w:left w:val="nil"/>
              <w:bottom w:val="single" w:sz="4" w:space="0" w:color="auto"/>
              <w:right w:val="single" w:sz="4" w:space="0" w:color="auto"/>
            </w:tcBorders>
            <w:shd w:val="clear" w:color="auto" w:fill="auto"/>
            <w:noWrap/>
            <w:vAlign w:val="center"/>
            <w:hideMark/>
          </w:tcPr>
          <w:p w14:paraId="0DBA0425"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61 590 645</w:t>
            </w:r>
          </w:p>
        </w:tc>
        <w:tc>
          <w:tcPr>
            <w:tcW w:w="1417" w:type="dxa"/>
            <w:tcBorders>
              <w:top w:val="nil"/>
              <w:left w:val="nil"/>
              <w:bottom w:val="single" w:sz="4" w:space="0" w:color="auto"/>
              <w:right w:val="single" w:sz="4" w:space="0" w:color="auto"/>
            </w:tcBorders>
            <w:shd w:val="clear" w:color="auto" w:fill="auto"/>
            <w:noWrap/>
            <w:vAlign w:val="center"/>
            <w:hideMark/>
          </w:tcPr>
          <w:p w14:paraId="343DC919"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42 710 000</w:t>
            </w:r>
          </w:p>
        </w:tc>
        <w:tc>
          <w:tcPr>
            <w:tcW w:w="1418" w:type="dxa"/>
            <w:tcBorders>
              <w:top w:val="nil"/>
              <w:left w:val="nil"/>
              <w:bottom w:val="single" w:sz="4" w:space="0" w:color="auto"/>
              <w:right w:val="single" w:sz="4" w:space="0" w:color="auto"/>
            </w:tcBorders>
            <w:shd w:val="clear" w:color="auto" w:fill="auto"/>
            <w:noWrap/>
            <w:vAlign w:val="center"/>
            <w:hideMark/>
          </w:tcPr>
          <w:p w14:paraId="4158A3C4"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42 281 658</w:t>
            </w:r>
          </w:p>
        </w:tc>
        <w:tc>
          <w:tcPr>
            <w:tcW w:w="1842" w:type="dxa"/>
            <w:tcBorders>
              <w:top w:val="nil"/>
              <w:left w:val="nil"/>
              <w:bottom w:val="single" w:sz="4" w:space="0" w:color="auto"/>
              <w:right w:val="single" w:sz="4" w:space="0" w:color="auto"/>
            </w:tcBorders>
            <w:shd w:val="clear" w:color="auto" w:fill="auto"/>
            <w:noWrap/>
            <w:vAlign w:val="center"/>
            <w:hideMark/>
          </w:tcPr>
          <w:p w14:paraId="008F6E53"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99,00%</w:t>
            </w:r>
          </w:p>
        </w:tc>
        <w:tc>
          <w:tcPr>
            <w:tcW w:w="1701" w:type="dxa"/>
            <w:tcBorders>
              <w:top w:val="nil"/>
              <w:left w:val="nil"/>
              <w:bottom w:val="single" w:sz="4" w:space="0" w:color="auto"/>
              <w:right w:val="single" w:sz="4" w:space="0" w:color="auto"/>
            </w:tcBorders>
            <w:shd w:val="clear" w:color="auto" w:fill="auto"/>
            <w:noWrap/>
            <w:vAlign w:val="center"/>
            <w:hideMark/>
          </w:tcPr>
          <w:p w14:paraId="19880AA5"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68,65%</w:t>
            </w:r>
          </w:p>
        </w:tc>
      </w:tr>
      <w:tr w:rsidR="00E8617E" w:rsidRPr="00BC513A" w14:paraId="43A91757" w14:textId="77777777" w:rsidTr="00922731">
        <w:trPr>
          <w:trHeight w:val="73"/>
        </w:trPr>
        <w:tc>
          <w:tcPr>
            <w:tcW w:w="9072" w:type="dxa"/>
            <w:gridSpan w:val="6"/>
            <w:tcBorders>
              <w:top w:val="nil"/>
              <w:left w:val="single" w:sz="4" w:space="0" w:color="auto"/>
              <w:bottom w:val="single" w:sz="4" w:space="0" w:color="auto"/>
              <w:right w:val="single" w:sz="4" w:space="0" w:color="auto"/>
            </w:tcBorders>
            <w:shd w:val="clear" w:color="auto" w:fill="auto"/>
            <w:noWrap/>
            <w:vAlign w:val="center"/>
          </w:tcPr>
          <w:p w14:paraId="79B8DAA6"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 xml:space="preserve"> </w:t>
            </w:r>
          </w:p>
        </w:tc>
      </w:tr>
      <w:tr w:rsidR="00E8617E" w:rsidRPr="00BC513A" w14:paraId="0D8241B1" w14:textId="77777777" w:rsidTr="00BC7D66">
        <w:trPr>
          <w:trHeight w:val="300"/>
        </w:trPr>
        <w:tc>
          <w:tcPr>
            <w:tcW w:w="1134"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48F13E98" w14:textId="795D99A2" w:rsidR="00E8617E" w:rsidRPr="00BC513A" w:rsidRDefault="00E8617E" w:rsidP="00AB2B2B">
            <w:pPr>
              <w:spacing w:after="0"/>
              <w:jc w:val="center"/>
              <w:rPr>
                <w:rFonts w:ascii="Arial" w:hAnsi="Arial" w:cs="Arial"/>
                <w:b/>
                <w:sz w:val="18"/>
                <w:szCs w:val="18"/>
                <w:lang w:eastAsia="bg-BG"/>
              </w:rPr>
            </w:pPr>
            <w:r w:rsidRPr="00BC513A">
              <w:rPr>
                <w:rFonts w:ascii="Arial" w:hAnsi="Arial" w:cs="Arial"/>
                <w:b/>
                <w:sz w:val="18"/>
                <w:szCs w:val="18"/>
                <w:lang w:eastAsia="bg-BG"/>
              </w:rPr>
              <w:t xml:space="preserve">ОБЩО </w:t>
            </w:r>
            <w:r w:rsidR="00AB2B2B">
              <w:rPr>
                <w:rFonts w:ascii="Arial" w:hAnsi="Arial" w:cs="Arial"/>
                <w:b/>
                <w:sz w:val="18"/>
                <w:szCs w:val="18"/>
                <w:lang w:eastAsia="bg-BG"/>
              </w:rPr>
              <w:t>Ос</w:t>
            </w:r>
            <w:r w:rsidRPr="00BC513A">
              <w:rPr>
                <w:rFonts w:ascii="Arial" w:hAnsi="Arial" w:cs="Arial"/>
                <w:b/>
                <w:sz w:val="18"/>
                <w:szCs w:val="18"/>
                <w:lang w:eastAsia="bg-BG"/>
              </w:rPr>
              <w:t xml:space="preserve"> 1,2,3 и 4</w:t>
            </w:r>
          </w:p>
        </w:tc>
        <w:tc>
          <w:tcPr>
            <w:tcW w:w="1560" w:type="dxa"/>
            <w:tcBorders>
              <w:top w:val="nil"/>
              <w:left w:val="nil"/>
              <w:bottom w:val="single" w:sz="4" w:space="0" w:color="auto"/>
              <w:right w:val="single" w:sz="4" w:space="0" w:color="auto"/>
            </w:tcBorders>
            <w:shd w:val="clear" w:color="auto" w:fill="DEEAF6" w:themeFill="accent1" w:themeFillTint="33"/>
            <w:noWrap/>
            <w:vAlign w:val="center"/>
            <w:hideMark/>
          </w:tcPr>
          <w:p w14:paraId="69FB2CD3"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2 398 230 748</w:t>
            </w:r>
          </w:p>
        </w:tc>
        <w:tc>
          <w:tcPr>
            <w:tcW w:w="1417" w:type="dxa"/>
            <w:tcBorders>
              <w:top w:val="nil"/>
              <w:left w:val="nil"/>
              <w:bottom w:val="single" w:sz="4" w:space="0" w:color="auto"/>
              <w:right w:val="single" w:sz="4" w:space="0" w:color="auto"/>
            </w:tcBorders>
            <w:shd w:val="clear" w:color="auto" w:fill="DEEAF6" w:themeFill="accent1" w:themeFillTint="33"/>
            <w:noWrap/>
            <w:vAlign w:val="center"/>
            <w:hideMark/>
          </w:tcPr>
          <w:p w14:paraId="63F39229"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2 346 151 171</w:t>
            </w:r>
          </w:p>
        </w:tc>
        <w:tc>
          <w:tcPr>
            <w:tcW w:w="1418" w:type="dxa"/>
            <w:tcBorders>
              <w:top w:val="nil"/>
              <w:left w:val="nil"/>
              <w:bottom w:val="single" w:sz="4" w:space="0" w:color="auto"/>
              <w:right w:val="single" w:sz="4" w:space="0" w:color="auto"/>
            </w:tcBorders>
            <w:shd w:val="clear" w:color="auto" w:fill="DEEAF6" w:themeFill="accent1" w:themeFillTint="33"/>
            <w:noWrap/>
            <w:vAlign w:val="center"/>
            <w:hideMark/>
          </w:tcPr>
          <w:p w14:paraId="123B243C"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2 322 142 318</w:t>
            </w:r>
          </w:p>
        </w:tc>
        <w:tc>
          <w:tcPr>
            <w:tcW w:w="1842" w:type="dxa"/>
            <w:tcBorders>
              <w:top w:val="nil"/>
              <w:left w:val="nil"/>
              <w:bottom w:val="single" w:sz="4" w:space="0" w:color="auto"/>
              <w:right w:val="single" w:sz="4" w:space="0" w:color="auto"/>
            </w:tcBorders>
            <w:shd w:val="clear" w:color="auto" w:fill="DEEAF6" w:themeFill="accent1" w:themeFillTint="33"/>
            <w:noWrap/>
            <w:vAlign w:val="center"/>
            <w:hideMark/>
          </w:tcPr>
          <w:p w14:paraId="01E9D683"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98,98%</w:t>
            </w:r>
          </w:p>
        </w:tc>
        <w:tc>
          <w:tcPr>
            <w:tcW w:w="1701" w:type="dxa"/>
            <w:tcBorders>
              <w:top w:val="nil"/>
              <w:left w:val="nil"/>
              <w:bottom w:val="single" w:sz="4" w:space="0" w:color="auto"/>
              <w:right w:val="single" w:sz="4" w:space="0" w:color="auto"/>
            </w:tcBorders>
            <w:shd w:val="clear" w:color="auto" w:fill="DEEAF6" w:themeFill="accent1" w:themeFillTint="33"/>
            <w:noWrap/>
            <w:vAlign w:val="center"/>
            <w:hideMark/>
          </w:tcPr>
          <w:p w14:paraId="02D7025C"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96,83%</w:t>
            </w:r>
          </w:p>
        </w:tc>
      </w:tr>
      <w:tr w:rsidR="00E8617E" w:rsidRPr="00BC513A" w14:paraId="19B6A8FE" w14:textId="77777777" w:rsidTr="00BC7D66">
        <w:trPr>
          <w:trHeight w:val="30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591EEB9A"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 xml:space="preserve">511* </w:t>
            </w:r>
          </w:p>
        </w:tc>
        <w:tc>
          <w:tcPr>
            <w:tcW w:w="1560" w:type="dxa"/>
            <w:tcBorders>
              <w:top w:val="nil"/>
              <w:left w:val="nil"/>
              <w:bottom w:val="single" w:sz="4" w:space="0" w:color="auto"/>
              <w:right w:val="single" w:sz="4" w:space="0" w:color="auto"/>
            </w:tcBorders>
            <w:shd w:val="clear" w:color="auto" w:fill="auto"/>
            <w:noWrap/>
            <w:vAlign w:val="center"/>
            <w:hideMark/>
          </w:tcPr>
          <w:p w14:paraId="12415007"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98 545 031</w:t>
            </w:r>
          </w:p>
        </w:tc>
        <w:tc>
          <w:tcPr>
            <w:tcW w:w="1417" w:type="dxa"/>
            <w:tcBorders>
              <w:top w:val="nil"/>
              <w:left w:val="nil"/>
              <w:bottom w:val="single" w:sz="4" w:space="0" w:color="auto"/>
              <w:right w:val="single" w:sz="4" w:space="0" w:color="auto"/>
            </w:tcBorders>
            <w:shd w:val="clear" w:color="auto" w:fill="auto"/>
            <w:noWrap/>
            <w:vAlign w:val="center"/>
            <w:hideMark/>
          </w:tcPr>
          <w:p w14:paraId="6EA7DF14"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31 300 000</w:t>
            </w:r>
          </w:p>
        </w:tc>
        <w:tc>
          <w:tcPr>
            <w:tcW w:w="1418" w:type="dxa"/>
            <w:tcBorders>
              <w:top w:val="nil"/>
              <w:left w:val="nil"/>
              <w:bottom w:val="single" w:sz="4" w:space="0" w:color="auto"/>
              <w:right w:val="single" w:sz="4" w:space="0" w:color="auto"/>
            </w:tcBorders>
            <w:shd w:val="clear" w:color="auto" w:fill="auto"/>
            <w:noWrap/>
            <w:vAlign w:val="center"/>
            <w:hideMark/>
          </w:tcPr>
          <w:p w14:paraId="3925E77F"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30 506 927</w:t>
            </w:r>
          </w:p>
        </w:tc>
        <w:tc>
          <w:tcPr>
            <w:tcW w:w="1842" w:type="dxa"/>
            <w:tcBorders>
              <w:top w:val="nil"/>
              <w:left w:val="nil"/>
              <w:bottom w:val="single" w:sz="4" w:space="0" w:color="auto"/>
              <w:right w:val="single" w:sz="4" w:space="0" w:color="auto"/>
            </w:tcBorders>
            <w:shd w:val="clear" w:color="auto" w:fill="auto"/>
            <w:noWrap/>
            <w:vAlign w:val="center"/>
            <w:hideMark/>
          </w:tcPr>
          <w:p w14:paraId="7E2EB5E5"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97,47%</w:t>
            </w:r>
          </w:p>
        </w:tc>
        <w:tc>
          <w:tcPr>
            <w:tcW w:w="1701" w:type="dxa"/>
            <w:tcBorders>
              <w:top w:val="nil"/>
              <w:left w:val="nil"/>
              <w:bottom w:val="single" w:sz="4" w:space="0" w:color="auto"/>
              <w:right w:val="single" w:sz="4" w:space="0" w:color="auto"/>
            </w:tcBorders>
            <w:shd w:val="clear" w:color="auto" w:fill="auto"/>
            <w:noWrap/>
            <w:vAlign w:val="center"/>
            <w:hideMark/>
          </w:tcPr>
          <w:p w14:paraId="61050C53"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30,96%</w:t>
            </w:r>
          </w:p>
        </w:tc>
      </w:tr>
      <w:tr w:rsidR="00E8617E" w:rsidRPr="00BC513A" w14:paraId="3A98323E" w14:textId="77777777" w:rsidTr="00BC7D66">
        <w:trPr>
          <w:trHeight w:val="33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0F7DCDC7"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 xml:space="preserve">611** </w:t>
            </w:r>
          </w:p>
        </w:tc>
        <w:tc>
          <w:tcPr>
            <w:tcW w:w="1560" w:type="dxa"/>
            <w:tcBorders>
              <w:top w:val="nil"/>
              <w:left w:val="nil"/>
              <w:bottom w:val="single" w:sz="4" w:space="0" w:color="auto"/>
              <w:right w:val="single" w:sz="4" w:space="0" w:color="auto"/>
            </w:tcBorders>
            <w:shd w:val="clear" w:color="auto" w:fill="auto"/>
            <w:noWrap/>
            <w:vAlign w:val="center"/>
            <w:hideMark/>
          </w:tcPr>
          <w:p w14:paraId="684BF2EE"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145 472 817</w:t>
            </w:r>
          </w:p>
        </w:tc>
        <w:tc>
          <w:tcPr>
            <w:tcW w:w="1417" w:type="dxa"/>
            <w:tcBorders>
              <w:top w:val="nil"/>
              <w:left w:val="nil"/>
              <w:bottom w:val="single" w:sz="4" w:space="0" w:color="auto"/>
              <w:right w:val="single" w:sz="4" w:space="0" w:color="auto"/>
            </w:tcBorders>
            <w:shd w:val="clear" w:color="auto" w:fill="auto"/>
            <w:noWrap/>
            <w:vAlign w:val="center"/>
            <w:hideMark/>
          </w:tcPr>
          <w:p w14:paraId="44B371AC"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123 386 000</w:t>
            </w:r>
          </w:p>
        </w:tc>
        <w:tc>
          <w:tcPr>
            <w:tcW w:w="1418" w:type="dxa"/>
            <w:tcBorders>
              <w:top w:val="nil"/>
              <w:left w:val="nil"/>
              <w:bottom w:val="single" w:sz="4" w:space="0" w:color="auto"/>
              <w:right w:val="single" w:sz="4" w:space="0" w:color="auto"/>
            </w:tcBorders>
            <w:shd w:val="clear" w:color="auto" w:fill="auto"/>
            <w:noWrap/>
            <w:vAlign w:val="center"/>
            <w:hideMark/>
          </w:tcPr>
          <w:p w14:paraId="331CABD3"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123 405 967</w:t>
            </w:r>
          </w:p>
        </w:tc>
        <w:tc>
          <w:tcPr>
            <w:tcW w:w="1842" w:type="dxa"/>
            <w:tcBorders>
              <w:top w:val="nil"/>
              <w:left w:val="nil"/>
              <w:bottom w:val="single" w:sz="4" w:space="0" w:color="auto"/>
              <w:right w:val="single" w:sz="4" w:space="0" w:color="auto"/>
            </w:tcBorders>
            <w:shd w:val="clear" w:color="auto" w:fill="auto"/>
            <w:noWrap/>
            <w:vAlign w:val="center"/>
            <w:hideMark/>
          </w:tcPr>
          <w:p w14:paraId="6DF89D69"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100,02%</w:t>
            </w:r>
          </w:p>
        </w:tc>
        <w:tc>
          <w:tcPr>
            <w:tcW w:w="1701" w:type="dxa"/>
            <w:tcBorders>
              <w:top w:val="nil"/>
              <w:left w:val="nil"/>
              <w:bottom w:val="single" w:sz="4" w:space="0" w:color="auto"/>
              <w:right w:val="single" w:sz="4" w:space="0" w:color="auto"/>
            </w:tcBorders>
            <w:shd w:val="clear" w:color="auto" w:fill="auto"/>
            <w:noWrap/>
            <w:vAlign w:val="center"/>
            <w:hideMark/>
          </w:tcPr>
          <w:p w14:paraId="75BBA43A" w14:textId="77777777" w:rsidR="00E8617E" w:rsidRPr="00BC513A" w:rsidRDefault="00E8617E" w:rsidP="00922731">
            <w:pPr>
              <w:spacing w:after="0"/>
              <w:jc w:val="center"/>
              <w:rPr>
                <w:rFonts w:ascii="Arial" w:hAnsi="Arial" w:cs="Arial"/>
                <w:sz w:val="18"/>
                <w:szCs w:val="18"/>
                <w:lang w:eastAsia="bg-BG"/>
              </w:rPr>
            </w:pPr>
            <w:r w:rsidRPr="00BC513A">
              <w:rPr>
                <w:rFonts w:ascii="Arial" w:hAnsi="Arial" w:cs="Arial"/>
                <w:sz w:val="18"/>
                <w:szCs w:val="18"/>
                <w:lang w:eastAsia="bg-BG"/>
              </w:rPr>
              <w:t>84,83%</w:t>
            </w:r>
          </w:p>
        </w:tc>
      </w:tr>
      <w:tr w:rsidR="00E8617E" w:rsidRPr="00BC513A" w14:paraId="65E76E7A" w14:textId="77777777" w:rsidTr="00922731">
        <w:trPr>
          <w:trHeight w:val="73"/>
        </w:trPr>
        <w:tc>
          <w:tcPr>
            <w:tcW w:w="9072" w:type="dxa"/>
            <w:gridSpan w:val="6"/>
            <w:tcBorders>
              <w:top w:val="nil"/>
              <w:left w:val="single" w:sz="4" w:space="0" w:color="auto"/>
              <w:bottom w:val="single" w:sz="4" w:space="0" w:color="auto"/>
              <w:right w:val="single" w:sz="4" w:space="0" w:color="auto"/>
            </w:tcBorders>
            <w:shd w:val="clear" w:color="auto" w:fill="auto"/>
            <w:vAlign w:val="center"/>
          </w:tcPr>
          <w:p w14:paraId="7BCC4106" w14:textId="77777777" w:rsidR="00E8617E" w:rsidRPr="00BC513A" w:rsidRDefault="00E8617E" w:rsidP="00922731">
            <w:pPr>
              <w:spacing w:after="0"/>
              <w:jc w:val="center"/>
              <w:rPr>
                <w:rFonts w:ascii="Arial" w:hAnsi="Arial" w:cs="Arial"/>
                <w:sz w:val="18"/>
                <w:szCs w:val="18"/>
                <w:lang w:eastAsia="bg-BG"/>
              </w:rPr>
            </w:pPr>
          </w:p>
        </w:tc>
      </w:tr>
      <w:tr w:rsidR="00E8617E" w:rsidRPr="00BC513A" w14:paraId="26323F6C" w14:textId="77777777" w:rsidTr="00BC7D66">
        <w:trPr>
          <w:trHeight w:val="300"/>
        </w:trPr>
        <w:tc>
          <w:tcPr>
            <w:tcW w:w="1134"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A861C5A"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lastRenderedPageBreak/>
              <w:t>Общ бюджет</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14:paraId="05FAA754"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2 642 248 596</w:t>
            </w:r>
          </w:p>
        </w:tc>
        <w:tc>
          <w:tcPr>
            <w:tcW w:w="1417" w:type="dxa"/>
            <w:tcBorders>
              <w:top w:val="nil"/>
              <w:left w:val="nil"/>
              <w:bottom w:val="single" w:sz="4" w:space="0" w:color="auto"/>
              <w:right w:val="single" w:sz="4" w:space="0" w:color="auto"/>
            </w:tcBorders>
            <w:shd w:val="clear" w:color="auto" w:fill="D9D9D9" w:themeFill="background1" w:themeFillShade="D9"/>
            <w:noWrap/>
            <w:vAlign w:val="center"/>
            <w:hideMark/>
          </w:tcPr>
          <w:p w14:paraId="7BF1F417"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2 500 837 171</w:t>
            </w:r>
          </w:p>
        </w:tc>
        <w:tc>
          <w:tcPr>
            <w:tcW w:w="1418" w:type="dxa"/>
            <w:tcBorders>
              <w:top w:val="nil"/>
              <w:left w:val="nil"/>
              <w:bottom w:val="single" w:sz="4" w:space="0" w:color="auto"/>
              <w:right w:val="single" w:sz="4" w:space="0" w:color="auto"/>
            </w:tcBorders>
            <w:shd w:val="clear" w:color="auto" w:fill="D9D9D9" w:themeFill="background1" w:themeFillShade="D9"/>
            <w:noWrap/>
            <w:vAlign w:val="center"/>
            <w:hideMark/>
          </w:tcPr>
          <w:p w14:paraId="0C2E0780"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2 476 055 212</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14:paraId="5CE277C4"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99,01%</w:t>
            </w:r>
          </w:p>
        </w:tc>
        <w:tc>
          <w:tcPr>
            <w:tcW w:w="1701" w:type="dxa"/>
            <w:tcBorders>
              <w:top w:val="nil"/>
              <w:left w:val="nil"/>
              <w:bottom w:val="single" w:sz="4" w:space="0" w:color="auto"/>
              <w:right w:val="single" w:sz="4" w:space="0" w:color="auto"/>
            </w:tcBorders>
            <w:shd w:val="clear" w:color="auto" w:fill="D9D9D9" w:themeFill="background1" w:themeFillShade="D9"/>
            <w:noWrap/>
            <w:vAlign w:val="center"/>
            <w:hideMark/>
          </w:tcPr>
          <w:p w14:paraId="771971DE" w14:textId="77777777" w:rsidR="00E8617E" w:rsidRPr="00BC513A" w:rsidRDefault="00E8617E" w:rsidP="00922731">
            <w:pPr>
              <w:spacing w:after="0"/>
              <w:jc w:val="center"/>
              <w:rPr>
                <w:rFonts w:ascii="Arial" w:hAnsi="Arial" w:cs="Arial"/>
                <w:b/>
                <w:sz w:val="18"/>
                <w:szCs w:val="18"/>
                <w:lang w:eastAsia="bg-BG"/>
              </w:rPr>
            </w:pPr>
            <w:r w:rsidRPr="00BC513A">
              <w:rPr>
                <w:rFonts w:ascii="Arial" w:hAnsi="Arial" w:cs="Arial"/>
                <w:b/>
                <w:sz w:val="18"/>
                <w:szCs w:val="18"/>
                <w:lang w:eastAsia="bg-BG"/>
              </w:rPr>
              <w:t>93,71%</w:t>
            </w:r>
          </w:p>
        </w:tc>
      </w:tr>
    </w:tbl>
    <w:p w14:paraId="70B7C9C1" w14:textId="77777777" w:rsidR="00E8617E" w:rsidRPr="00BC1A5E" w:rsidRDefault="00E8617E" w:rsidP="00E8617E">
      <w:pPr>
        <w:pStyle w:val="DefaultText"/>
        <w:spacing w:line="240" w:lineRule="auto"/>
        <w:rPr>
          <w:rFonts w:cs="Arial"/>
          <w:szCs w:val="18"/>
          <w:lang w:val="bg-BG"/>
        </w:rPr>
      </w:pPr>
      <w:r w:rsidRPr="00BC1A5E">
        <w:rPr>
          <w:rFonts w:cs="Arial"/>
          <w:szCs w:val="18"/>
          <w:lang w:val="bg-BG"/>
        </w:rPr>
        <w:t xml:space="preserve">* Техническа помощ ** </w:t>
      </w:r>
      <w:r w:rsidRPr="00BC1A5E">
        <w:rPr>
          <w:rFonts w:cs="Arial"/>
          <w:bCs/>
          <w:szCs w:val="18"/>
          <w:lang w:val="bg-BG" w:eastAsia="bg-BG"/>
        </w:rPr>
        <w:t>Доплащания към директните плащания</w:t>
      </w:r>
    </w:p>
    <w:p w14:paraId="55C3E1CE" w14:textId="77777777" w:rsidR="00E8617E" w:rsidRPr="00BC1A5E" w:rsidRDefault="00E8617E" w:rsidP="00E8617E">
      <w:pPr>
        <w:pStyle w:val="DefaultText"/>
        <w:spacing w:line="240" w:lineRule="auto"/>
        <w:rPr>
          <w:rFonts w:cs="Arial"/>
          <w:szCs w:val="18"/>
          <w:lang w:val="bg-BG"/>
        </w:rPr>
      </w:pPr>
      <w:r w:rsidRPr="00BC1A5E">
        <w:rPr>
          <w:rFonts w:cs="Arial"/>
          <w:szCs w:val="18"/>
          <w:lang w:val="bg-BG"/>
        </w:rPr>
        <w:t>Източник: МЗХГ,</w:t>
      </w:r>
      <w:r w:rsidRPr="00BC1A5E">
        <w:rPr>
          <w:szCs w:val="18"/>
          <w:lang w:val="bg-BG"/>
        </w:rPr>
        <w:t xml:space="preserve"> ПРСР 2007-2013, </w:t>
      </w:r>
      <w:r w:rsidRPr="00BC1A5E">
        <w:rPr>
          <w:rFonts w:cs="Arial"/>
          <w:szCs w:val="18"/>
          <w:lang w:val="bg-BG"/>
        </w:rPr>
        <w:t>Шестнадесето изменение на ПРСР (2007-2013г.), собствени изчисления</w:t>
      </w:r>
    </w:p>
    <w:p w14:paraId="56BA7CDE" w14:textId="77777777" w:rsidR="00E8617E" w:rsidRPr="00BC513A" w:rsidRDefault="00E8617E" w:rsidP="00E8617E">
      <w:pPr>
        <w:pStyle w:val="DefaultText"/>
        <w:spacing w:line="240" w:lineRule="auto"/>
        <w:rPr>
          <w:rFonts w:cs="Arial"/>
          <w:sz w:val="20"/>
          <w:lang w:val="bg-BG"/>
        </w:rPr>
      </w:pPr>
    </w:p>
    <w:p w14:paraId="4B55331B" w14:textId="371F6D01"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Разпределението на ЕЗФРСР (в реално изражение) търпи сериозни вариации в сравнение с крайния бюджет и реалните разходи на ниво програма. Разходите по ОС 3 са значително увеличени и възлизат на 127,21% от първоначалния бюджет. За всички останали оси от програмата се отчита намаление. Най</w:t>
      </w:r>
      <w:r w:rsidR="0018283D">
        <w:rPr>
          <w:sz w:val="22"/>
          <w:szCs w:val="22"/>
          <w:lang w:val="bg-BG"/>
        </w:rPr>
        <w:t>-</w:t>
      </w:r>
      <w:r w:rsidRPr="00BC513A">
        <w:rPr>
          <w:sz w:val="22"/>
          <w:szCs w:val="22"/>
          <w:lang w:val="bg-BG"/>
        </w:rPr>
        <w:t>сериозно е намалението на разходите на ЕЗФРСР за Техническа помощ</w:t>
      </w:r>
      <w:r w:rsidR="0018283D">
        <w:rPr>
          <w:sz w:val="22"/>
          <w:szCs w:val="22"/>
          <w:lang w:val="bg-BG"/>
        </w:rPr>
        <w:t>,</w:t>
      </w:r>
      <w:r w:rsidRPr="00BC513A">
        <w:rPr>
          <w:sz w:val="22"/>
          <w:szCs w:val="22"/>
          <w:lang w:val="bg-BG"/>
        </w:rPr>
        <w:t xml:space="preserve"> възлизащи на близо 31% от първоначалния бюджет.</w:t>
      </w:r>
    </w:p>
    <w:p w14:paraId="1E966036" w14:textId="1E2EFEA0"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Сравнително малката разлика от 24,781 млн. евро между реалните разходи и окончателно договорения бюджет се дълж</w:t>
      </w:r>
      <w:r w:rsidR="0018283D">
        <w:rPr>
          <w:sz w:val="22"/>
          <w:szCs w:val="22"/>
          <w:lang w:val="bg-BG"/>
        </w:rPr>
        <w:t>и</w:t>
      </w:r>
      <w:r w:rsidRPr="00BC513A">
        <w:rPr>
          <w:sz w:val="22"/>
          <w:szCs w:val="22"/>
          <w:lang w:val="bg-BG"/>
        </w:rPr>
        <w:t xml:space="preserve"> основно на възстановявания в края на периода, които вече не могат да се използват за други операции. Може да се счита, че високите нива на усвояемост на средствата от ЕЗФРСР са значително постижение, независимо от </w:t>
      </w:r>
      <w:r w:rsidR="00520B91">
        <w:rPr>
          <w:sz w:val="22"/>
          <w:szCs w:val="22"/>
          <w:lang w:val="bg-BG"/>
        </w:rPr>
        <w:t>големия</w:t>
      </w:r>
      <w:r w:rsidRPr="00BC513A">
        <w:rPr>
          <w:sz w:val="22"/>
          <w:szCs w:val="22"/>
          <w:lang w:val="bg-BG"/>
        </w:rPr>
        <w:t xml:space="preserve"> брой бюджетни промени през седем-годишния планов период.</w:t>
      </w:r>
    </w:p>
    <w:p w14:paraId="09F5C373" w14:textId="77777777" w:rsidR="00E8617E" w:rsidRPr="00BC513A" w:rsidRDefault="00E8617E" w:rsidP="00E8617E">
      <w:pPr>
        <w:pStyle w:val="Caption"/>
        <w:keepNext/>
        <w:spacing w:before="240" w:after="120"/>
        <w:rPr>
          <w:rFonts w:ascii="Arial" w:hAnsi="Arial" w:cs="Arial"/>
          <w:b/>
          <w:i w:val="0"/>
          <w:color w:val="0070C0"/>
          <w:sz w:val="20"/>
          <w:szCs w:val="20"/>
        </w:rPr>
      </w:pPr>
      <w:bookmarkStart w:id="63" w:name="_Toc504136185"/>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13</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Разпределение на националните средства по оси (в евро)</w:t>
      </w:r>
      <w:bookmarkEnd w:id="63"/>
    </w:p>
    <w:tbl>
      <w:tblPr>
        <w:tblW w:w="9214" w:type="dxa"/>
        <w:tblInd w:w="-5" w:type="dxa"/>
        <w:tblCellMar>
          <w:left w:w="70" w:type="dxa"/>
          <w:right w:w="70" w:type="dxa"/>
        </w:tblCellMar>
        <w:tblLook w:val="04A0" w:firstRow="1" w:lastRow="0" w:firstColumn="1" w:lastColumn="0" w:noHBand="0" w:noVBand="1"/>
      </w:tblPr>
      <w:tblGrid>
        <w:gridCol w:w="1134"/>
        <w:gridCol w:w="1468"/>
        <w:gridCol w:w="1367"/>
        <w:gridCol w:w="1560"/>
        <w:gridCol w:w="1842"/>
        <w:gridCol w:w="1843"/>
      </w:tblGrid>
      <w:tr w:rsidR="00E8617E" w:rsidRPr="00BC7D66" w14:paraId="29CA2663" w14:textId="77777777" w:rsidTr="00922731">
        <w:trPr>
          <w:trHeight w:val="900"/>
          <w:tblHeader/>
        </w:trPr>
        <w:tc>
          <w:tcPr>
            <w:tcW w:w="1134"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3457BF5C" w14:textId="0C3F6F48" w:rsidR="00E8617E" w:rsidRPr="00BC7D66" w:rsidRDefault="00E8617E" w:rsidP="00AB2B2B">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О</w:t>
            </w:r>
            <w:r w:rsidR="00AB2B2B">
              <w:rPr>
                <w:rFonts w:ascii="Arial" w:hAnsi="Arial" w:cs="Arial"/>
                <w:b/>
                <w:color w:val="FFFFFF" w:themeColor="background1"/>
                <w:sz w:val="18"/>
                <w:szCs w:val="18"/>
                <w:lang w:eastAsia="bg-BG"/>
              </w:rPr>
              <w:t>с</w:t>
            </w:r>
          </w:p>
        </w:tc>
        <w:tc>
          <w:tcPr>
            <w:tcW w:w="1468"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2555092F"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Първоначален бюджет</w:t>
            </w:r>
          </w:p>
        </w:tc>
        <w:tc>
          <w:tcPr>
            <w:tcW w:w="1367"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A4E24F8"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Окончателен бюджет</w:t>
            </w:r>
          </w:p>
        </w:tc>
        <w:tc>
          <w:tcPr>
            <w:tcW w:w="1560"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32ED1037"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Действителни разходи</w:t>
            </w:r>
          </w:p>
        </w:tc>
        <w:tc>
          <w:tcPr>
            <w:tcW w:w="1842"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B93EAD1"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Действителни разходи като % от финалния бюджет</w:t>
            </w:r>
          </w:p>
        </w:tc>
        <w:tc>
          <w:tcPr>
            <w:tcW w:w="1843"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04A42FCB"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Действителни разходи като % от първоначалния бюджет</w:t>
            </w:r>
          </w:p>
        </w:tc>
      </w:tr>
      <w:tr w:rsidR="00E8617E" w:rsidRPr="00BC7D66" w14:paraId="1D71C9B7" w14:textId="77777777" w:rsidTr="00922731">
        <w:trPr>
          <w:trHeight w:val="30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4B2F5AD0"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w:t>
            </w:r>
          </w:p>
        </w:tc>
        <w:tc>
          <w:tcPr>
            <w:tcW w:w="1468" w:type="dxa"/>
            <w:tcBorders>
              <w:top w:val="nil"/>
              <w:left w:val="nil"/>
              <w:bottom w:val="single" w:sz="4" w:space="0" w:color="auto"/>
              <w:right w:val="single" w:sz="4" w:space="0" w:color="auto"/>
            </w:tcBorders>
            <w:shd w:val="clear" w:color="auto" w:fill="auto"/>
            <w:noWrap/>
            <w:vAlign w:val="center"/>
            <w:hideMark/>
          </w:tcPr>
          <w:p w14:paraId="72BBB5E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241 894 230</w:t>
            </w:r>
          </w:p>
        </w:tc>
        <w:tc>
          <w:tcPr>
            <w:tcW w:w="1367" w:type="dxa"/>
            <w:tcBorders>
              <w:top w:val="nil"/>
              <w:left w:val="nil"/>
              <w:bottom w:val="single" w:sz="4" w:space="0" w:color="auto"/>
              <w:right w:val="single" w:sz="4" w:space="0" w:color="auto"/>
            </w:tcBorders>
            <w:shd w:val="clear" w:color="auto" w:fill="auto"/>
            <w:noWrap/>
            <w:vAlign w:val="center"/>
            <w:hideMark/>
          </w:tcPr>
          <w:p w14:paraId="263E3EAE"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185 006 460</w:t>
            </w:r>
          </w:p>
        </w:tc>
        <w:tc>
          <w:tcPr>
            <w:tcW w:w="1560" w:type="dxa"/>
            <w:tcBorders>
              <w:top w:val="nil"/>
              <w:left w:val="nil"/>
              <w:bottom w:val="single" w:sz="4" w:space="0" w:color="auto"/>
              <w:right w:val="single" w:sz="4" w:space="0" w:color="auto"/>
            </w:tcBorders>
            <w:shd w:val="clear" w:color="auto" w:fill="auto"/>
            <w:noWrap/>
            <w:vAlign w:val="center"/>
            <w:hideMark/>
          </w:tcPr>
          <w:p w14:paraId="3CF75215"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184 534 365</w:t>
            </w:r>
          </w:p>
        </w:tc>
        <w:tc>
          <w:tcPr>
            <w:tcW w:w="1842" w:type="dxa"/>
            <w:tcBorders>
              <w:top w:val="nil"/>
              <w:left w:val="nil"/>
              <w:bottom w:val="single" w:sz="4" w:space="0" w:color="auto"/>
              <w:right w:val="single" w:sz="4" w:space="0" w:color="auto"/>
            </w:tcBorders>
            <w:shd w:val="clear" w:color="auto" w:fill="auto"/>
            <w:noWrap/>
            <w:vAlign w:val="center"/>
            <w:hideMark/>
          </w:tcPr>
          <w:p w14:paraId="7714C44B"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99,74%</w:t>
            </w:r>
          </w:p>
        </w:tc>
        <w:tc>
          <w:tcPr>
            <w:tcW w:w="1843" w:type="dxa"/>
            <w:tcBorders>
              <w:top w:val="nil"/>
              <w:left w:val="nil"/>
              <w:bottom w:val="single" w:sz="4" w:space="0" w:color="auto"/>
              <w:right w:val="single" w:sz="4" w:space="0" w:color="auto"/>
            </w:tcBorders>
            <w:shd w:val="clear" w:color="auto" w:fill="auto"/>
            <w:noWrap/>
            <w:vAlign w:val="center"/>
            <w:hideMark/>
          </w:tcPr>
          <w:p w14:paraId="72BB7B30"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76,29%</w:t>
            </w:r>
          </w:p>
        </w:tc>
      </w:tr>
      <w:tr w:rsidR="00E8617E" w:rsidRPr="00BC7D66" w14:paraId="40F2448B" w14:textId="77777777" w:rsidTr="00922731">
        <w:trPr>
          <w:trHeight w:val="30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1542CE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w:t>
            </w:r>
          </w:p>
        </w:tc>
        <w:tc>
          <w:tcPr>
            <w:tcW w:w="1468" w:type="dxa"/>
            <w:tcBorders>
              <w:top w:val="nil"/>
              <w:left w:val="nil"/>
              <w:bottom w:val="single" w:sz="4" w:space="0" w:color="auto"/>
              <w:right w:val="single" w:sz="4" w:space="0" w:color="auto"/>
            </w:tcBorders>
            <w:shd w:val="clear" w:color="auto" w:fill="auto"/>
            <w:noWrap/>
            <w:vAlign w:val="center"/>
            <w:hideMark/>
          </w:tcPr>
          <w:p w14:paraId="054B4EF9"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139 930 940</w:t>
            </w:r>
          </w:p>
        </w:tc>
        <w:tc>
          <w:tcPr>
            <w:tcW w:w="1367" w:type="dxa"/>
            <w:tcBorders>
              <w:top w:val="nil"/>
              <w:left w:val="nil"/>
              <w:bottom w:val="single" w:sz="4" w:space="0" w:color="auto"/>
              <w:right w:val="single" w:sz="4" w:space="0" w:color="auto"/>
            </w:tcBorders>
            <w:shd w:val="clear" w:color="auto" w:fill="auto"/>
            <w:noWrap/>
            <w:vAlign w:val="center"/>
            <w:hideMark/>
          </w:tcPr>
          <w:p w14:paraId="35214AA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135 204 146</w:t>
            </w:r>
          </w:p>
        </w:tc>
        <w:tc>
          <w:tcPr>
            <w:tcW w:w="1560" w:type="dxa"/>
            <w:tcBorders>
              <w:top w:val="nil"/>
              <w:left w:val="nil"/>
              <w:bottom w:val="single" w:sz="4" w:space="0" w:color="auto"/>
              <w:right w:val="single" w:sz="4" w:space="0" w:color="auto"/>
            </w:tcBorders>
            <w:shd w:val="clear" w:color="auto" w:fill="auto"/>
            <w:noWrap/>
            <w:vAlign w:val="center"/>
            <w:hideMark/>
          </w:tcPr>
          <w:p w14:paraId="593991E1"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134 929 095</w:t>
            </w:r>
          </w:p>
        </w:tc>
        <w:tc>
          <w:tcPr>
            <w:tcW w:w="1842" w:type="dxa"/>
            <w:tcBorders>
              <w:top w:val="nil"/>
              <w:left w:val="nil"/>
              <w:bottom w:val="single" w:sz="4" w:space="0" w:color="auto"/>
              <w:right w:val="single" w:sz="4" w:space="0" w:color="auto"/>
            </w:tcBorders>
            <w:shd w:val="clear" w:color="auto" w:fill="auto"/>
            <w:noWrap/>
            <w:vAlign w:val="center"/>
            <w:hideMark/>
          </w:tcPr>
          <w:p w14:paraId="109E3AD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99,80%</w:t>
            </w:r>
          </w:p>
        </w:tc>
        <w:tc>
          <w:tcPr>
            <w:tcW w:w="1843" w:type="dxa"/>
            <w:tcBorders>
              <w:top w:val="nil"/>
              <w:left w:val="nil"/>
              <w:bottom w:val="single" w:sz="4" w:space="0" w:color="auto"/>
              <w:right w:val="single" w:sz="4" w:space="0" w:color="auto"/>
            </w:tcBorders>
            <w:shd w:val="clear" w:color="auto" w:fill="auto"/>
            <w:noWrap/>
            <w:vAlign w:val="center"/>
            <w:hideMark/>
          </w:tcPr>
          <w:p w14:paraId="2143CBE8"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96,43%</w:t>
            </w:r>
          </w:p>
        </w:tc>
      </w:tr>
      <w:tr w:rsidR="00E8617E" w:rsidRPr="00BC7D66" w14:paraId="413F3D10" w14:textId="77777777" w:rsidTr="00922731">
        <w:trPr>
          <w:trHeight w:val="30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293C6A5B"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w:t>
            </w:r>
          </w:p>
        </w:tc>
        <w:tc>
          <w:tcPr>
            <w:tcW w:w="1468" w:type="dxa"/>
            <w:tcBorders>
              <w:top w:val="nil"/>
              <w:left w:val="nil"/>
              <w:bottom w:val="single" w:sz="4" w:space="0" w:color="auto"/>
              <w:right w:val="single" w:sz="4" w:space="0" w:color="auto"/>
            </w:tcBorders>
            <w:shd w:val="clear" w:color="auto" w:fill="auto"/>
            <w:noWrap/>
            <w:vAlign w:val="center"/>
            <w:hideMark/>
          </w:tcPr>
          <w:p w14:paraId="0DC8E114"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178 295 837</w:t>
            </w:r>
          </w:p>
        </w:tc>
        <w:tc>
          <w:tcPr>
            <w:tcW w:w="1367" w:type="dxa"/>
            <w:tcBorders>
              <w:top w:val="nil"/>
              <w:left w:val="nil"/>
              <w:bottom w:val="single" w:sz="4" w:space="0" w:color="auto"/>
              <w:right w:val="single" w:sz="4" w:space="0" w:color="auto"/>
            </w:tcBorders>
            <w:shd w:val="clear" w:color="auto" w:fill="auto"/>
            <w:noWrap/>
            <w:vAlign w:val="center"/>
            <w:hideMark/>
          </w:tcPr>
          <w:p w14:paraId="6E6F82B2"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232 267 166</w:t>
            </w:r>
          </w:p>
        </w:tc>
        <w:tc>
          <w:tcPr>
            <w:tcW w:w="1560" w:type="dxa"/>
            <w:tcBorders>
              <w:top w:val="nil"/>
              <w:left w:val="nil"/>
              <w:bottom w:val="single" w:sz="4" w:space="0" w:color="auto"/>
              <w:right w:val="single" w:sz="4" w:space="0" w:color="auto"/>
            </w:tcBorders>
            <w:shd w:val="clear" w:color="auto" w:fill="auto"/>
            <w:noWrap/>
            <w:vAlign w:val="center"/>
            <w:hideMark/>
          </w:tcPr>
          <w:p w14:paraId="46F5DCFA"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228 424 072</w:t>
            </w:r>
          </w:p>
        </w:tc>
        <w:tc>
          <w:tcPr>
            <w:tcW w:w="1842" w:type="dxa"/>
            <w:tcBorders>
              <w:top w:val="nil"/>
              <w:left w:val="nil"/>
              <w:bottom w:val="single" w:sz="4" w:space="0" w:color="auto"/>
              <w:right w:val="single" w:sz="4" w:space="0" w:color="auto"/>
            </w:tcBorders>
            <w:shd w:val="clear" w:color="auto" w:fill="auto"/>
            <w:noWrap/>
            <w:vAlign w:val="center"/>
            <w:hideMark/>
          </w:tcPr>
          <w:p w14:paraId="612B3577"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98,35%</w:t>
            </w:r>
          </w:p>
        </w:tc>
        <w:tc>
          <w:tcPr>
            <w:tcW w:w="1843" w:type="dxa"/>
            <w:tcBorders>
              <w:top w:val="nil"/>
              <w:left w:val="nil"/>
              <w:bottom w:val="single" w:sz="4" w:space="0" w:color="auto"/>
              <w:right w:val="single" w:sz="4" w:space="0" w:color="auto"/>
            </w:tcBorders>
            <w:shd w:val="clear" w:color="auto" w:fill="auto"/>
            <w:noWrap/>
            <w:vAlign w:val="center"/>
            <w:hideMark/>
          </w:tcPr>
          <w:p w14:paraId="51AEFD7B"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128,12%</w:t>
            </w:r>
          </w:p>
        </w:tc>
      </w:tr>
      <w:tr w:rsidR="00E8617E" w:rsidRPr="00BC7D66" w14:paraId="14D59D8F" w14:textId="77777777" w:rsidTr="00922731">
        <w:trPr>
          <w:trHeight w:val="300"/>
        </w:trPr>
        <w:tc>
          <w:tcPr>
            <w:tcW w:w="1134" w:type="dxa"/>
            <w:tcBorders>
              <w:top w:val="nil"/>
              <w:left w:val="single" w:sz="4" w:space="0" w:color="auto"/>
              <w:bottom w:val="single" w:sz="4" w:space="0" w:color="auto"/>
              <w:right w:val="single" w:sz="4" w:space="0" w:color="auto"/>
            </w:tcBorders>
            <w:shd w:val="clear" w:color="auto" w:fill="auto"/>
            <w:noWrap/>
            <w:vAlign w:val="center"/>
            <w:hideMark/>
          </w:tcPr>
          <w:p w14:paraId="32165F70"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4</w:t>
            </w:r>
          </w:p>
        </w:tc>
        <w:tc>
          <w:tcPr>
            <w:tcW w:w="1468" w:type="dxa"/>
            <w:tcBorders>
              <w:top w:val="nil"/>
              <w:left w:val="nil"/>
              <w:bottom w:val="single" w:sz="4" w:space="0" w:color="auto"/>
              <w:right w:val="single" w:sz="4" w:space="0" w:color="auto"/>
            </w:tcBorders>
            <w:shd w:val="clear" w:color="auto" w:fill="auto"/>
            <w:noWrap/>
            <w:vAlign w:val="center"/>
            <w:hideMark/>
          </w:tcPr>
          <w:p w14:paraId="1F581040"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15 397 661</w:t>
            </w:r>
          </w:p>
        </w:tc>
        <w:tc>
          <w:tcPr>
            <w:tcW w:w="1367" w:type="dxa"/>
            <w:tcBorders>
              <w:top w:val="nil"/>
              <w:left w:val="nil"/>
              <w:bottom w:val="single" w:sz="4" w:space="0" w:color="auto"/>
              <w:right w:val="single" w:sz="4" w:space="0" w:color="auto"/>
            </w:tcBorders>
            <w:shd w:val="clear" w:color="auto" w:fill="auto"/>
            <w:noWrap/>
            <w:vAlign w:val="center"/>
            <w:hideMark/>
          </w:tcPr>
          <w:p w14:paraId="10742272"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10 677 500</w:t>
            </w:r>
          </w:p>
        </w:tc>
        <w:tc>
          <w:tcPr>
            <w:tcW w:w="1560" w:type="dxa"/>
            <w:tcBorders>
              <w:top w:val="nil"/>
              <w:left w:val="nil"/>
              <w:bottom w:val="single" w:sz="4" w:space="0" w:color="auto"/>
              <w:right w:val="single" w:sz="4" w:space="0" w:color="auto"/>
            </w:tcBorders>
            <w:shd w:val="clear" w:color="auto" w:fill="auto"/>
            <w:noWrap/>
            <w:vAlign w:val="center"/>
            <w:hideMark/>
          </w:tcPr>
          <w:p w14:paraId="525A35EC"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10 570 664</w:t>
            </w:r>
          </w:p>
        </w:tc>
        <w:tc>
          <w:tcPr>
            <w:tcW w:w="1842" w:type="dxa"/>
            <w:tcBorders>
              <w:top w:val="nil"/>
              <w:left w:val="nil"/>
              <w:bottom w:val="single" w:sz="4" w:space="0" w:color="auto"/>
              <w:right w:val="single" w:sz="4" w:space="0" w:color="auto"/>
            </w:tcBorders>
            <w:shd w:val="clear" w:color="auto" w:fill="auto"/>
            <w:noWrap/>
            <w:vAlign w:val="center"/>
            <w:hideMark/>
          </w:tcPr>
          <w:p w14:paraId="69D375A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99,00%</w:t>
            </w:r>
          </w:p>
        </w:tc>
        <w:tc>
          <w:tcPr>
            <w:tcW w:w="1843" w:type="dxa"/>
            <w:tcBorders>
              <w:top w:val="nil"/>
              <w:left w:val="nil"/>
              <w:bottom w:val="single" w:sz="4" w:space="0" w:color="auto"/>
              <w:right w:val="single" w:sz="4" w:space="0" w:color="auto"/>
            </w:tcBorders>
            <w:shd w:val="clear" w:color="auto" w:fill="auto"/>
            <w:noWrap/>
            <w:vAlign w:val="center"/>
            <w:hideMark/>
          </w:tcPr>
          <w:p w14:paraId="7055561E"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68,65%</w:t>
            </w:r>
          </w:p>
        </w:tc>
      </w:tr>
      <w:tr w:rsidR="00E8617E" w:rsidRPr="00BC7D66" w14:paraId="3CE1D410" w14:textId="77777777" w:rsidTr="00922731">
        <w:trPr>
          <w:trHeight w:val="73"/>
        </w:trPr>
        <w:tc>
          <w:tcPr>
            <w:tcW w:w="9214" w:type="dxa"/>
            <w:gridSpan w:val="6"/>
            <w:tcBorders>
              <w:top w:val="nil"/>
              <w:left w:val="single" w:sz="4" w:space="0" w:color="auto"/>
              <w:bottom w:val="single" w:sz="4" w:space="0" w:color="auto"/>
              <w:right w:val="single" w:sz="4" w:space="0" w:color="auto"/>
            </w:tcBorders>
            <w:shd w:val="clear" w:color="auto" w:fill="auto"/>
            <w:noWrap/>
            <w:vAlign w:val="center"/>
          </w:tcPr>
          <w:p w14:paraId="620A36B6"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38A681B1" w14:textId="77777777" w:rsidTr="00BC7D66">
        <w:trPr>
          <w:trHeight w:val="300"/>
        </w:trPr>
        <w:tc>
          <w:tcPr>
            <w:tcW w:w="1134"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3E912B86" w14:textId="3310C79F" w:rsidR="00E8617E" w:rsidRPr="00BC7D66" w:rsidRDefault="00E8617E" w:rsidP="00AB2B2B">
            <w:pPr>
              <w:spacing w:after="0" w:line="240" w:lineRule="auto"/>
              <w:rPr>
                <w:rFonts w:ascii="Arial" w:eastAsia="Times New Roman" w:hAnsi="Arial" w:cs="Arial"/>
                <w:b/>
                <w:bCs/>
                <w:color w:val="000000"/>
                <w:sz w:val="18"/>
                <w:szCs w:val="18"/>
                <w:lang w:eastAsia="bg-BG"/>
              </w:rPr>
            </w:pPr>
            <w:r w:rsidRPr="00BC7D66">
              <w:rPr>
                <w:rFonts w:ascii="Arial" w:eastAsia="Times New Roman" w:hAnsi="Arial" w:cs="Arial"/>
                <w:b/>
                <w:bCs/>
                <w:color w:val="000000"/>
                <w:sz w:val="18"/>
                <w:szCs w:val="18"/>
                <w:lang w:eastAsia="bg-BG"/>
              </w:rPr>
              <w:t>ОБЩО О</w:t>
            </w:r>
            <w:r w:rsidR="00AB2B2B">
              <w:rPr>
                <w:rFonts w:ascii="Arial" w:eastAsia="Times New Roman" w:hAnsi="Arial" w:cs="Arial"/>
                <w:b/>
                <w:bCs/>
                <w:color w:val="000000"/>
                <w:sz w:val="18"/>
                <w:szCs w:val="18"/>
                <w:lang w:eastAsia="bg-BG"/>
              </w:rPr>
              <w:t>с</w:t>
            </w:r>
            <w:r w:rsidRPr="00BC7D66">
              <w:rPr>
                <w:rFonts w:ascii="Arial" w:eastAsia="Times New Roman" w:hAnsi="Arial" w:cs="Arial"/>
                <w:b/>
                <w:bCs/>
                <w:color w:val="000000"/>
                <w:sz w:val="18"/>
                <w:szCs w:val="18"/>
                <w:lang w:eastAsia="bg-BG"/>
              </w:rPr>
              <w:t xml:space="preserve"> 1,2,3 и 4</w:t>
            </w:r>
          </w:p>
        </w:tc>
        <w:tc>
          <w:tcPr>
            <w:tcW w:w="1468" w:type="dxa"/>
            <w:tcBorders>
              <w:top w:val="nil"/>
              <w:left w:val="nil"/>
              <w:bottom w:val="single" w:sz="4" w:space="0" w:color="auto"/>
              <w:right w:val="single" w:sz="4" w:space="0" w:color="auto"/>
            </w:tcBorders>
            <w:shd w:val="clear" w:color="auto" w:fill="DEEAF6" w:themeFill="accent1" w:themeFillTint="33"/>
            <w:noWrap/>
            <w:vAlign w:val="center"/>
            <w:hideMark/>
          </w:tcPr>
          <w:p w14:paraId="623F98FB" w14:textId="77777777" w:rsidR="00E8617E" w:rsidRPr="00BC7D66" w:rsidRDefault="00E8617E" w:rsidP="00922731">
            <w:pPr>
              <w:spacing w:after="0" w:line="240" w:lineRule="auto"/>
              <w:jc w:val="center"/>
              <w:rPr>
                <w:rFonts w:ascii="Arial" w:eastAsia="Times New Roman" w:hAnsi="Arial" w:cs="Arial"/>
                <w:b/>
                <w:bCs/>
                <w:color w:val="000000"/>
                <w:sz w:val="18"/>
                <w:szCs w:val="18"/>
                <w:lang w:eastAsia="bg-BG"/>
              </w:rPr>
            </w:pPr>
            <w:r w:rsidRPr="00BC7D66">
              <w:rPr>
                <w:rFonts w:ascii="Arial" w:eastAsia="Times New Roman" w:hAnsi="Arial" w:cs="Arial"/>
                <w:b/>
                <w:bCs/>
                <w:color w:val="000000"/>
                <w:sz w:val="18"/>
                <w:szCs w:val="18"/>
                <w:lang w:eastAsia="bg-BG"/>
              </w:rPr>
              <w:t>575 518 668</w:t>
            </w:r>
          </w:p>
        </w:tc>
        <w:tc>
          <w:tcPr>
            <w:tcW w:w="1367" w:type="dxa"/>
            <w:tcBorders>
              <w:top w:val="nil"/>
              <w:left w:val="nil"/>
              <w:bottom w:val="single" w:sz="4" w:space="0" w:color="auto"/>
              <w:right w:val="single" w:sz="4" w:space="0" w:color="auto"/>
            </w:tcBorders>
            <w:shd w:val="clear" w:color="auto" w:fill="DEEAF6" w:themeFill="accent1" w:themeFillTint="33"/>
            <w:noWrap/>
            <w:vAlign w:val="center"/>
            <w:hideMark/>
          </w:tcPr>
          <w:p w14:paraId="3CDCC534" w14:textId="77777777" w:rsidR="00E8617E" w:rsidRPr="00BC7D66" w:rsidRDefault="00E8617E" w:rsidP="00922731">
            <w:pPr>
              <w:spacing w:after="0" w:line="240" w:lineRule="auto"/>
              <w:jc w:val="center"/>
              <w:rPr>
                <w:rFonts w:ascii="Arial" w:eastAsia="Times New Roman" w:hAnsi="Arial" w:cs="Arial"/>
                <w:b/>
                <w:bCs/>
                <w:color w:val="000000"/>
                <w:sz w:val="18"/>
                <w:szCs w:val="18"/>
                <w:lang w:eastAsia="bg-BG"/>
              </w:rPr>
            </w:pPr>
            <w:r w:rsidRPr="00BC7D66">
              <w:rPr>
                <w:rFonts w:ascii="Arial" w:eastAsia="Times New Roman" w:hAnsi="Arial" w:cs="Arial"/>
                <w:b/>
                <w:bCs/>
                <w:color w:val="000000"/>
                <w:sz w:val="18"/>
                <w:szCs w:val="18"/>
                <w:lang w:eastAsia="bg-BG"/>
              </w:rPr>
              <w:t>563 155 272</w:t>
            </w:r>
          </w:p>
        </w:tc>
        <w:tc>
          <w:tcPr>
            <w:tcW w:w="1560" w:type="dxa"/>
            <w:tcBorders>
              <w:top w:val="nil"/>
              <w:left w:val="nil"/>
              <w:bottom w:val="single" w:sz="4" w:space="0" w:color="auto"/>
              <w:right w:val="single" w:sz="4" w:space="0" w:color="auto"/>
            </w:tcBorders>
            <w:shd w:val="clear" w:color="auto" w:fill="DEEAF6" w:themeFill="accent1" w:themeFillTint="33"/>
            <w:noWrap/>
            <w:vAlign w:val="center"/>
            <w:hideMark/>
          </w:tcPr>
          <w:p w14:paraId="7C862491" w14:textId="77777777" w:rsidR="00E8617E" w:rsidRPr="00BC7D66" w:rsidRDefault="00E8617E" w:rsidP="00922731">
            <w:pPr>
              <w:spacing w:after="0" w:line="240" w:lineRule="auto"/>
              <w:jc w:val="center"/>
              <w:rPr>
                <w:rFonts w:ascii="Arial" w:eastAsia="Times New Roman" w:hAnsi="Arial" w:cs="Arial"/>
                <w:b/>
                <w:bCs/>
                <w:color w:val="000000"/>
                <w:sz w:val="18"/>
                <w:szCs w:val="18"/>
                <w:lang w:eastAsia="bg-BG"/>
              </w:rPr>
            </w:pPr>
            <w:r w:rsidRPr="00BC7D66">
              <w:rPr>
                <w:rFonts w:ascii="Arial" w:eastAsia="Times New Roman" w:hAnsi="Arial" w:cs="Arial"/>
                <w:b/>
                <w:bCs/>
                <w:color w:val="000000"/>
                <w:sz w:val="18"/>
                <w:szCs w:val="18"/>
                <w:lang w:eastAsia="bg-BG"/>
              </w:rPr>
              <w:t>558 458 196</w:t>
            </w:r>
          </w:p>
        </w:tc>
        <w:tc>
          <w:tcPr>
            <w:tcW w:w="1842" w:type="dxa"/>
            <w:tcBorders>
              <w:top w:val="nil"/>
              <w:left w:val="nil"/>
              <w:bottom w:val="single" w:sz="4" w:space="0" w:color="auto"/>
              <w:right w:val="single" w:sz="4" w:space="0" w:color="auto"/>
            </w:tcBorders>
            <w:shd w:val="clear" w:color="auto" w:fill="DEEAF6" w:themeFill="accent1" w:themeFillTint="33"/>
            <w:noWrap/>
            <w:vAlign w:val="center"/>
            <w:hideMark/>
          </w:tcPr>
          <w:p w14:paraId="4135D639"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r w:rsidRPr="00BC7D66">
              <w:rPr>
                <w:rFonts w:ascii="Arial" w:eastAsia="Times New Roman" w:hAnsi="Arial" w:cs="Arial"/>
                <w:color w:val="000000"/>
                <w:sz w:val="18"/>
                <w:szCs w:val="18"/>
                <w:lang w:eastAsia="bg-BG"/>
              </w:rPr>
              <w:t>99,17%</w:t>
            </w:r>
          </w:p>
        </w:tc>
        <w:tc>
          <w:tcPr>
            <w:tcW w:w="1843" w:type="dxa"/>
            <w:tcBorders>
              <w:top w:val="nil"/>
              <w:left w:val="nil"/>
              <w:bottom w:val="single" w:sz="4" w:space="0" w:color="auto"/>
              <w:right w:val="single" w:sz="4" w:space="0" w:color="auto"/>
            </w:tcBorders>
            <w:shd w:val="clear" w:color="auto" w:fill="DEEAF6" w:themeFill="accent1" w:themeFillTint="33"/>
            <w:noWrap/>
            <w:vAlign w:val="center"/>
            <w:hideMark/>
          </w:tcPr>
          <w:p w14:paraId="496812D0"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r w:rsidRPr="00BC7D66">
              <w:rPr>
                <w:rFonts w:ascii="Arial" w:eastAsia="Times New Roman" w:hAnsi="Arial" w:cs="Arial"/>
                <w:color w:val="000000"/>
                <w:sz w:val="18"/>
                <w:szCs w:val="18"/>
                <w:lang w:eastAsia="bg-BG"/>
              </w:rPr>
              <w:t>97,04%</w:t>
            </w:r>
          </w:p>
        </w:tc>
      </w:tr>
      <w:tr w:rsidR="00E8617E" w:rsidRPr="00BC7D66" w14:paraId="74FD7DC0" w14:textId="77777777" w:rsidTr="00922731">
        <w:trPr>
          <w:trHeight w:val="73"/>
        </w:trPr>
        <w:tc>
          <w:tcPr>
            <w:tcW w:w="9214" w:type="dxa"/>
            <w:gridSpan w:val="6"/>
            <w:tcBorders>
              <w:top w:val="nil"/>
              <w:left w:val="single" w:sz="4" w:space="0" w:color="auto"/>
              <w:bottom w:val="single" w:sz="4" w:space="0" w:color="auto"/>
              <w:right w:val="single" w:sz="4" w:space="0" w:color="auto"/>
            </w:tcBorders>
            <w:shd w:val="clear" w:color="auto" w:fill="FFFFFF" w:themeFill="background1"/>
            <w:noWrap/>
            <w:vAlign w:val="center"/>
          </w:tcPr>
          <w:p w14:paraId="66CA2BC1"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76D203EA" w14:textId="77777777" w:rsidTr="00922731">
        <w:trPr>
          <w:trHeight w:val="300"/>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3BCE2B82"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 xml:space="preserve">511* </w:t>
            </w:r>
          </w:p>
        </w:tc>
        <w:tc>
          <w:tcPr>
            <w:tcW w:w="1468" w:type="dxa"/>
            <w:tcBorders>
              <w:top w:val="nil"/>
              <w:left w:val="nil"/>
              <w:bottom w:val="single" w:sz="4" w:space="0" w:color="auto"/>
              <w:right w:val="single" w:sz="4" w:space="0" w:color="auto"/>
            </w:tcBorders>
            <w:shd w:val="clear" w:color="auto" w:fill="auto"/>
            <w:noWrap/>
            <w:vAlign w:val="center"/>
            <w:hideMark/>
          </w:tcPr>
          <w:p w14:paraId="6F67DE55"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24 636 258</w:t>
            </w:r>
          </w:p>
        </w:tc>
        <w:tc>
          <w:tcPr>
            <w:tcW w:w="1367" w:type="dxa"/>
            <w:tcBorders>
              <w:top w:val="nil"/>
              <w:left w:val="nil"/>
              <w:bottom w:val="single" w:sz="4" w:space="0" w:color="auto"/>
              <w:right w:val="single" w:sz="4" w:space="0" w:color="auto"/>
            </w:tcBorders>
            <w:shd w:val="clear" w:color="auto" w:fill="auto"/>
            <w:noWrap/>
            <w:vAlign w:val="center"/>
            <w:hideMark/>
          </w:tcPr>
          <w:p w14:paraId="7EC96759"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7 825 000</w:t>
            </w:r>
          </w:p>
        </w:tc>
        <w:tc>
          <w:tcPr>
            <w:tcW w:w="1560" w:type="dxa"/>
            <w:tcBorders>
              <w:top w:val="nil"/>
              <w:left w:val="nil"/>
              <w:bottom w:val="single" w:sz="4" w:space="0" w:color="auto"/>
              <w:right w:val="single" w:sz="4" w:space="0" w:color="auto"/>
            </w:tcBorders>
            <w:shd w:val="clear" w:color="auto" w:fill="auto"/>
            <w:noWrap/>
            <w:vAlign w:val="center"/>
            <w:hideMark/>
          </w:tcPr>
          <w:p w14:paraId="0F8EC6EF"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7 626 732</w:t>
            </w:r>
          </w:p>
        </w:tc>
        <w:tc>
          <w:tcPr>
            <w:tcW w:w="1842" w:type="dxa"/>
            <w:tcBorders>
              <w:top w:val="nil"/>
              <w:left w:val="nil"/>
              <w:bottom w:val="single" w:sz="4" w:space="0" w:color="auto"/>
              <w:right w:val="single" w:sz="4" w:space="0" w:color="auto"/>
            </w:tcBorders>
            <w:shd w:val="clear" w:color="auto" w:fill="auto"/>
            <w:noWrap/>
            <w:vAlign w:val="center"/>
            <w:hideMark/>
          </w:tcPr>
          <w:p w14:paraId="73726D34"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97,47%</w:t>
            </w:r>
          </w:p>
        </w:tc>
        <w:tc>
          <w:tcPr>
            <w:tcW w:w="1843" w:type="dxa"/>
            <w:tcBorders>
              <w:top w:val="nil"/>
              <w:left w:val="nil"/>
              <w:bottom w:val="single" w:sz="4" w:space="0" w:color="auto"/>
              <w:right w:val="single" w:sz="4" w:space="0" w:color="auto"/>
            </w:tcBorders>
            <w:shd w:val="clear" w:color="auto" w:fill="auto"/>
            <w:noWrap/>
            <w:vAlign w:val="center"/>
            <w:hideMark/>
          </w:tcPr>
          <w:p w14:paraId="07D44E71"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30,96%</w:t>
            </w:r>
          </w:p>
        </w:tc>
      </w:tr>
      <w:tr w:rsidR="00E8617E" w:rsidRPr="00BC7D66" w14:paraId="701742F9" w14:textId="77777777" w:rsidTr="00520B91">
        <w:trPr>
          <w:trHeight w:val="334"/>
        </w:trPr>
        <w:tc>
          <w:tcPr>
            <w:tcW w:w="1134" w:type="dxa"/>
            <w:tcBorders>
              <w:top w:val="nil"/>
              <w:left w:val="single" w:sz="4" w:space="0" w:color="auto"/>
              <w:bottom w:val="single" w:sz="4" w:space="0" w:color="auto"/>
              <w:right w:val="single" w:sz="4" w:space="0" w:color="auto"/>
            </w:tcBorders>
            <w:shd w:val="clear" w:color="auto" w:fill="auto"/>
            <w:vAlign w:val="center"/>
            <w:hideMark/>
          </w:tcPr>
          <w:p w14:paraId="71ED110E"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 xml:space="preserve">611** </w:t>
            </w:r>
          </w:p>
        </w:tc>
        <w:tc>
          <w:tcPr>
            <w:tcW w:w="1468" w:type="dxa"/>
            <w:tcBorders>
              <w:top w:val="nil"/>
              <w:left w:val="nil"/>
              <w:bottom w:val="single" w:sz="4" w:space="0" w:color="auto"/>
              <w:right w:val="single" w:sz="4" w:space="0" w:color="auto"/>
            </w:tcBorders>
            <w:shd w:val="clear" w:color="auto" w:fill="auto"/>
            <w:noWrap/>
            <w:vAlign w:val="center"/>
            <w:hideMark/>
          </w:tcPr>
          <w:p w14:paraId="2EB43967"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36 368 204</w:t>
            </w:r>
          </w:p>
        </w:tc>
        <w:tc>
          <w:tcPr>
            <w:tcW w:w="1367" w:type="dxa"/>
            <w:tcBorders>
              <w:top w:val="nil"/>
              <w:left w:val="nil"/>
              <w:bottom w:val="single" w:sz="4" w:space="0" w:color="auto"/>
              <w:right w:val="single" w:sz="4" w:space="0" w:color="auto"/>
            </w:tcBorders>
            <w:shd w:val="clear" w:color="auto" w:fill="auto"/>
            <w:noWrap/>
            <w:vAlign w:val="center"/>
            <w:hideMark/>
          </w:tcPr>
          <w:p w14:paraId="530AECDF"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30 846 500</w:t>
            </w:r>
          </w:p>
        </w:tc>
        <w:tc>
          <w:tcPr>
            <w:tcW w:w="1560" w:type="dxa"/>
            <w:tcBorders>
              <w:top w:val="nil"/>
              <w:left w:val="nil"/>
              <w:bottom w:val="single" w:sz="4" w:space="0" w:color="auto"/>
              <w:right w:val="single" w:sz="4" w:space="0" w:color="auto"/>
            </w:tcBorders>
            <w:shd w:val="clear" w:color="auto" w:fill="auto"/>
            <w:noWrap/>
            <w:vAlign w:val="center"/>
            <w:hideMark/>
          </w:tcPr>
          <w:p w14:paraId="652E19A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30 851 489</w:t>
            </w:r>
          </w:p>
        </w:tc>
        <w:tc>
          <w:tcPr>
            <w:tcW w:w="1842" w:type="dxa"/>
            <w:tcBorders>
              <w:top w:val="nil"/>
              <w:left w:val="nil"/>
              <w:bottom w:val="single" w:sz="4" w:space="0" w:color="auto"/>
              <w:right w:val="single" w:sz="4" w:space="0" w:color="auto"/>
            </w:tcBorders>
            <w:shd w:val="clear" w:color="auto" w:fill="auto"/>
            <w:noWrap/>
            <w:vAlign w:val="center"/>
            <w:hideMark/>
          </w:tcPr>
          <w:p w14:paraId="349AF210"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100,02%</w:t>
            </w:r>
          </w:p>
        </w:tc>
        <w:tc>
          <w:tcPr>
            <w:tcW w:w="1843" w:type="dxa"/>
            <w:tcBorders>
              <w:top w:val="nil"/>
              <w:left w:val="nil"/>
              <w:bottom w:val="single" w:sz="4" w:space="0" w:color="auto"/>
              <w:right w:val="single" w:sz="4" w:space="0" w:color="auto"/>
            </w:tcBorders>
            <w:shd w:val="clear" w:color="auto" w:fill="auto"/>
            <w:noWrap/>
            <w:vAlign w:val="center"/>
            <w:hideMark/>
          </w:tcPr>
          <w:p w14:paraId="374513D9"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84,83%</w:t>
            </w:r>
          </w:p>
        </w:tc>
      </w:tr>
      <w:tr w:rsidR="00E8617E" w:rsidRPr="00BC7D66" w14:paraId="5BF75901" w14:textId="77777777" w:rsidTr="00922731">
        <w:trPr>
          <w:trHeight w:val="73"/>
        </w:trPr>
        <w:tc>
          <w:tcPr>
            <w:tcW w:w="9214" w:type="dxa"/>
            <w:gridSpan w:val="6"/>
            <w:tcBorders>
              <w:top w:val="nil"/>
              <w:left w:val="single" w:sz="4" w:space="0" w:color="auto"/>
              <w:bottom w:val="single" w:sz="4" w:space="0" w:color="auto"/>
              <w:right w:val="single" w:sz="4" w:space="0" w:color="auto"/>
            </w:tcBorders>
            <w:shd w:val="clear" w:color="auto" w:fill="auto"/>
            <w:vAlign w:val="center"/>
          </w:tcPr>
          <w:p w14:paraId="47712DD0"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51741264" w14:textId="77777777" w:rsidTr="00922731">
        <w:trPr>
          <w:trHeight w:val="300"/>
        </w:trPr>
        <w:tc>
          <w:tcPr>
            <w:tcW w:w="1134"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B1E7067" w14:textId="77777777" w:rsidR="00E8617E" w:rsidRPr="00BC7D66" w:rsidRDefault="00E8617E" w:rsidP="00922731">
            <w:pPr>
              <w:spacing w:after="0" w:line="240" w:lineRule="auto"/>
              <w:rPr>
                <w:rFonts w:ascii="Arial" w:eastAsia="Times New Roman" w:hAnsi="Arial" w:cs="Arial"/>
                <w:b/>
                <w:bCs/>
                <w:sz w:val="18"/>
                <w:szCs w:val="18"/>
                <w:lang w:eastAsia="bg-BG"/>
              </w:rPr>
            </w:pPr>
            <w:r w:rsidRPr="00BC7D66">
              <w:rPr>
                <w:rFonts w:ascii="Arial" w:eastAsia="Times New Roman" w:hAnsi="Arial" w:cs="Arial"/>
                <w:b/>
                <w:bCs/>
                <w:sz w:val="18"/>
                <w:szCs w:val="18"/>
                <w:lang w:eastAsia="bg-BG"/>
              </w:rPr>
              <w:t>Общ бюджет</w:t>
            </w:r>
          </w:p>
        </w:tc>
        <w:tc>
          <w:tcPr>
            <w:tcW w:w="1468" w:type="dxa"/>
            <w:tcBorders>
              <w:top w:val="nil"/>
              <w:left w:val="nil"/>
              <w:bottom w:val="single" w:sz="4" w:space="0" w:color="auto"/>
              <w:right w:val="single" w:sz="4" w:space="0" w:color="auto"/>
            </w:tcBorders>
            <w:shd w:val="clear" w:color="auto" w:fill="D9D9D9" w:themeFill="background1" w:themeFillShade="D9"/>
            <w:noWrap/>
            <w:vAlign w:val="center"/>
            <w:hideMark/>
          </w:tcPr>
          <w:p w14:paraId="19CAEE9F" w14:textId="77777777" w:rsidR="00E8617E" w:rsidRPr="00BC7D66" w:rsidRDefault="00E8617E" w:rsidP="00922731">
            <w:pPr>
              <w:spacing w:after="0" w:line="240" w:lineRule="auto"/>
              <w:jc w:val="center"/>
              <w:rPr>
                <w:rFonts w:ascii="Arial" w:eastAsia="Times New Roman" w:hAnsi="Arial" w:cs="Arial"/>
                <w:b/>
                <w:bCs/>
                <w:sz w:val="18"/>
                <w:szCs w:val="18"/>
                <w:lang w:eastAsia="bg-BG"/>
              </w:rPr>
            </w:pPr>
            <w:r w:rsidRPr="00BC7D66">
              <w:rPr>
                <w:rFonts w:ascii="Arial" w:eastAsia="Times New Roman" w:hAnsi="Arial" w:cs="Arial"/>
                <w:b/>
                <w:bCs/>
                <w:sz w:val="18"/>
                <w:szCs w:val="18"/>
                <w:lang w:eastAsia="bg-BG"/>
              </w:rPr>
              <w:t>636 523 130</w:t>
            </w:r>
          </w:p>
        </w:tc>
        <w:tc>
          <w:tcPr>
            <w:tcW w:w="1367" w:type="dxa"/>
            <w:tcBorders>
              <w:top w:val="nil"/>
              <w:left w:val="nil"/>
              <w:bottom w:val="single" w:sz="4" w:space="0" w:color="auto"/>
              <w:right w:val="single" w:sz="4" w:space="0" w:color="auto"/>
            </w:tcBorders>
            <w:shd w:val="clear" w:color="auto" w:fill="D9D9D9" w:themeFill="background1" w:themeFillShade="D9"/>
            <w:noWrap/>
            <w:vAlign w:val="center"/>
            <w:hideMark/>
          </w:tcPr>
          <w:p w14:paraId="1930FD04" w14:textId="77777777" w:rsidR="00E8617E" w:rsidRPr="00BC7D66" w:rsidRDefault="00E8617E" w:rsidP="00922731">
            <w:pPr>
              <w:spacing w:after="0" w:line="240" w:lineRule="auto"/>
              <w:jc w:val="center"/>
              <w:rPr>
                <w:rFonts w:ascii="Arial" w:eastAsia="Times New Roman" w:hAnsi="Arial" w:cs="Arial"/>
                <w:b/>
                <w:bCs/>
                <w:sz w:val="18"/>
                <w:szCs w:val="18"/>
                <w:lang w:eastAsia="bg-BG"/>
              </w:rPr>
            </w:pPr>
            <w:r w:rsidRPr="00BC7D66">
              <w:rPr>
                <w:rFonts w:ascii="Arial" w:eastAsia="Times New Roman" w:hAnsi="Arial" w:cs="Arial"/>
                <w:b/>
                <w:bCs/>
                <w:sz w:val="18"/>
                <w:szCs w:val="18"/>
                <w:lang w:eastAsia="bg-BG"/>
              </w:rPr>
              <w:t>601 826 772</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14:paraId="07673F39" w14:textId="77777777" w:rsidR="00E8617E" w:rsidRPr="00BC7D66" w:rsidRDefault="00E8617E" w:rsidP="00922731">
            <w:pPr>
              <w:spacing w:after="0" w:line="240" w:lineRule="auto"/>
              <w:jc w:val="center"/>
              <w:rPr>
                <w:rFonts w:ascii="Arial" w:eastAsia="Times New Roman" w:hAnsi="Arial" w:cs="Arial"/>
                <w:b/>
                <w:bCs/>
                <w:sz w:val="18"/>
                <w:szCs w:val="18"/>
                <w:lang w:eastAsia="bg-BG"/>
              </w:rPr>
            </w:pPr>
            <w:r w:rsidRPr="00BC7D66">
              <w:rPr>
                <w:rFonts w:ascii="Arial" w:eastAsia="Times New Roman" w:hAnsi="Arial" w:cs="Arial"/>
                <w:b/>
                <w:bCs/>
                <w:sz w:val="18"/>
                <w:szCs w:val="18"/>
                <w:lang w:eastAsia="bg-BG"/>
              </w:rPr>
              <w:t>596 936 416</w:t>
            </w:r>
          </w:p>
        </w:tc>
        <w:tc>
          <w:tcPr>
            <w:tcW w:w="1842" w:type="dxa"/>
            <w:tcBorders>
              <w:top w:val="nil"/>
              <w:left w:val="nil"/>
              <w:bottom w:val="single" w:sz="4" w:space="0" w:color="auto"/>
              <w:right w:val="single" w:sz="4" w:space="0" w:color="auto"/>
            </w:tcBorders>
            <w:shd w:val="clear" w:color="auto" w:fill="D9D9D9" w:themeFill="background1" w:themeFillShade="D9"/>
            <w:noWrap/>
            <w:vAlign w:val="center"/>
            <w:hideMark/>
          </w:tcPr>
          <w:p w14:paraId="1EF12D19" w14:textId="77777777" w:rsidR="00E8617E" w:rsidRPr="00BC7D66" w:rsidRDefault="00E8617E"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99,19%</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14:paraId="255BE52F" w14:textId="77777777" w:rsidR="00E8617E" w:rsidRPr="00BC7D66" w:rsidRDefault="00E8617E"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93,78%</w:t>
            </w:r>
          </w:p>
        </w:tc>
      </w:tr>
    </w:tbl>
    <w:p w14:paraId="6CF269C1" w14:textId="77777777" w:rsidR="00E8617E" w:rsidRPr="00BC1A5E" w:rsidRDefault="00E8617E" w:rsidP="00E8617E">
      <w:pPr>
        <w:pStyle w:val="DefaultText"/>
        <w:spacing w:line="240" w:lineRule="auto"/>
        <w:rPr>
          <w:rFonts w:cs="Arial"/>
          <w:szCs w:val="18"/>
          <w:lang w:val="bg-BG"/>
        </w:rPr>
      </w:pPr>
      <w:r w:rsidRPr="00BC1A5E">
        <w:rPr>
          <w:rFonts w:cs="Arial"/>
          <w:szCs w:val="18"/>
          <w:lang w:val="bg-BG"/>
        </w:rPr>
        <w:t xml:space="preserve">* Техническа помощ ** </w:t>
      </w:r>
      <w:r w:rsidRPr="00BC1A5E">
        <w:rPr>
          <w:rFonts w:cs="Arial"/>
          <w:bCs/>
          <w:szCs w:val="18"/>
          <w:lang w:val="bg-BG" w:eastAsia="bg-BG"/>
        </w:rPr>
        <w:t>Доплащания към директните плащания</w:t>
      </w:r>
    </w:p>
    <w:p w14:paraId="2AD012BE" w14:textId="77777777" w:rsidR="00E8617E" w:rsidRPr="00BC1A5E" w:rsidRDefault="00E8617E" w:rsidP="00E8617E">
      <w:pPr>
        <w:pStyle w:val="DefaultText"/>
        <w:tabs>
          <w:tab w:val="left" w:pos="6449"/>
        </w:tabs>
        <w:spacing w:line="240" w:lineRule="auto"/>
        <w:rPr>
          <w:rFonts w:cs="Arial"/>
          <w:szCs w:val="18"/>
          <w:lang w:val="bg-BG"/>
        </w:rPr>
      </w:pPr>
      <w:r w:rsidRPr="00BC1A5E">
        <w:rPr>
          <w:rFonts w:cs="Arial"/>
          <w:szCs w:val="18"/>
          <w:lang w:val="bg-BG"/>
        </w:rPr>
        <w:t>Източник: МЗХГ,</w:t>
      </w:r>
      <w:r w:rsidRPr="00BC1A5E">
        <w:rPr>
          <w:szCs w:val="18"/>
          <w:lang w:val="bg-BG"/>
        </w:rPr>
        <w:t xml:space="preserve"> ПРСР 2007-2013, </w:t>
      </w:r>
      <w:r w:rsidRPr="00BC1A5E">
        <w:rPr>
          <w:rFonts w:cs="Arial"/>
          <w:szCs w:val="18"/>
          <w:lang w:val="bg-BG"/>
        </w:rPr>
        <w:t>Шестнадесето изменение на ПРСР (2007-2013г.), собствени изчисления</w:t>
      </w:r>
    </w:p>
    <w:p w14:paraId="0B6BBFCB" w14:textId="53DF5B23" w:rsidR="00E8617E" w:rsidRPr="00BC513A" w:rsidRDefault="00E8617E" w:rsidP="007A177C">
      <w:pPr>
        <w:pStyle w:val="DefaultText"/>
        <w:spacing w:before="240" w:after="240" w:line="300" w:lineRule="atLeast"/>
        <w:ind w:firstLine="709"/>
        <w:rPr>
          <w:sz w:val="22"/>
          <w:szCs w:val="22"/>
          <w:lang w:val="bg-BG"/>
        </w:rPr>
      </w:pPr>
      <w:r w:rsidRPr="00BC513A">
        <w:rPr>
          <w:sz w:val="22"/>
          <w:szCs w:val="22"/>
          <w:lang w:val="bg-BG"/>
        </w:rPr>
        <w:t>Националният принос се характеризира със същ</w:t>
      </w:r>
      <w:r w:rsidR="0018283D">
        <w:rPr>
          <w:sz w:val="22"/>
          <w:szCs w:val="22"/>
          <w:lang w:val="bg-BG"/>
        </w:rPr>
        <w:t>а</w:t>
      </w:r>
      <w:r w:rsidRPr="00BC513A">
        <w:rPr>
          <w:sz w:val="22"/>
          <w:szCs w:val="22"/>
          <w:lang w:val="bg-BG"/>
        </w:rPr>
        <w:t>т</w:t>
      </w:r>
      <w:r w:rsidR="0018283D">
        <w:rPr>
          <w:sz w:val="22"/>
          <w:szCs w:val="22"/>
          <w:lang w:val="bg-BG"/>
        </w:rPr>
        <w:t>а</w:t>
      </w:r>
      <w:r w:rsidRPr="00BC513A">
        <w:rPr>
          <w:sz w:val="22"/>
          <w:szCs w:val="22"/>
          <w:lang w:val="bg-BG"/>
        </w:rPr>
        <w:t xml:space="preserve"> вариация, както и съфинансирането от ЕЗФРСР. На програмно ниво действителните разходи са близки до окончателния бюджет на ПРСР – 99,19%, като това представлява 93,378% от първоначалния бюджет.</w:t>
      </w:r>
    </w:p>
    <w:p w14:paraId="3FA98E23" w14:textId="77777777"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 xml:space="preserve">Информацията в таблица 13 показва, че са налице значителни преразпределения на средства, изразяващи се в съкращение на разходите основно по ОС 1, ОС 4, техническа помощ и доплащанията към директните плащания. По-малко е </w:t>
      </w:r>
      <w:r w:rsidRPr="00BC513A">
        <w:rPr>
          <w:sz w:val="22"/>
          <w:szCs w:val="22"/>
          <w:lang w:val="bg-BG"/>
        </w:rPr>
        <w:lastRenderedPageBreak/>
        <w:t>отчетеното намаление на разходите по ОС 2, докато окончателния бюджет по ОС 3 е 30,% по-висок от първоначалния. Минимално надвишение на разходите се отчита при 611 Доплащания към директните плащания – 100,02% или в размер на 4 989 лв.</w:t>
      </w:r>
    </w:p>
    <w:p w14:paraId="66BEA1D0" w14:textId="77777777" w:rsidR="00E8617E" w:rsidRPr="00BC513A" w:rsidRDefault="00E8617E" w:rsidP="00E8617E">
      <w:pPr>
        <w:pStyle w:val="Heading3"/>
        <w:numPr>
          <w:ilvl w:val="2"/>
          <w:numId w:val="6"/>
        </w:numPr>
        <w:ind w:left="1560" w:hanging="709"/>
      </w:pPr>
      <w:bookmarkStart w:id="64" w:name="_Toc504136145"/>
      <w:r w:rsidRPr="00BC513A">
        <w:t>Разпределение на ниво програма и ниво на ос</w:t>
      </w:r>
      <w:bookmarkEnd w:id="64"/>
    </w:p>
    <w:p w14:paraId="3A52A53E" w14:textId="4728E29D"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Регламентът на ЕО за развитие на селските райони предоставя рамка, която изисква държавите</w:t>
      </w:r>
      <w:r w:rsidR="0018283D">
        <w:rPr>
          <w:sz w:val="22"/>
          <w:szCs w:val="22"/>
          <w:lang w:val="bg-BG"/>
        </w:rPr>
        <w:t xml:space="preserve"> </w:t>
      </w:r>
      <w:r w:rsidRPr="00BC513A">
        <w:rPr>
          <w:sz w:val="22"/>
          <w:szCs w:val="22"/>
          <w:lang w:val="bg-BG"/>
        </w:rPr>
        <w:t>членки да работят в рамките на определена минимална сума от ЕЗФРСР по всяка ос. Таблиците по-долу показват разбивката на разпределението между всяко ниво на общите публични разходи по конкретните оси на ПРСР (таблица 14), на ЕЗФРСР (таблица 15) и националния принос (таблица 16).</w:t>
      </w:r>
    </w:p>
    <w:p w14:paraId="0F9A1EF5" w14:textId="545E3712"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Виден е стремежът за балансирано разпределение на средствата между първите три оси на програмата, но с последната промяна на бюджета на програмата повече от една трета от разходите са насочени към ОС 3 (37,88%). Първоначалният фокус е насочен към ОС 1 „Подобряване на конкурентоспособността в земеделския и горския сектор“, но поради по-малкия интерес по мерките в окончателния бюджет средствата са пренасочени към ОС 3 в посока реализация на инфраструктурни дейностите от местните власти.</w:t>
      </w:r>
    </w:p>
    <w:p w14:paraId="26A251E8" w14:textId="77777777" w:rsidR="00E8617E" w:rsidRPr="00BC513A" w:rsidRDefault="00E8617E" w:rsidP="00E8617E">
      <w:pPr>
        <w:pStyle w:val="Caption"/>
        <w:keepNext/>
        <w:spacing w:before="240" w:after="120"/>
        <w:rPr>
          <w:rFonts w:ascii="Arial" w:hAnsi="Arial" w:cs="Arial"/>
        </w:rPr>
      </w:pPr>
      <w:bookmarkStart w:id="65" w:name="_Toc504136186"/>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14</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Разпределение на общите публични разходи между осите (%)</w:t>
      </w:r>
      <w:bookmarkEnd w:id="65"/>
    </w:p>
    <w:tbl>
      <w:tblPr>
        <w:tblW w:w="9155" w:type="dxa"/>
        <w:tblInd w:w="55" w:type="dxa"/>
        <w:tblCellMar>
          <w:left w:w="70" w:type="dxa"/>
          <w:right w:w="70" w:type="dxa"/>
        </w:tblCellMar>
        <w:tblLook w:val="04A0" w:firstRow="1" w:lastRow="0" w:firstColumn="1" w:lastColumn="0" w:noHBand="0" w:noVBand="1"/>
      </w:tblPr>
      <w:tblGrid>
        <w:gridCol w:w="2350"/>
        <w:gridCol w:w="1985"/>
        <w:gridCol w:w="1984"/>
        <w:gridCol w:w="1425"/>
        <w:gridCol w:w="1411"/>
      </w:tblGrid>
      <w:tr w:rsidR="00E8617E" w:rsidRPr="00BC7D66" w14:paraId="49821731" w14:textId="77777777" w:rsidTr="00520B91">
        <w:trPr>
          <w:trHeight w:val="300"/>
          <w:tblHeader/>
        </w:trPr>
        <w:tc>
          <w:tcPr>
            <w:tcW w:w="2350"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3C2CEDE6" w14:textId="58DAF00E" w:rsidR="00E8617E" w:rsidRPr="00BC7D66" w:rsidRDefault="00E8617E" w:rsidP="00AB2B2B">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О</w:t>
            </w:r>
            <w:r w:rsidR="00AB2B2B">
              <w:rPr>
                <w:rFonts w:ascii="Arial" w:hAnsi="Arial" w:cs="Arial"/>
                <w:b/>
                <w:color w:val="FFFFFF" w:themeColor="background1"/>
                <w:sz w:val="18"/>
                <w:szCs w:val="18"/>
                <w:lang w:eastAsia="bg-BG"/>
              </w:rPr>
              <w:t>с</w:t>
            </w:r>
          </w:p>
        </w:tc>
        <w:tc>
          <w:tcPr>
            <w:tcW w:w="1985" w:type="dxa"/>
            <w:tcBorders>
              <w:top w:val="single" w:sz="4" w:space="0" w:color="auto"/>
              <w:left w:val="nil"/>
              <w:bottom w:val="single" w:sz="4" w:space="0" w:color="auto"/>
              <w:right w:val="single" w:sz="4" w:space="0" w:color="auto"/>
            </w:tcBorders>
            <w:shd w:val="clear" w:color="auto" w:fill="1F4E79" w:themeFill="accent1" w:themeFillShade="80"/>
            <w:noWrap/>
            <w:vAlign w:val="center"/>
            <w:hideMark/>
          </w:tcPr>
          <w:p w14:paraId="22AF685F" w14:textId="77777777" w:rsidR="00E8617E" w:rsidRPr="00BC7D66" w:rsidRDefault="00E8617E" w:rsidP="003644F0">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Първоначален бюджет без включване на ЕПИВ</w:t>
            </w:r>
          </w:p>
        </w:tc>
        <w:tc>
          <w:tcPr>
            <w:tcW w:w="1984" w:type="dxa"/>
            <w:tcBorders>
              <w:top w:val="single" w:sz="4" w:space="0" w:color="auto"/>
              <w:left w:val="nil"/>
              <w:bottom w:val="single" w:sz="4" w:space="0" w:color="auto"/>
              <w:right w:val="single" w:sz="4" w:space="0" w:color="auto"/>
            </w:tcBorders>
            <w:shd w:val="clear" w:color="auto" w:fill="1F4E79" w:themeFill="accent1" w:themeFillShade="80"/>
          </w:tcPr>
          <w:p w14:paraId="3E43D9DB"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Първоначален бюджет  с включване на ЕПИВ</w:t>
            </w:r>
          </w:p>
        </w:tc>
        <w:tc>
          <w:tcPr>
            <w:tcW w:w="1425"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4C097C20"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Окончателен бюджет</w:t>
            </w:r>
          </w:p>
        </w:tc>
        <w:tc>
          <w:tcPr>
            <w:tcW w:w="1411" w:type="dxa"/>
            <w:tcBorders>
              <w:top w:val="single" w:sz="4" w:space="0" w:color="auto"/>
              <w:left w:val="nil"/>
              <w:bottom w:val="single" w:sz="4" w:space="0" w:color="auto"/>
              <w:right w:val="single" w:sz="4" w:space="0" w:color="auto"/>
            </w:tcBorders>
            <w:shd w:val="clear" w:color="auto" w:fill="1F4E79" w:themeFill="accent1" w:themeFillShade="80"/>
            <w:noWrap/>
            <w:vAlign w:val="center"/>
            <w:hideMark/>
          </w:tcPr>
          <w:p w14:paraId="22EBC21A"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Действителни разходи</w:t>
            </w:r>
          </w:p>
        </w:tc>
      </w:tr>
      <w:tr w:rsidR="00E8617E" w:rsidRPr="00BC7D66" w14:paraId="55216A18" w14:textId="77777777" w:rsidTr="00520B91">
        <w:trPr>
          <w:trHeight w:val="300"/>
        </w:trPr>
        <w:tc>
          <w:tcPr>
            <w:tcW w:w="2350" w:type="dxa"/>
            <w:tcBorders>
              <w:top w:val="nil"/>
              <w:left w:val="single" w:sz="4" w:space="0" w:color="auto"/>
              <w:bottom w:val="single" w:sz="4" w:space="0" w:color="auto"/>
              <w:right w:val="single" w:sz="4" w:space="0" w:color="auto"/>
            </w:tcBorders>
            <w:shd w:val="clear" w:color="auto" w:fill="auto"/>
            <w:noWrap/>
            <w:vAlign w:val="center"/>
            <w:hideMark/>
          </w:tcPr>
          <w:p w14:paraId="1EC09209"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w:t>
            </w:r>
          </w:p>
        </w:tc>
        <w:tc>
          <w:tcPr>
            <w:tcW w:w="1985" w:type="dxa"/>
            <w:tcBorders>
              <w:top w:val="nil"/>
              <w:left w:val="nil"/>
              <w:bottom w:val="single" w:sz="4" w:space="0" w:color="auto"/>
              <w:right w:val="single" w:sz="4" w:space="0" w:color="auto"/>
            </w:tcBorders>
            <w:shd w:val="clear" w:color="auto" w:fill="auto"/>
            <w:noWrap/>
            <w:vAlign w:val="center"/>
            <w:hideMark/>
          </w:tcPr>
          <w:p w14:paraId="5CAF37F0"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37,71%</w:t>
            </w:r>
          </w:p>
        </w:tc>
        <w:tc>
          <w:tcPr>
            <w:tcW w:w="1984" w:type="dxa"/>
            <w:tcBorders>
              <w:top w:val="nil"/>
              <w:left w:val="nil"/>
              <w:bottom w:val="single" w:sz="4" w:space="0" w:color="auto"/>
              <w:right w:val="single" w:sz="4" w:space="0" w:color="auto"/>
            </w:tcBorders>
          </w:tcPr>
          <w:p w14:paraId="4901D5C4"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37,58%</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14:paraId="6672A967"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29,96%</w:t>
            </w:r>
          </w:p>
        </w:tc>
        <w:tc>
          <w:tcPr>
            <w:tcW w:w="1411" w:type="dxa"/>
            <w:tcBorders>
              <w:top w:val="nil"/>
              <w:left w:val="nil"/>
              <w:bottom w:val="single" w:sz="4" w:space="0" w:color="auto"/>
              <w:right w:val="single" w:sz="4" w:space="0" w:color="auto"/>
            </w:tcBorders>
            <w:shd w:val="clear" w:color="auto" w:fill="auto"/>
            <w:noWrap/>
            <w:vAlign w:val="center"/>
            <w:hideMark/>
          </w:tcPr>
          <w:p w14:paraId="57D9AF28"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30,10%</w:t>
            </w:r>
          </w:p>
        </w:tc>
      </w:tr>
      <w:tr w:rsidR="00E8617E" w:rsidRPr="00BC7D66" w14:paraId="61945BC9" w14:textId="77777777" w:rsidTr="00520B91">
        <w:trPr>
          <w:trHeight w:val="300"/>
        </w:trPr>
        <w:tc>
          <w:tcPr>
            <w:tcW w:w="2350" w:type="dxa"/>
            <w:tcBorders>
              <w:top w:val="nil"/>
              <w:left w:val="single" w:sz="4" w:space="0" w:color="auto"/>
              <w:bottom w:val="single" w:sz="4" w:space="0" w:color="auto"/>
              <w:right w:val="single" w:sz="4" w:space="0" w:color="auto"/>
            </w:tcBorders>
            <w:shd w:val="clear" w:color="auto" w:fill="auto"/>
            <w:noWrap/>
            <w:vAlign w:val="center"/>
            <w:hideMark/>
          </w:tcPr>
          <w:p w14:paraId="7DF00F61"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w:t>
            </w:r>
          </w:p>
        </w:tc>
        <w:tc>
          <w:tcPr>
            <w:tcW w:w="1985" w:type="dxa"/>
            <w:tcBorders>
              <w:top w:val="nil"/>
              <w:left w:val="nil"/>
              <w:bottom w:val="single" w:sz="4" w:space="0" w:color="auto"/>
              <w:right w:val="single" w:sz="4" w:space="0" w:color="auto"/>
            </w:tcBorders>
            <w:shd w:val="clear" w:color="auto" w:fill="auto"/>
            <w:noWrap/>
            <w:vAlign w:val="center"/>
            <w:hideMark/>
          </w:tcPr>
          <w:p w14:paraId="7D8AF552"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25,27%</w:t>
            </w:r>
          </w:p>
        </w:tc>
        <w:tc>
          <w:tcPr>
            <w:tcW w:w="1984" w:type="dxa"/>
            <w:tcBorders>
              <w:top w:val="nil"/>
              <w:left w:val="nil"/>
              <w:bottom w:val="single" w:sz="4" w:space="0" w:color="auto"/>
              <w:right w:val="single" w:sz="4" w:space="0" w:color="auto"/>
            </w:tcBorders>
          </w:tcPr>
          <w:p w14:paraId="56F23902" w14:textId="77777777" w:rsidR="00E8617E" w:rsidRPr="00BC7D66" w:rsidRDefault="00E8617E" w:rsidP="00922731">
            <w:pPr>
              <w:jc w:val="center"/>
              <w:rPr>
                <w:rFonts w:ascii="Arial" w:hAnsi="Arial" w:cs="Arial"/>
                <w:color w:val="000000"/>
                <w:sz w:val="18"/>
                <w:szCs w:val="18"/>
              </w:rPr>
            </w:pPr>
            <w:r w:rsidRPr="00BC7D66">
              <w:rPr>
                <w:rFonts w:ascii="Arial" w:hAnsi="Arial" w:cs="Arial"/>
                <w:color w:val="000000"/>
                <w:sz w:val="18"/>
                <w:szCs w:val="18"/>
              </w:rPr>
              <w:t>25,01%</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14:paraId="2581E30F"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24,21%</w:t>
            </w:r>
          </w:p>
        </w:tc>
        <w:tc>
          <w:tcPr>
            <w:tcW w:w="1411" w:type="dxa"/>
            <w:tcBorders>
              <w:top w:val="nil"/>
              <w:left w:val="nil"/>
              <w:bottom w:val="single" w:sz="4" w:space="0" w:color="auto"/>
              <w:right w:val="single" w:sz="4" w:space="0" w:color="auto"/>
            </w:tcBorders>
            <w:shd w:val="clear" w:color="auto" w:fill="auto"/>
            <w:noWrap/>
            <w:vAlign w:val="center"/>
            <w:hideMark/>
          </w:tcPr>
          <w:p w14:paraId="02F08E6B"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24,39%</w:t>
            </w:r>
          </w:p>
        </w:tc>
      </w:tr>
      <w:tr w:rsidR="00E8617E" w:rsidRPr="00BC7D66" w14:paraId="718D3CAD" w14:textId="77777777" w:rsidTr="00520B91">
        <w:trPr>
          <w:trHeight w:val="300"/>
        </w:trPr>
        <w:tc>
          <w:tcPr>
            <w:tcW w:w="2350" w:type="dxa"/>
            <w:tcBorders>
              <w:top w:val="nil"/>
              <w:left w:val="single" w:sz="4" w:space="0" w:color="auto"/>
              <w:bottom w:val="single" w:sz="4" w:space="0" w:color="auto"/>
              <w:right w:val="single" w:sz="4" w:space="0" w:color="auto"/>
            </w:tcBorders>
            <w:shd w:val="clear" w:color="auto" w:fill="auto"/>
            <w:noWrap/>
            <w:vAlign w:val="center"/>
            <w:hideMark/>
          </w:tcPr>
          <w:p w14:paraId="139221B7"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w:t>
            </w:r>
          </w:p>
        </w:tc>
        <w:tc>
          <w:tcPr>
            <w:tcW w:w="1985" w:type="dxa"/>
            <w:tcBorders>
              <w:top w:val="nil"/>
              <w:left w:val="nil"/>
              <w:bottom w:val="single" w:sz="4" w:space="0" w:color="auto"/>
              <w:right w:val="single" w:sz="4" w:space="0" w:color="auto"/>
            </w:tcBorders>
            <w:shd w:val="clear" w:color="auto" w:fill="auto"/>
            <w:noWrap/>
            <w:vAlign w:val="center"/>
            <w:hideMark/>
          </w:tcPr>
          <w:p w14:paraId="68241EFA"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24,59%</w:t>
            </w:r>
          </w:p>
        </w:tc>
        <w:tc>
          <w:tcPr>
            <w:tcW w:w="1984" w:type="dxa"/>
            <w:tcBorders>
              <w:top w:val="nil"/>
              <w:left w:val="nil"/>
              <w:bottom w:val="single" w:sz="4" w:space="0" w:color="auto"/>
              <w:right w:val="single" w:sz="4" w:space="0" w:color="auto"/>
            </w:tcBorders>
          </w:tcPr>
          <w:p w14:paraId="4CC5512F"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25,11%</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14:paraId="48C85549"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37,88%</w:t>
            </w:r>
          </w:p>
        </w:tc>
        <w:tc>
          <w:tcPr>
            <w:tcW w:w="1411" w:type="dxa"/>
            <w:tcBorders>
              <w:top w:val="nil"/>
              <w:left w:val="nil"/>
              <w:bottom w:val="single" w:sz="4" w:space="0" w:color="auto"/>
              <w:right w:val="single" w:sz="4" w:space="0" w:color="auto"/>
            </w:tcBorders>
            <w:shd w:val="clear" w:color="auto" w:fill="auto"/>
            <w:noWrap/>
            <w:vAlign w:val="center"/>
            <w:hideMark/>
          </w:tcPr>
          <w:p w14:paraId="487CA9DC"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37,53%</w:t>
            </w:r>
          </w:p>
        </w:tc>
      </w:tr>
      <w:tr w:rsidR="00E8617E" w:rsidRPr="00BC7D66" w14:paraId="5872F4DC" w14:textId="77777777" w:rsidTr="00520B91">
        <w:trPr>
          <w:trHeight w:val="300"/>
        </w:trPr>
        <w:tc>
          <w:tcPr>
            <w:tcW w:w="2350" w:type="dxa"/>
            <w:tcBorders>
              <w:top w:val="nil"/>
              <w:left w:val="single" w:sz="4" w:space="0" w:color="auto"/>
              <w:bottom w:val="single" w:sz="4" w:space="0" w:color="auto"/>
              <w:right w:val="single" w:sz="4" w:space="0" w:color="auto"/>
            </w:tcBorders>
            <w:shd w:val="clear" w:color="auto" w:fill="auto"/>
            <w:noWrap/>
            <w:vAlign w:val="center"/>
            <w:hideMark/>
          </w:tcPr>
          <w:p w14:paraId="525DBE4B" w14:textId="77777777" w:rsidR="00E8617E" w:rsidRPr="00BC7D66" w:rsidRDefault="00E8617E" w:rsidP="003644F0">
            <w:pPr>
              <w:spacing w:after="0"/>
              <w:jc w:val="center"/>
              <w:rPr>
                <w:rFonts w:ascii="Arial" w:hAnsi="Arial" w:cs="Arial"/>
                <w:sz w:val="18"/>
                <w:szCs w:val="18"/>
                <w:lang w:eastAsia="bg-BG"/>
              </w:rPr>
            </w:pPr>
            <w:r w:rsidRPr="00BC7D66">
              <w:rPr>
                <w:rFonts w:ascii="Arial" w:hAnsi="Arial" w:cs="Arial"/>
                <w:sz w:val="18"/>
                <w:szCs w:val="18"/>
                <w:lang w:eastAsia="bg-BG"/>
              </w:rPr>
              <w:t>4</w:t>
            </w:r>
          </w:p>
        </w:tc>
        <w:tc>
          <w:tcPr>
            <w:tcW w:w="1985" w:type="dxa"/>
            <w:tcBorders>
              <w:top w:val="nil"/>
              <w:left w:val="nil"/>
              <w:bottom w:val="single" w:sz="4" w:space="0" w:color="auto"/>
              <w:right w:val="single" w:sz="4" w:space="0" w:color="auto"/>
            </w:tcBorders>
            <w:shd w:val="clear" w:color="auto" w:fill="auto"/>
            <w:noWrap/>
            <w:vAlign w:val="center"/>
            <w:hideMark/>
          </w:tcPr>
          <w:p w14:paraId="715A306A"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3,88%</w:t>
            </w:r>
          </w:p>
        </w:tc>
        <w:tc>
          <w:tcPr>
            <w:tcW w:w="1984" w:type="dxa"/>
            <w:tcBorders>
              <w:top w:val="nil"/>
              <w:left w:val="nil"/>
              <w:bottom w:val="single" w:sz="4" w:space="0" w:color="auto"/>
              <w:right w:val="single" w:sz="4" w:space="0" w:color="auto"/>
            </w:tcBorders>
          </w:tcPr>
          <w:p w14:paraId="2C00454D"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3,84%</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14:paraId="216F58F1"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1,72%</w:t>
            </w:r>
          </w:p>
        </w:tc>
        <w:tc>
          <w:tcPr>
            <w:tcW w:w="1411" w:type="dxa"/>
            <w:tcBorders>
              <w:top w:val="nil"/>
              <w:left w:val="nil"/>
              <w:bottom w:val="single" w:sz="4" w:space="0" w:color="auto"/>
              <w:right w:val="single" w:sz="4" w:space="0" w:color="auto"/>
            </w:tcBorders>
            <w:shd w:val="clear" w:color="auto" w:fill="auto"/>
            <w:noWrap/>
            <w:vAlign w:val="center"/>
            <w:hideMark/>
          </w:tcPr>
          <w:p w14:paraId="47B3D158"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1,72%</w:t>
            </w:r>
          </w:p>
        </w:tc>
      </w:tr>
      <w:tr w:rsidR="00E8617E" w:rsidRPr="00BC7D66" w14:paraId="2C1AA05F" w14:textId="77777777" w:rsidTr="00520B91">
        <w:trPr>
          <w:trHeight w:val="96"/>
        </w:trPr>
        <w:tc>
          <w:tcPr>
            <w:tcW w:w="2350" w:type="dxa"/>
            <w:tcBorders>
              <w:top w:val="nil"/>
              <w:left w:val="single" w:sz="4" w:space="0" w:color="auto"/>
              <w:bottom w:val="single" w:sz="4" w:space="0" w:color="auto"/>
              <w:right w:val="single" w:sz="4" w:space="0" w:color="auto"/>
            </w:tcBorders>
          </w:tcPr>
          <w:p w14:paraId="4D28783C"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c>
          <w:tcPr>
            <w:tcW w:w="6805" w:type="dxa"/>
            <w:gridSpan w:val="4"/>
            <w:tcBorders>
              <w:top w:val="nil"/>
              <w:left w:val="single" w:sz="4" w:space="0" w:color="auto"/>
              <w:bottom w:val="single" w:sz="4" w:space="0" w:color="auto"/>
              <w:right w:val="single" w:sz="4" w:space="0" w:color="auto"/>
            </w:tcBorders>
            <w:shd w:val="clear" w:color="auto" w:fill="auto"/>
            <w:noWrap/>
            <w:vAlign w:val="center"/>
          </w:tcPr>
          <w:p w14:paraId="2499673F"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499DFB64" w14:textId="77777777" w:rsidTr="00BC7D66">
        <w:trPr>
          <w:trHeight w:val="300"/>
        </w:trPr>
        <w:tc>
          <w:tcPr>
            <w:tcW w:w="2350"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1487371A" w14:textId="1DF43788" w:rsidR="00E8617E" w:rsidRPr="00BC7D66" w:rsidRDefault="00E8617E" w:rsidP="00AB2B2B">
            <w:pPr>
              <w:spacing w:after="0" w:line="240" w:lineRule="auto"/>
              <w:rPr>
                <w:rFonts w:ascii="Arial" w:eastAsia="Times New Roman" w:hAnsi="Arial" w:cs="Arial"/>
                <w:b/>
                <w:bCs/>
                <w:color w:val="000000"/>
                <w:sz w:val="18"/>
                <w:szCs w:val="18"/>
                <w:lang w:eastAsia="bg-BG"/>
              </w:rPr>
            </w:pPr>
            <w:r w:rsidRPr="00BC7D66">
              <w:rPr>
                <w:rFonts w:ascii="Arial" w:eastAsia="Times New Roman" w:hAnsi="Arial" w:cs="Arial"/>
                <w:b/>
                <w:bCs/>
                <w:color w:val="000000"/>
                <w:sz w:val="18"/>
                <w:szCs w:val="18"/>
                <w:lang w:eastAsia="bg-BG"/>
              </w:rPr>
              <w:t>ОБЩО О</w:t>
            </w:r>
            <w:r w:rsidR="00AB2B2B">
              <w:rPr>
                <w:rFonts w:ascii="Arial" w:eastAsia="Times New Roman" w:hAnsi="Arial" w:cs="Arial"/>
                <w:b/>
                <w:bCs/>
                <w:color w:val="000000"/>
                <w:sz w:val="18"/>
                <w:szCs w:val="18"/>
                <w:lang w:eastAsia="bg-BG"/>
              </w:rPr>
              <w:t>с</w:t>
            </w:r>
            <w:r w:rsidRPr="00BC7D66">
              <w:rPr>
                <w:rFonts w:ascii="Arial" w:eastAsia="Times New Roman" w:hAnsi="Arial" w:cs="Arial"/>
                <w:b/>
                <w:bCs/>
                <w:color w:val="000000"/>
                <w:sz w:val="18"/>
                <w:szCs w:val="18"/>
                <w:lang w:eastAsia="bg-BG"/>
              </w:rPr>
              <w:t xml:space="preserve"> 1,2,3 и 4</w:t>
            </w:r>
          </w:p>
        </w:tc>
        <w:tc>
          <w:tcPr>
            <w:tcW w:w="1985" w:type="dxa"/>
            <w:tcBorders>
              <w:top w:val="nil"/>
              <w:left w:val="nil"/>
              <w:bottom w:val="single" w:sz="4" w:space="0" w:color="auto"/>
              <w:right w:val="single" w:sz="4" w:space="0" w:color="auto"/>
            </w:tcBorders>
            <w:shd w:val="clear" w:color="auto" w:fill="DEEAF6" w:themeFill="accent1" w:themeFillTint="33"/>
            <w:noWrap/>
            <w:vAlign w:val="center"/>
            <w:hideMark/>
          </w:tcPr>
          <w:p w14:paraId="2259AB13"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91,45%</w:t>
            </w:r>
          </w:p>
        </w:tc>
        <w:tc>
          <w:tcPr>
            <w:tcW w:w="1984" w:type="dxa"/>
            <w:tcBorders>
              <w:top w:val="nil"/>
              <w:left w:val="nil"/>
              <w:bottom w:val="single" w:sz="4" w:space="0" w:color="auto"/>
              <w:right w:val="single" w:sz="4" w:space="0" w:color="auto"/>
            </w:tcBorders>
            <w:shd w:val="clear" w:color="auto" w:fill="DEEAF6" w:themeFill="accent1" w:themeFillTint="33"/>
          </w:tcPr>
          <w:p w14:paraId="6504CE71"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91,54%</w:t>
            </w:r>
          </w:p>
        </w:tc>
        <w:tc>
          <w:tcPr>
            <w:tcW w:w="1425"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0470BD64"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93,77%</w:t>
            </w:r>
          </w:p>
        </w:tc>
        <w:tc>
          <w:tcPr>
            <w:tcW w:w="1411" w:type="dxa"/>
            <w:tcBorders>
              <w:top w:val="nil"/>
              <w:left w:val="nil"/>
              <w:bottom w:val="single" w:sz="4" w:space="0" w:color="auto"/>
              <w:right w:val="single" w:sz="4" w:space="0" w:color="auto"/>
            </w:tcBorders>
            <w:shd w:val="clear" w:color="auto" w:fill="DEEAF6" w:themeFill="accent1" w:themeFillTint="33"/>
            <w:noWrap/>
            <w:vAlign w:val="center"/>
            <w:hideMark/>
          </w:tcPr>
          <w:p w14:paraId="741E4DDD"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93,74%</w:t>
            </w:r>
          </w:p>
        </w:tc>
      </w:tr>
      <w:tr w:rsidR="00E8617E" w:rsidRPr="00BC7D66" w14:paraId="2BDADD01" w14:textId="77777777" w:rsidTr="00520B91">
        <w:trPr>
          <w:trHeight w:val="73"/>
        </w:trPr>
        <w:tc>
          <w:tcPr>
            <w:tcW w:w="2350" w:type="dxa"/>
            <w:tcBorders>
              <w:top w:val="nil"/>
              <w:left w:val="single" w:sz="4" w:space="0" w:color="auto"/>
              <w:bottom w:val="single" w:sz="4" w:space="0" w:color="auto"/>
              <w:right w:val="single" w:sz="4" w:space="0" w:color="auto"/>
            </w:tcBorders>
            <w:shd w:val="clear" w:color="auto" w:fill="FFFFFF" w:themeFill="background1"/>
          </w:tcPr>
          <w:p w14:paraId="4CC1F894"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p>
        </w:tc>
        <w:tc>
          <w:tcPr>
            <w:tcW w:w="6805" w:type="dxa"/>
            <w:gridSpan w:val="4"/>
            <w:tcBorders>
              <w:top w:val="nil"/>
              <w:left w:val="single" w:sz="4" w:space="0" w:color="auto"/>
              <w:bottom w:val="single" w:sz="4" w:space="0" w:color="auto"/>
              <w:right w:val="single" w:sz="4" w:space="0" w:color="auto"/>
            </w:tcBorders>
            <w:shd w:val="clear" w:color="auto" w:fill="FFFFFF" w:themeFill="background1"/>
            <w:noWrap/>
            <w:vAlign w:val="center"/>
          </w:tcPr>
          <w:p w14:paraId="486A2A05"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p>
        </w:tc>
      </w:tr>
      <w:tr w:rsidR="00E8617E" w:rsidRPr="00BC7D66" w14:paraId="6C687E6E" w14:textId="77777777" w:rsidTr="00520B91">
        <w:trPr>
          <w:trHeight w:val="300"/>
        </w:trPr>
        <w:tc>
          <w:tcPr>
            <w:tcW w:w="2350" w:type="dxa"/>
            <w:tcBorders>
              <w:top w:val="nil"/>
              <w:left w:val="single" w:sz="4" w:space="0" w:color="auto"/>
              <w:bottom w:val="single" w:sz="4" w:space="0" w:color="auto"/>
              <w:right w:val="single" w:sz="4" w:space="0" w:color="auto"/>
            </w:tcBorders>
            <w:shd w:val="clear" w:color="auto" w:fill="auto"/>
            <w:vAlign w:val="center"/>
            <w:hideMark/>
          </w:tcPr>
          <w:p w14:paraId="065D4B61" w14:textId="77777777" w:rsidR="00E8617E" w:rsidRPr="00BC7D66" w:rsidRDefault="00E8617E" w:rsidP="00922731">
            <w:pPr>
              <w:spacing w:after="0"/>
              <w:rPr>
                <w:rFonts w:ascii="Arial" w:hAnsi="Arial" w:cs="Arial"/>
                <w:sz w:val="18"/>
                <w:szCs w:val="18"/>
                <w:lang w:eastAsia="bg-BG"/>
              </w:rPr>
            </w:pPr>
            <w:r w:rsidRPr="00BC7D66">
              <w:rPr>
                <w:rFonts w:ascii="Arial" w:hAnsi="Arial" w:cs="Arial"/>
                <w:sz w:val="18"/>
                <w:szCs w:val="18"/>
                <w:lang w:eastAsia="bg-BG"/>
              </w:rPr>
              <w:t>511 Техническа помощ</w:t>
            </w:r>
          </w:p>
        </w:tc>
        <w:tc>
          <w:tcPr>
            <w:tcW w:w="1985" w:type="dxa"/>
            <w:tcBorders>
              <w:top w:val="nil"/>
              <w:left w:val="nil"/>
              <w:bottom w:val="single" w:sz="4" w:space="0" w:color="auto"/>
              <w:right w:val="single" w:sz="4" w:space="0" w:color="auto"/>
            </w:tcBorders>
            <w:shd w:val="clear" w:color="auto" w:fill="auto"/>
            <w:noWrap/>
            <w:vAlign w:val="center"/>
            <w:hideMark/>
          </w:tcPr>
          <w:p w14:paraId="44217DD0"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3,45%</w:t>
            </w:r>
          </w:p>
        </w:tc>
        <w:tc>
          <w:tcPr>
            <w:tcW w:w="1984" w:type="dxa"/>
            <w:tcBorders>
              <w:top w:val="nil"/>
              <w:left w:val="nil"/>
              <w:bottom w:val="single" w:sz="4" w:space="0" w:color="auto"/>
              <w:right w:val="single" w:sz="4" w:space="0" w:color="auto"/>
            </w:tcBorders>
            <w:vAlign w:val="center"/>
          </w:tcPr>
          <w:p w14:paraId="53E46988"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3,42%</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14:paraId="7CB15F7E"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1,26%</w:t>
            </w:r>
          </w:p>
        </w:tc>
        <w:tc>
          <w:tcPr>
            <w:tcW w:w="1411" w:type="dxa"/>
            <w:tcBorders>
              <w:top w:val="nil"/>
              <w:left w:val="nil"/>
              <w:bottom w:val="single" w:sz="4" w:space="0" w:color="auto"/>
              <w:right w:val="single" w:sz="4" w:space="0" w:color="auto"/>
            </w:tcBorders>
            <w:shd w:val="clear" w:color="auto" w:fill="auto"/>
            <w:noWrap/>
            <w:vAlign w:val="center"/>
            <w:hideMark/>
          </w:tcPr>
          <w:p w14:paraId="3BA963DA"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1,24%</w:t>
            </w:r>
          </w:p>
        </w:tc>
      </w:tr>
      <w:tr w:rsidR="00E8617E" w:rsidRPr="00BC7D66" w14:paraId="36A17902" w14:textId="77777777" w:rsidTr="00520B91">
        <w:trPr>
          <w:trHeight w:val="510"/>
        </w:trPr>
        <w:tc>
          <w:tcPr>
            <w:tcW w:w="2350" w:type="dxa"/>
            <w:tcBorders>
              <w:top w:val="nil"/>
              <w:left w:val="single" w:sz="4" w:space="0" w:color="auto"/>
              <w:bottom w:val="single" w:sz="4" w:space="0" w:color="auto"/>
              <w:right w:val="single" w:sz="4" w:space="0" w:color="auto"/>
            </w:tcBorders>
            <w:shd w:val="clear" w:color="auto" w:fill="auto"/>
            <w:vAlign w:val="center"/>
            <w:hideMark/>
          </w:tcPr>
          <w:p w14:paraId="7FC732CD" w14:textId="77777777" w:rsidR="00E8617E" w:rsidRPr="00BC7D66" w:rsidRDefault="00E8617E" w:rsidP="00922731">
            <w:pPr>
              <w:spacing w:after="0"/>
              <w:rPr>
                <w:rFonts w:ascii="Arial" w:hAnsi="Arial" w:cs="Arial"/>
                <w:sz w:val="18"/>
                <w:szCs w:val="18"/>
                <w:lang w:eastAsia="bg-BG"/>
              </w:rPr>
            </w:pPr>
            <w:r w:rsidRPr="00BC7D66">
              <w:rPr>
                <w:rFonts w:ascii="Arial" w:hAnsi="Arial" w:cs="Arial"/>
                <w:sz w:val="18"/>
                <w:szCs w:val="18"/>
                <w:lang w:eastAsia="bg-BG"/>
              </w:rPr>
              <w:t>611 Доплащания към директните плащания</w:t>
            </w:r>
          </w:p>
        </w:tc>
        <w:tc>
          <w:tcPr>
            <w:tcW w:w="1985" w:type="dxa"/>
            <w:tcBorders>
              <w:top w:val="nil"/>
              <w:left w:val="nil"/>
              <w:bottom w:val="single" w:sz="4" w:space="0" w:color="auto"/>
              <w:right w:val="single" w:sz="4" w:space="0" w:color="auto"/>
            </w:tcBorders>
            <w:shd w:val="clear" w:color="auto" w:fill="auto"/>
            <w:noWrap/>
            <w:vAlign w:val="center"/>
            <w:hideMark/>
          </w:tcPr>
          <w:p w14:paraId="17F4D198"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5,10%</w:t>
            </w:r>
          </w:p>
        </w:tc>
        <w:tc>
          <w:tcPr>
            <w:tcW w:w="1984" w:type="dxa"/>
            <w:tcBorders>
              <w:top w:val="nil"/>
              <w:left w:val="nil"/>
              <w:bottom w:val="single" w:sz="4" w:space="0" w:color="auto"/>
              <w:right w:val="single" w:sz="4" w:space="0" w:color="auto"/>
            </w:tcBorders>
            <w:vAlign w:val="center"/>
          </w:tcPr>
          <w:p w14:paraId="26197615"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5,04%</w:t>
            </w:r>
          </w:p>
        </w:tc>
        <w:tc>
          <w:tcPr>
            <w:tcW w:w="1425" w:type="dxa"/>
            <w:tcBorders>
              <w:top w:val="nil"/>
              <w:left w:val="single" w:sz="4" w:space="0" w:color="auto"/>
              <w:bottom w:val="single" w:sz="4" w:space="0" w:color="auto"/>
              <w:right w:val="single" w:sz="4" w:space="0" w:color="auto"/>
            </w:tcBorders>
            <w:shd w:val="clear" w:color="auto" w:fill="auto"/>
            <w:noWrap/>
            <w:vAlign w:val="center"/>
            <w:hideMark/>
          </w:tcPr>
          <w:p w14:paraId="39D3D082"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4,97%</w:t>
            </w:r>
          </w:p>
        </w:tc>
        <w:tc>
          <w:tcPr>
            <w:tcW w:w="1411" w:type="dxa"/>
            <w:tcBorders>
              <w:top w:val="nil"/>
              <w:left w:val="nil"/>
              <w:bottom w:val="single" w:sz="4" w:space="0" w:color="auto"/>
              <w:right w:val="single" w:sz="4" w:space="0" w:color="auto"/>
            </w:tcBorders>
            <w:shd w:val="clear" w:color="auto" w:fill="auto"/>
            <w:noWrap/>
            <w:vAlign w:val="center"/>
            <w:hideMark/>
          </w:tcPr>
          <w:p w14:paraId="0DF2CCA4"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5,02%</w:t>
            </w:r>
          </w:p>
        </w:tc>
      </w:tr>
      <w:tr w:rsidR="00E8617E" w:rsidRPr="00BC7D66" w14:paraId="0F98E670" w14:textId="77777777" w:rsidTr="00520B91">
        <w:trPr>
          <w:trHeight w:val="189"/>
        </w:trPr>
        <w:tc>
          <w:tcPr>
            <w:tcW w:w="2350" w:type="dxa"/>
            <w:tcBorders>
              <w:top w:val="nil"/>
              <w:left w:val="single" w:sz="4" w:space="0" w:color="auto"/>
              <w:bottom w:val="single" w:sz="4" w:space="0" w:color="auto"/>
              <w:right w:val="single" w:sz="4" w:space="0" w:color="auto"/>
            </w:tcBorders>
          </w:tcPr>
          <w:p w14:paraId="6BAC1BDD"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c>
          <w:tcPr>
            <w:tcW w:w="6805" w:type="dxa"/>
            <w:gridSpan w:val="4"/>
            <w:tcBorders>
              <w:top w:val="nil"/>
              <w:left w:val="single" w:sz="4" w:space="0" w:color="auto"/>
              <w:bottom w:val="single" w:sz="4" w:space="0" w:color="auto"/>
              <w:right w:val="single" w:sz="4" w:space="0" w:color="auto"/>
            </w:tcBorders>
            <w:shd w:val="clear" w:color="auto" w:fill="auto"/>
            <w:vAlign w:val="center"/>
          </w:tcPr>
          <w:p w14:paraId="44B5DAD5"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5BDCDA51" w14:textId="77777777" w:rsidTr="00520B91">
        <w:trPr>
          <w:trHeight w:val="300"/>
        </w:trPr>
        <w:tc>
          <w:tcPr>
            <w:tcW w:w="235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77CD0DFB" w14:textId="77777777" w:rsidR="00E8617E" w:rsidRPr="00BC7D66" w:rsidRDefault="00E8617E" w:rsidP="00922731">
            <w:pPr>
              <w:spacing w:after="0" w:line="240" w:lineRule="auto"/>
              <w:rPr>
                <w:rFonts w:ascii="Arial" w:eastAsia="Times New Roman" w:hAnsi="Arial" w:cs="Arial"/>
                <w:b/>
                <w:bCs/>
                <w:color w:val="000000"/>
                <w:sz w:val="18"/>
                <w:szCs w:val="18"/>
                <w:lang w:eastAsia="bg-BG"/>
              </w:rPr>
            </w:pPr>
            <w:r w:rsidRPr="00BC7D66">
              <w:rPr>
                <w:rFonts w:ascii="Arial" w:eastAsia="Times New Roman" w:hAnsi="Arial" w:cs="Arial"/>
                <w:b/>
                <w:bCs/>
                <w:color w:val="000000"/>
                <w:sz w:val="18"/>
                <w:szCs w:val="18"/>
                <w:lang w:eastAsia="bg-BG"/>
              </w:rPr>
              <w:t>Общ бюджет</w:t>
            </w:r>
          </w:p>
        </w:tc>
        <w:tc>
          <w:tcPr>
            <w:tcW w:w="1985" w:type="dxa"/>
            <w:tcBorders>
              <w:top w:val="nil"/>
              <w:left w:val="nil"/>
              <w:bottom w:val="single" w:sz="4" w:space="0" w:color="auto"/>
              <w:right w:val="single" w:sz="4" w:space="0" w:color="auto"/>
            </w:tcBorders>
            <w:shd w:val="clear" w:color="auto" w:fill="D9D9D9" w:themeFill="background1" w:themeFillShade="D9"/>
            <w:noWrap/>
            <w:vAlign w:val="center"/>
            <w:hideMark/>
          </w:tcPr>
          <w:p w14:paraId="109E5856"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100,00%</w:t>
            </w:r>
          </w:p>
        </w:tc>
        <w:tc>
          <w:tcPr>
            <w:tcW w:w="1984" w:type="dxa"/>
            <w:tcBorders>
              <w:top w:val="nil"/>
              <w:left w:val="nil"/>
              <w:bottom w:val="single" w:sz="4" w:space="0" w:color="auto"/>
              <w:right w:val="single" w:sz="4" w:space="0" w:color="auto"/>
            </w:tcBorders>
            <w:shd w:val="clear" w:color="auto" w:fill="D9D9D9" w:themeFill="background1" w:themeFillShade="D9"/>
            <w:vAlign w:val="center"/>
          </w:tcPr>
          <w:p w14:paraId="25AFA25A"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100,00%</w:t>
            </w:r>
          </w:p>
        </w:tc>
        <w:tc>
          <w:tcPr>
            <w:tcW w:w="1425"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5DF418A1"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100,00%</w:t>
            </w:r>
          </w:p>
        </w:tc>
        <w:tc>
          <w:tcPr>
            <w:tcW w:w="1411" w:type="dxa"/>
            <w:tcBorders>
              <w:top w:val="nil"/>
              <w:left w:val="nil"/>
              <w:bottom w:val="single" w:sz="4" w:space="0" w:color="auto"/>
              <w:right w:val="single" w:sz="4" w:space="0" w:color="auto"/>
            </w:tcBorders>
            <w:shd w:val="clear" w:color="auto" w:fill="D9D9D9" w:themeFill="background1" w:themeFillShade="D9"/>
            <w:noWrap/>
            <w:vAlign w:val="center"/>
            <w:hideMark/>
          </w:tcPr>
          <w:p w14:paraId="7861D2B1"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100,00%</w:t>
            </w:r>
          </w:p>
        </w:tc>
      </w:tr>
    </w:tbl>
    <w:p w14:paraId="42B045BE" w14:textId="77777777" w:rsidR="00E8617E" w:rsidRPr="00BC1A5E" w:rsidRDefault="00E8617E" w:rsidP="00E8617E">
      <w:pPr>
        <w:pStyle w:val="DefaultText"/>
        <w:spacing w:line="240" w:lineRule="auto"/>
        <w:rPr>
          <w:rFonts w:cs="Arial"/>
          <w:szCs w:val="18"/>
          <w:lang w:val="bg-BG"/>
        </w:rPr>
      </w:pPr>
      <w:r w:rsidRPr="00BC1A5E">
        <w:rPr>
          <w:rFonts w:cs="Arial"/>
          <w:szCs w:val="18"/>
          <w:lang w:val="bg-BG"/>
        </w:rPr>
        <w:t>Източник: МЗХГ,</w:t>
      </w:r>
      <w:r w:rsidRPr="00BC1A5E">
        <w:rPr>
          <w:szCs w:val="18"/>
          <w:lang w:val="bg-BG"/>
        </w:rPr>
        <w:t xml:space="preserve"> ПРСР 2007-2013, </w:t>
      </w:r>
      <w:r w:rsidRPr="00BC1A5E">
        <w:rPr>
          <w:rFonts w:cs="Arial"/>
          <w:szCs w:val="18"/>
          <w:lang w:val="bg-BG"/>
        </w:rPr>
        <w:t>Шестнадесето изменение на ПРСР (2007-2013г.), собствени изчисления</w:t>
      </w:r>
    </w:p>
    <w:p w14:paraId="7F706E93" w14:textId="53BC605E" w:rsidR="00E8617E" w:rsidRDefault="00E8617E" w:rsidP="007D14C1">
      <w:pPr>
        <w:pStyle w:val="DefaultText"/>
        <w:spacing w:before="240" w:after="240" w:line="300" w:lineRule="atLeast"/>
        <w:ind w:firstLine="709"/>
        <w:rPr>
          <w:sz w:val="22"/>
          <w:szCs w:val="22"/>
          <w:lang w:val="bg-BG"/>
        </w:rPr>
      </w:pPr>
      <w:r w:rsidRPr="00BC513A">
        <w:rPr>
          <w:sz w:val="22"/>
          <w:szCs w:val="22"/>
          <w:lang w:val="bg-BG"/>
        </w:rPr>
        <w:t>Таблица 15 показва първоначалното планирано разпределение на средствата, окончателния бюджет и действителните разходи за програмата.</w:t>
      </w:r>
    </w:p>
    <w:p w14:paraId="7897018E" w14:textId="77777777" w:rsidR="007A177C" w:rsidRDefault="007A177C" w:rsidP="007D14C1">
      <w:pPr>
        <w:pStyle w:val="DefaultText"/>
        <w:spacing w:before="240" w:after="240" w:line="300" w:lineRule="atLeast"/>
        <w:ind w:firstLine="709"/>
        <w:rPr>
          <w:sz w:val="22"/>
          <w:szCs w:val="22"/>
          <w:lang w:val="bg-BG"/>
        </w:rPr>
      </w:pPr>
    </w:p>
    <w:p w14:paraId="174EF477" w14:textId="77777777" w:rsidR="00E8617E" w:rsidRPr="00BC513A" w:rsidRDefault="00E8617E" w:rsidP="00E8617E">
      <w:pPr>
        <w:pStyle w:val="Caption"/>
        <w:keepNext/>
        <w:spacing w:before="120" w:after="120"/>
        <w:rPr>
          <w:rFonts w:ascii="Arial" w:hAnsi="Arial" w:cs="Arial"/>
          <w:b/>
          <w:i w:val="0"/>
          <w:color w:val="0070C0"/>
          <w:sz w:val="20"/>
          <w:szCs w:val="20"/>
        </w:rPr>
      </w:pPr>
      <w:bookmarkStart w:id="66" w:name="_Toc504136187"/>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15</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Разпределение на  ЕЗФРСР между осите (%)</w:t>
      </w:r>
      <w:bookmarkEnd w:id="66"/>
    </w:p>
    <w:tbl>
      <w:tblPr>
        <w:tblW w:w="9012"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25"/>
        <w:gridCol w:w="1984"/>
        <w:gridCol w:w="1985"/>
        <w:gridCol w:w="1417"/>
        <w:gridCol w:w="1701"/>
      </w:tblGrid>
      <w:tr w:rsidR="007D14C1" w:rsidRPr="00BC7D66" w14:paraId="06A16C73" w14:textId="77777777" w:rsidTr="007D14C1">
        <w:trPr>
          <w:trHeight w:val="300"/>
          <w:tblHeader/>
        </w:trPr>
        <w:tc>
          <w:tcPr>
            <w:tcW w:w="1925" w:type="dxa"/>
            <w:shd w:val="clear" w:color="auto" w:fill="1F4E79" w:themeFill="accent1" w:themeFillShade="80"/>
            <w:noWrap/>
            <w:vAlign w:val="center"/>
            <w:hideMark/>
          </w:tcPr>
          <w:p w14:paraId="4B0544D5" w14:textId="3C034610" w:rsidR="007D14C1" w:rsidRPr="00BC7D66" w:rsidRDefault="007D14C1" w:rsidP="00AB2B2B">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О</w:t>
            </w:r>
            <w:r w:rsidR="00AB2B2B">
              <w:rPr>
                <w:rFonts w:ascii="Arial" w:hAnsi="Arial" w:cs="Arial"/>
                <w:b/>
                <w:color w:val="FFFFFF" w:themeColor="background1"/>
                <w:sz w:val="18"/>
                <w:szCs w:val="18"/>
                <w:lang w:eastAsia="bg-BG"/>
              </w:rPr>
              <w:t>с</w:t>
            </w:r>
          </w:p>
        </w:tc>
        <w:tc>
          <w:tcPr>
            <w:tcW w:w="1984" w:type="dxa"/>
            <w:shd w:val="clear" w:color="auto" w:fill="1F4E79" w:themeFill="accent1" w:themeFillShade="80"/>
            <w:noWrap/>
            <w:vAlign w:val="center"/>
            <w:hideMark/>
          </w:tcPr>
          <w:p w14:paraId="242E83C9" w14:textId="77777777" w:rsidR="007D14C1" w:rsidRPr="00BC7D66" w:rsidRDefault="007D14C1"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Първоначален бюджет без включване на ЕПИВ</w:t>
            </w:r>
          </w:p>
        </w:tc>
        <w:tc>
          <w:tcPr>
            <w:tcW w:w="1985" w:type="dxa"/>
            <w:shd w:val="clear" w:color="auto" w:fill="1F4E79" w:themeFill="accent1" w:themeFillShade="80"/>
          </w:tcPr>
          <w:p w14:paraId="278278C8" w14:textId="77777777" w:rsidR="007D14C1" w:rsidRPr="00BC7D66" w:rsidRDefault="007D14C1"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Първоначален бюджет  с включване на ЕПИВ</w:t>
            </w:r>
          </w:p>
        </w:tc>
        <w:tc>
          <w:tcPr>
            <w:tcW w:w="1417" w:type="dxa"/>
            <w:shd w:val="clear" w:color="auto" w:fill="1F4E79" w:themeFill="accent1" w:themeFillShade="80"/>
            <w:noWrap/>
            <w:vAlign w:val="center"/>
            <w:hideMark/>
          </w:tcPr>
          <w:p w14:paraId="5360646D" w14:textId="77777777" w:rsidR="007D14C1" w:rsidRPr="00BC7D66" w:rsidRDefault="007D14C1"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Окончателен бюджет</w:t>
            </w:r>
          </w:p>
        </w:tc>
        <w:tc>
          <w:tcPr>
            <w:tcW w:w="1701" w:type="dxa"/>
            <w:shd w:val="clear" w:color="auto" w:fill="1F4E79" w:themeFill="accent1" w:themeFillShade="80"/>
            <w:noWrap/>
            <w:vAlign w:val="center"/>
            <w:hideMark/>
          </w:tcPr>
          <w:p w14:paraId="33F98649" w14:textId="77777777" w:rsidR="007D14C1" w:rsidRPr="00BC7D66" w:rsidRDefault="007D14C1"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Действителни разходи</w:t>
            </w:r>
          </w:p>
        </w:tc>
      </w:tr>
      <w:tr w:rsidR="007D14C1" w:rsidRPr="00BC7D66" w14:paraId="5B60347E" w14:textId="77777777" w:rsidTr="007D14C1">
        <w:trPr>
          <w:trHeight w:val="157"/>
        </w:trPr>
        <w:tc>
          <w:tcPr>
            <w:tcW w:w="9012" w:type="dxa"/>
            <w:gridSpan w:val="5"/>
            <w:shd w:val="clear" w:color="auto" w:fill="auto"/>
            <w:noWrap/>
            <w:vAlign w:val="center"/>
          </w:tcPr>
          <w:p w14:paraId="79CA27A7" w14:textId="77777777" w:rsidR="007D14C1" w:rsidRPr="00BC7D66" w:rsidRDefault="007D14C1" w:rsidP="00922731">
            <w:pPr>
              <w:spacing w:after="0"/>
              <w:jc w:val="center"/>
              <w:rPr>
                <w:rFonts w:ascii="Arial" w:hAnsi="Arial" w:cs="Arial"/>
                <w:sz w:val="18"/>
                <w:szCs w:val="18"/>
                <w:lang w:eastAsia="bg-BG"/>
              </w:rPr>
            </w:pPr>
          </w:p>
        </w:tc>
      </w:tr>
      <w:tr w:rsidR="007D14C1" w:rsidRPr="00BC7D66" w14:paraId="423AE251" w14:textId="77777777" w:rsidTr="007D14C1">
        <w:trPr>
          <w:trHeight w:val="300"/>
        </w:trPr>
        <w:tc>
          <w:tcPr>
            <w:tcW w:w="1925" w:type="dxa"/>
            <w:shd w:val="clear" w:color="auto" w:fill="auto"/>
            <w:noWrap/>
            <w:vAlign w:val="center"/>
            <w:hideMark/>
          </w:tcPr>
          <w:p w14:paraId="14CAA54F"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1</w:t>
            </w:r>
          </w:p>
        </w:tc>
        <w:tc>
          <w:tcPr>
            <w:tcW w:w="1984" w:type="dxa"/>
            <w:shd w:val="clear" w:color="auto" w:fill="auto"/>
            <w:noWrap/>
            <w:vAlign w:val="center"/>
            <w:hideMark/>
          </w:tcPr>
          <w:p w14:paraId="3D3491E1"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37,07%</w:t>
            </w:r>
          </w:p>
        </w:tc>
        <w:tc>
          <w:tcPr>
            <w:tcW w:w="1985" w:type="dxa"/>
          </w:tcPr>
          <w:p w14:paraId="24CD37D6"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36,95%</w:t>
            </w:r>
          </w:p>
        </w:tc>
        <w:tc>
          <w:tcPr>
            <w:tcW w:w="1417" w:type="dxa"/>
            <w:shd w:val="clear" w:color="auto" w:fill="auto"/>
            <w:noWrap/>
            <w:vAlign w:val="center"/>
            <w:hideMark/>
          </w:tcPr>
          <w:p w14:paraId="6FE3D113"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29,78%</w:t>
            </w:r>
          </w:p>
        </w:tc>
        <w:tc>
          <w:tcPr>
            <w:tcW w:w="1701" w:type="dxa"/>
            <w:shd w:val="clear" w:color="auto" w:fill="auto"/>
            <w:noWrap/>
            <w:vAlign w:val="center"/>
            <w:hideMark/>
          </w:tcPr>
          <w:p w14:paraId="11D8B8EC"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29,90%</w:t>
            </w:r>
          </w:p>
        </w:tc>
      </w:tr>
      <w:tr w:rsidR="007D14C1" w:rsidRPr="00BC7D66" w14:paraId="76A8A04E" w14:textId="77777777" w:rsidTr="007D14C1">
        <w:trPr>
          <w:trHeight w:val="300"/>
        </w:trPr>
        <w:tc>
          <w:tcPr>
            <w:tcW w:w="1925" w:type="dxa"/>
            <w:shd w:val="clear" w:color="auto" w:fill="auto"/>
            <w:noWrap/>
            <w:vAlign w:val="center"/>
            <w:hideMark/>
          </w:tcPr>
          <w:p w14:paraId="68091A2F"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2</w:t>
            </w:r>
          </w:p>
        </w:tc>
        <w:tc>
          <w:tcPr>
            <w:tcW w:w="1984" w:type="dxa"/>
            <w:shd w:val="clear" w:color="auto" w:fill="auto"/>
            <w:noWrap/>
            <w:vAlign w:val="center"/>
            <w:hideMark/>
          </w:tcPr>
          <w:p w14:paraId="403E7855"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24,84%</w:t>
            </w:r>
          </w:p>
        </w:tc>
        <w:tc>
          <w:tcPr>
            <w:tcW w:w="1985" w:type="dxa"/>
          </w:tcPr>
          <w:p w14:paraId="379B2700"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24,59%</w:t>
            </w:r>
          </w:p>
        </w:tc>
        <w:tc>
          <w:tcPr>
            <w:tcW w:w="1417" w:type="dxa"/>
            <w:shd w:val="clear" w:color="auto" w:fill="auto"/>
            <w:noWrap/>
            <w:vAlign w:val="center"/>
            <w:hideMark/>
          </w:tcPr>
          <w:p w14:paraId="563407D6"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24,63%</w:t>
            </w:r>
          </w:p>
        </w:tc>
        <w:tc>
          <w:tcPr>
            <w:tcW w:w="1701" w:type="dxa"/>
            <w:shd w:val="clear" w:color="auto" w:fill="auto"/>
            <w:noWrap/>
            <w:vAlign w:val="center"/>
            <w:hideMark/>
          </w:tcPr>
          <w:p w14:paraId="251D789B"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24,82%</w:t>
            </w:r>
          </w:p>
        </w:tc>
      </w:tr>
      <w:tr w:rsidR="007D14C1" w:rsidRPr="00BC7D66" w14:paraId="0F1A1F8E" w14:textId="77777777" w:rsidTr="007D14C1">
        <w:trPr>
          <w:trHeight w:val="300"/>
        </w:trPr>
        <w:tc>
          <w:tcPr>
            <w:tcW w:w="1925" w:type="dxa"/>
            <w:shd w:val="clear" w:color="auto" w:fill="auto"/>
            <w:noWrap/>
            <w:vAlign w:val="center"/>
            <w:hideMark/>
          </w:tcPr>
          <w:p w14:paraId="3E1AD3E9"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lastRenderedPageBreak/>
              <w:t>3</w:t>
            </w:r>
          </w:p>
        </w:tc>
        <w:tc>
          <w:tcPr>
            <w:tcW w:w="1984" w:type="dxa"/>
            <w:shd w:val="clear" w:color="auto" w:fill="auto"/>
            <w:noWrap/>
            <w:vAlign w:val="center"/>
            <w:hideMark/>
          </w:tcPr>
          <w:p w14:paraId="264069FD"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25,87%</w:t>
            </w:r>
            <w:r w:rsidRPr="00BC7D66" w:rsidDel="007720D6">
              <w:rPr>
                <w:rFonts w:ascii="Arial" w:hAnsi="Arial" w:cs="Arial"/>
                <w:sz w:val="18"/>
                <w:szCs w:val="18"/>
                <w:lang w:eastAsia="bg-BG"/>
              </w:rPr>
              <w:t xml:space="preserve"> </w:t>
            </w:r>
            <w:r w:rsidRPr="00BC7D66">
              <w:rPr>
                <w:rFonts w:ascii="Arial" w:hAnsi="Arial" w:cs="Arial"/>
                <w:sz w:val="18"/>
                <w:szCs w:val="18"/>
                <w:lang w:eastAsia="bg-BG"/>
              </w:rPr>
              <w:t>%</w:t>
            </w:r>
          </w:p>
        </w:tc>
        <w:tc>
          <w:tcPr>
            <w:tcW w:w="1985" w:type="dxa"/>
          </w:tcPr>
          <w:p w14:paraId="102EC84F"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26,36%</w:t>
            </w:r>
          </w:p>
        </w:tc>
        <w:tc>
          <w:tcPr>
            <w:tcW w:w="1417" w:type="dxa"/>
            <w:shd w:val="clear" w:color="auto" w:fill="auto"/>
            <w:noWrap/>
            <w:vAlign w:val="center"/>
            <w:hideMark/>
          </w:tcPr>
          <w:p w14:paraId="6DC7376B"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37,70%</w:t>
            </w:r>
          </w:p>
        </w:tc>
        <w:tc>
          <w:tcPr>
            <w:tcW w:w="1701" w:type="dxa"/>
            <w:shd w:val="clear" w:color="auto" w:fill="auto"/>
            <w:noWrap/>
            <w:vAlign w:val="center"/>
            <w:hideMark/>
          </w:tcPr>
          <w:p w14:paraId="0EA5F0F8"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37,35%</w:t>
            </w:r>
          </w:p>
        </w:tc>
      </w:tr>
      <w:tr w:rsidR="007D14C1" w:rsidRPr="00BC7D66" w14:paraId="1BFF70C7" w14:textId="77777777" w:rsidTr="007D14C1">
        <w:trPr>
          <w:trHeight w:val="300"/>
        </w:trPr>
        <w:tc>
          <w:tcPr>
            <w:tcW w:w="1925" w:type="dxa"/>
            <w:shd w:val="clear" w:color="auto" w:fill="auto"/>
            <w:noWrap/>
            <w:vAlign w:val="center"/>
            <w:hideMark/>
          </w:tcPr>
          <w:p w14:paraId="78394CAB"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4</w:t>
            </w:r>
          </w:p>
        </w:tc>
        <w:tc>
          <w:tcPr>
            <w:tcW w:w="1984" w:type="dxa"/>
            <w:shd w:val="clear" w:color="auto" w:fill="auto"/>
            <w:noWrap/>
            <w:vAlign w:val="center"/>
            <w:hideMark/>
          </w:tcPr>
          <w:p w14:paraId="493F4444"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3,81%</w:t>
            </w:r>
          </w:p>
        </w:tc>
        <w:tc>
          <w:tcPr>
            <w:tcW w:w="1985" w:type="dxa"/>
          </w:tcPr>
          <w:p w14:paraId="1B2AC031"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3,77%</w:t>
            </w:r>
          </w:p>
        </w:tc>
        <w:tc>
          <w:tcPr>
            <w:tcW w:w="1417" w:type="dxa"/>
            <w:shd w:val="clear" w:color="auto" w:fill="auto"/>
            <w:noWrap/>
            <w:vAlign w:val="center"/>
            <w:hideMark/>
          </w:tcPr>
          <w:p w14:paraId="521BE952"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1,71%</w:t>
            </w:r>
          </w:p>
        </w:tc>
        <w:tc>
          <w:tcPr>
            <w:tcW w:w="1701" w:type="dxa"/>
            <w:shd w:val="clear" w:color="auto" w:fill="auto"/>
            <w:noWrap/>
            <w:vAlign w:val="center"/>
            <w:hideMark/>
          </w:tcPr>
          <w:p w14:paraId="13D2E09C"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1,71%</w:t>
            </w:r>
          </w:p>
        </w:tc>
      </w:tr>
      <w:tr w:rsidR="007D14C1" w:rsidRPr="00BC7D66" w14:paraId="6E202FA1" w14:textId="77777777" w:rsidTr="007D14C1">
        <w:trPr>
          <w:trHeight w:val="175"/>
        </w:trPr>
        <w:tc>
          <w:tcPr>
            <w:tcW w:w="9012" w:type="dxa"/>
            <w:gridSpan w:val="5"/>
            <w:shd w:val="clear" w:color="auto" w:fill="auto"/>
            <w:noWrap/>
            <w:vAlign w:val="center"/>
          </w:tcPr>
          <w:p w14:paraId="31964D4C" w14:textId="77777777" w:rsidR="007D14C1" w:rsidRPr="00BC7D66" w:rsidRDefault="007D14C1" w:rsidP="00922731">
            <w:pPr>
              <w:spacing w:after="0" w:line="240" w:lineRule="auto"/>
              <w:jc w:val="center"/>
              <w:rPr>
                <w:rFonts w:ascii="Arial" w:eastAsia="Times New Roman" w:hAnsi="Arial" w:cs="Arial"/>
                <w:b/>
                <w:color w:val="000000"/>
                <w:sz w:val="18"/>
                <w:szCs w:val="18"/>
                <w:lang w:eastAsia="bg-BG"/>
              </w:rPr>
            </w:pPr>
          </w:p>
        </w:tc>
      </w:tr>
      <w:tr w:rsidR="007D14C1" w:rsidRPr="00BC7D66" w14:paraId="4D3552CA" w14:textId="77777777" w:rsidTr="007D14C1">
        <w:trPr>
          <w:trHeight w:val="300"/>
        </w:trPr>
        <w:tc>
          <w:tcPr>
            <w:tcW w:w="1925" w:type="dxa"/>
            <w:shd w:val="clear" w:color="auto" w:fill="DEEAF6" w:themeFill="accent1" w:themeFillTint="33"/>
            <w:noWrap/>
            <w:vAlign w:val="center"/>
            <w:hideMark/>
          </w:tcPr>
          <w:p w14:paraId="63D01737" w14:textId="7718A806" w:rsidR="007D14C1" w:rsidRPr="00BC7D66" w:rsidRDefault="007D14C1" w:rsidP="00AB2B2B">
            <w:pPr>
              <w:spacing w:after="0" w:line="240" w:lineRule="auto"/>
              <w:rPr>
                <w:rFonts w:ascii="Arial" w:eastAsia="Times New Roman" w:hAnsi="Arial" w:cs="Arial"/>
                <w:b/>
                <w:bCs/>
                <w:color w:val="000000"/>
                <w:sz w:val="18"/>
                <w:szCs w:val="18"/>
                <w:lang w:eastAsia="bg-BG"/>
              </w:rPr>
            </w:pPr>
            <w:r w:rsidRPr="00BC7D66">
              <w:rPr>
                <w:rFonts w:ascii="Arial" w:eastAsia="Times New Roman" w:hAnsi="Arial" w:cs="Arial"/>
                <w:b/>
                <w:bCs/>
                <w:color w:val="000000"/>
                <w:sz w:val="18"/>
                <w:szCs w:val="18"/>
                <w:lang w:eastAsia="bg-BG"/>
              </w:rPr>
              <w:t>ОБЩО О</w:t>
            </w:r>
            <w:r w:rsidR="00AB2B2B">
              <w:rPr>
                <w:rFonts w:ascii="Arial" w:eastAsia="Times New Roman" w:hAnsi="Arial" w:cs="Arial"/>
                <w:b/>
                <w:bCs/>
                <w:color w:val="000000"/>
                <w:sz w:val="18"/>
                <w:szCs w:val="18"/>
                <w:lang w:eastAsia="bg-BG"/>
              </w:rPr>
              <w:t>с</w:t>
            </w:r>
            <w:r w:rsidRPr="00BC7D66">
              <w:rPr>
                <w:rFonts w:ascii="Arial" w:eastAsia="Times New Roman" w:hAnsi="Arial" w:cs="Arial"/>
                <w:b/>
                <w:bCs/>
                <w:color w:val="000000"/>
                <w:sz w:val="18"/>
                <w:szCs w:val="18"/>
                <w:lang w:eastAsia="bg-BG"/>
              </w:rPr>
              <w:t xml:space="preserve"> 1,2,3 и 4</w:t>
            </w:r>
          </w:p>
        </w:tc>
        <w:tc>
          <w:tcPr>
            <w:tcW w:w="1984" w:type="dxa"/>
            <w:shd w:val="clear" w:color="auto" w:fill="DEEAF6" w:themeFill="accent1" w:themeFillTint="33"/>
            <w:noWrap/>
            <w:vAlign w:val="center"/>
            <w:hideMark/>
          </w:tcPr>
          <w:p w14:paraId="41179031" w14:textId="77777777" w:rsidR="007D14C1" w:rsidRPr="00BC7D66" w:rsidRDefault="007D14C1"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91,60%</w:t>
            </w:r>
          </w:p>
        </w:tc>
        <w:tc>
          <w:tcPr>
            <w:tcW w:w="1985" w:type="dxa"/>
            <w:shd w:val="clear" w:color="auto" w:fill="DEEAF6" w:themeFill="accent1" w:themeFillTint="33"/>
            <w:vAlign w:val="center"/>
          </w:tcPr>
          <w:p w14:paraId="40038144" w14:textId="77777777" w:rsidR="007D14C1" w:rsidRPr="00BC7D66" w:rsidRDefault="007D14C1" w:rsidP="00BC7D66">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91,68%</w:t>
            </w:r>
          </w:p>
        </w:tc>
        <w:tc>
          <w:tcPr>
            <w:tcW w:w="1417" w:type="dxa"/>
            <w:shd w:val="clear" w:color="auto" w:fill="DEEAF6" w:themeFill="accent1" w:themeFillTint="33"/>
            <w:noWrap/>
            <w:vAlign w:val="center"/>
            <w:hideMark/>
          </w:tcPr>
          <w:p w14:paraId="6182E2E5" w14:textId="77777777" w:rsidR="007D14C1" w:rsidRPr="00BC7D66" w:rsidRDefault="007D14C1"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93,81%</w:t>
            </w:r>
          </w:p>
        </w:tc>
        <w:tc>
          <w:tcPr>
            <w:tcW w:w="1701" w:type="dxa"/>
            <w:shd w:val="clear" w:color="auto" w:fill="DEEAF6" w:themeFill="accent1" w:themeFillTint="33"/>
            <w:noWrap/>
            <w:vAlign w:val="center"/>
            <w:hideMark/>
          </w:tcPr>
          <w:p w14:paraId="7547592F" w14:textId="77777777" w:rsidR="007D14C1" w:rsidRPr="00BC7D66" w:rsidRDefault="007D14C1"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93,78%</w:t>
            </w:r>
          </w:p>
        </w:tc>
      </w:tr>
      <w:tr w:rsidR="007D14C1" w:rsidRPr="00BC7D66" w14:paraId="0B4AFB2D" w14:textId="77777777" w:rsidTr="007D14C1">
        <w:trPr>
          <w:trHeight w:val="211"/>
        </w:trPr>
        <w:tc>
          <w:tcPr>
            <w:tcW w:w="9012" w:type="dxa"/>
            <w:gridSpan w:val="5"/>
            <w:shd w:val="clear" w:color="auto" w:fill="auto"/>
            <w:vAlign w:val="center"/>
          </w:tcPr>
          <w:p w14:paraId="11B5ECD2" w14:textId="77777777" w:rsidR="007D14C1" w:rsidRPr="00BC7D66" w:rsidRDefault="007D14C1" w:rsidP="00922731">
            <w:pPr>
              <w:spacing w:after="0"/>
              <w:jc w:val="center"/>
              <w:rPr>
                <w:rFonts w:ascii="Arial" w:hAnsi="Arial" w:cs="Arial"/>
                <w:sz w:val="18"/>
                <w:szCs w:val="18"/>
                <w:lang w:eastAsia="bg-BG"/>
              </w:rPr>
            </w:pPr>
          </w:p>
        </w:tc>
      </w:tr>
      <w:tr w:rsidR="007D14C1" w:rsidRPr="00BC7D66" w14:paraId="41455277" w14:textId="77777777" w:rsidTr="007D14C1">
        <w:trPr>
          <w:trHeight w:val="300"/>
        </w:trPr>
        <w:tc>
          <w:tcPr>
            <w:tcW w:w="1925" w:type="dxa"/>
            <w:shd w:val="clear" w:color="auto" w:fill="auto"/>
            <w:vAlign w:val="center"/>
            <w:hideMark/>
          </w:tcPr>
          <w:p w14:paraId="56929A61" w14:textId="77777777" w:rsidR="007D14C1" w:rsidRPr="00BC7D66" w:rsidRDefault="007D14C1" w:rsidP="00922731">
            <w:pPr>
              <w:spacing w:after="0"/>
              <w:rPr>
                <w:rFonts w:ascii="Arial" w:hAnsi="Arial" w:cs="Arial"/>
                <w:sz w:val="18"/>
                <w:szCs w:val="18"/>
                <w:lang w:eastAsia="bg-BG"/>
              </w:rPr>
            </w:pPr>
            <w:r w:rsidRPr="00BC7D66">
              <w:rPr>
                <w:rFonts w:ascii="Arial" w:hAnsi="Arial" w:cs="Arial"/>
                <w:sz w:val="18"/>
                <w:szCs w:val="18"/>
                <w:lang w:eastAsia="bg-BG"/>
              </w:rPr>
              <w:t>511 Техническа помощ</w:t>
            </w:r>
          </w:p>
        </w:tc>
        <w:tc>
          <w:tcPr>
            <w:tcW w:w="1984" w:type="dxa"/>
            <w:shd w:val="clear" w:color="auto" w:fill="auto"/>
            <w:noWrap/>
            <w:vAlign w:val="center"/>
            <w:hideMark/>
          </w:tcPr>
          <w:p w14:paraId="51395B72"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3,39%</w:t>
            </w:r>
          </w:p>
        </w:tc>
        <w:tc>
          <w:tcPr>
            <w:tcW w:w="1985" w:type="dxa"/>
          </w:tcPr>
          <w:p w14:paraId="207606F2"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3,36%</w:t>
            </w:r>
          </w:p>
        </w:tc>
        <w:tc>
          <w:tcPr>
            <w:tcW w:w="1417" w:type="dxa"/>
            <w:shd w:val="clear" w:color="auto" w:fill="auto"/>
            <w:noWrap/>
            <w:vAlign w:val="center"/>
            <w:hideMark/>
          </w:tcPr>
          <w:p w14:paraId="6AF54648"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1,25%</w:t>
            </w:r>
          </w:p>
        </w:tc>
        <w:tc>
          <w:tcPr>
            <w:tcW w:w="1701" w:type="dxa"/>
            <w:shd w:val="clear" w:color="auto" w:fill="auto"/>
            <w:noWrap/>
            <w:vAlign w:val="center"/>
            <w:hideMark/>
          </w:tcPr>
          <w:p w14:paraId="5E962639"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1,23%</w:t>
            </w:r>
          </w:p>
        </w:tc>
      </w:tr>
      <w:tr w:rsidR="007D14C1" w:rsidRPr="00BC7D66" w14:paraId="67EA79B7" w14:textId="77777777" w:rsidTr="007D14C1">
        <w:trPr>
          <w:trHeight w:val="510"/>
        </w:trPr>
        <w:tc>
          <w:tcPr>
            <w:tcW w:w="1925" w:type="dxa"/>
            <w:shd w:val="clear" w:color="auto" w:fill="auto"/>
            <w:vAlign w:val="center"/>
            <w:hideMark/>
          </w:tcPr>
          <w:p w14:paraId="1B797F71" w14:textId="77777777" w:rsidR="007D14C1" w:rsidRPr="00BC7D66" w:rsidRDefault="007D14C1" w:rsidP="00922731">
            <w:pPr>
              <w:spacing w:after="0"/>
              <w:rPr>
                <w:rFonts w:ascii="Arial" w:hAnsi="Arial" w:cs="Arial"/>
                <w:sz w:val="18"/>
                <w:szCs w:val="18"/>
                <w:lang w:eastAsia="bg-BG"/>
              </w:rPr>
            </w:pPr>
            <w:r w:rsidRPr="00BC7D66">
              <w:rPr>
                <w:rFonts w:ascii="Arial" w:hAnsi="Arial" w:cs="Arial"/>
                <w:sz w:val="18"/>
                <w:szCs w:val="18"/>
                <w:lang w:eastAsia="bg-BG"/>
              </w:rPr>
              <w:t>611 Доплащания към директните плащания</w:t>
            </w:r>
          </w:p>
        </w:tc>
        <w:tc>
          <w:tcPr>
            <w:tcW w:w="1984" w:type="dxa"/>
            <w:shd w:val="clear" w:color="auto" w:fill="auto"/>
            <w:noWrap/>
            <w:vAlign w:val="center"/>
            <w:hideMark/>
          </w:tcPr>
          <w:p w14:paraId="1F1ACE38"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5,01%</w:t>
            </w:r>
          </w:p>
        </w:tc>
        <w:tc>
          <w:tcPr>
            <w:tcW w:w="1985" w:type="dxa"/>
          </w:tcPr>
          <w:p w14:paraId="62660EB6"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4,96%</w:t>
            </w:r>
          </w:p>
        </w:tc>
        <w:tc>
          <w:tcPr>
            <w:tcW w:w="1417" w:type="dxa"/>
            <w:shd w:val="clear" w:color="auto" w:fill="auto"/>
            <w:noWrap/>
            <w:vAlign w:val="center"/>
            <w:hideMark/>
          </w:tcPr>
          <w:p w14:paraId="004F4A31"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4,93%</w:t>
            </w:r>
          </w:p>
        </w:tc>
        <w:tc>
          <w:tcPr>
            <w:tcW w:w="1701" w:type="dxa"/>
            <w:shd w:val="clear" w:color="auto" w:fill="auto"/>
            <w:noWrap/>
            <w:vAlign w:val="center"/>
            <w:hideMark/>
          </w:tcPr>
          <w:p w14:paraId="7CDDE6C1" w14:textId="77777777" w:rsidR="007D14C1" w:rsidRPr="00BC7D66" w:rsidRDefault="007D14C1" w:rsidP="00922731">
            <w:pPr>
              <w:spacing w:after="0"/>
              <w:jc w:val="center"/>
              <w:rPr>
                <w:rFonts w:ascii="Arial" w:hAnsi="Arial" w:cs="Arial"/>
                <w:sz w:val="18"/>
                <w:szCs w:val="18"/>
                <w:lang w:eastAsia="bg-BG"/>
              </w:rPr>
            </w:pPr>
            <w:r w:rsidRPr="00BC7D66">
              <w:rPr>
                <w:rFonts w:ascii="Arial" w:hAnsi="Arial" w:cs="Arial"/>
                <w:sz w:val="18"/>
                <w:szCs w:val="18"/>
                <w:lang w:eastAsia="bg-BG"/>
              </w:rPr>
              <w:t>4,98%</w:t>
            </w:r>
          </w:p>
        </w:tc>
      </w:tr>
      <w:tr w:rsidR="007D14C1" w:rsidRPr="00BC7D66" w14:paraId="17E8A3C2" w14:textId="77777777" w:rsidTr="007D14C1">
        <w:trPr>
          <w:trHeight w:val="300"/>
        </w:trPr>
        <w:tc>
          <w:tcPr>
            <w:tcW w:w="1925" w:type="dxa"/>
            <w:shd w:val="clear" w:color="auto" w:fill="D9D9D9" w:themeFill="background1" w:themeFillShade="D9"/>
            <w:noWrap/>
            <w:vAlign w:val="center"/>
            <w:hideMark/>
          </w:tcPr>
          <w:p w14:paraId="294C5698" w14:textId="77777777" w:rsidR="007D14C1" w:rsidRPr="00BC7D66" w:rsidRDefault="007D14C1" w:rsidP="00922731">
            <w:pPr>
              <w:spacing w:after="0" w:line="240" w:lineRule="auto"/>
              <w:rPr>
                <w:rFonts w:ascii="Arial" w:eastAsia="Times New Roman" w:hAnsi="Arial" w:cs="Arial"/>
                <w:b/>
                <w:bCs/>
                <w:sz w:val="18"/>
                <w:szCs w:val="18"/>
                <w:lang w:eastAsia="bg-BG"/>
              </w:rPr>
            </w:pPr>
            <w:r w:rsidRPr="00BC7D66">
              <w:rPr>
                <w:rFonts w:ascii="Arial" w:eastAsia="Times New Roman" w:hAnsi="Arial" w:cs="Arial"/>
                <w:b/>
                <w:bCs/>
                <w:sz w:val="18"/>
                <w:szCs w:val="18"/>
                <w:lang w:eastAsia="bg-BG"/>
              </w:rPr>
              <w:t>Общ бюджет</w:t>
            </w:r>
          </w:p>
        </w:tc>
        <w:tc>
          <w:tcPr>
            <w:tcW w:w="1984" w:type="dxa"/>
            <w:shd w:val="clear" w:color="auto" w:fill="D9D9D9" w:themeFill="background1" w:themeFillShade="D9"/>
            <w:noWrap/>
            <w:vAlign w:val="center"/>
            <w:hideMark/>
          </w:tcPr>
          <w:p w14:paraId="70A2DB62" w14:textId="77777777" w:rsidR="007D14C1" w:rsidRPr="00BC7D66" w:rsidRDefault="007D14C1"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100,00%</w:t>
            </w:r>
          </w:p>
        </w:tc>
        <w:tc>
          <w:tcPr>
            <w:tcW w:w="1985" w:type="dxa"/>
            <w:shd w:val="clear" w:color="auto" w:fill="D9D9D9" w:themeFill="background1" w:themeFillShade="D9"/>
          </w:tcPr>
          <w:p w14:paraId="32C73A76" w14:textId="77777777" w:rsidR="007D14C1" w:rsidRPr="00BC7D66" w:rsidRDefault="007D14C1"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100,00%</w:t>
            </w:r>
          </w:p>
        </w:tc>
        <w:tc>
          <w:tcPr>
            <w:tcW w:w="1417" w:type="dxa"/>
            <w:shd w:val="clear" w:color="auto" w:fill="D9D9D9" w:themeFill="background1" w:themeFillShade="D9"/>
            <w:noWrap/>
            <w:vAlign w:val="center"/>
            <w:hideMark/>
          </w:tcPr>
          <w:p w14:paraId="201A7E16" w14:textId="77777777" w:rsidR="007D14C1" w:rsidRPr="00BC7D66" w:rsidRDefault="007D14C1"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100,00%</w:t>
            </w:r>
          </w:p>
        </w:tc>
        <w:tc>
          <w:tcPr>
            <w:tcW w:w="1701" w:type="dxa"/>
            <w:shd w:val="clear" w:color="auto" w:fill="D9D9D9" w:themeFill="background1" w:themeFillShade="D9"/>
            <w:noWrap/>
            <w:vAlign w:val="center"/>
            <w:hideMark/>
          </w:tcPr>
          <w:p w14:paraId="3363D4D4" w14:textId="77777777" w:rsidR="007D14C1" w:rsidRPr="00BC7D66" w:rsidRDefault="007D14C1"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100,00%</w:t>
            </w:r>
          </w:p>
        </w:tc>
      </w:tr>
    </w:tbl>
    <w:p w14:paraId="52DEFBAD" w14:textId="77777777" w:rsidR="00E8617E" w:rsidRPr="00BC1A5E" w:rsidRDefault="00E8617E" w:rsidP="00E8617E">
      <w:pPr>
        <w:pStyle w:val="DefaultText"/>
        <w:spacing w:line="240" w:lineRule="auto"/>
        <w:rPr>
          <w:rFonts w:cs="Arial"/>
          <w:szCs w:val="18"/>
          <w:lang w:val="bg-BG"/>
        </w:rPr>
      </w:pPr>
      <w:r w:rsidRPr="00BC1A5E">
        <w:rPr>
          <w:rFonts w:cs="Arial"/>
          <w:szCs w:val="18"/>
          <w:lang w:val="bg-BG"/>
        </w:rPr>
        <w:t>Източник: МЗХГ,</w:t>
      </w:r>
      <w:r w:rsidRPr="00BC1A5E">
        <w:rPr>
          <w:szCs w:val="18"/>
          <w:lang w:val="bg-BG"/>
        </w:rPr>
        <w:t xml:space="preserve"> ПРСР 2007-2013, </w:t>
      </w:r>
      <w:r w:rsidRPr="00BC1A5E">
        <w:rPr>
          <w:rFonts w:cs="Arial"/>
          <w:szCs w:val="18"/>
          <w:lang w:val="bg-BG"/>
        </w:rPr>
        <w:t>Шестнадесето изменение на ПРСР (2007-2013г.), собствени изчисления</w:t>
      </w:r>
    </w:p>
    <w:p w14:paraId="4F6A1083" w14:textId="77777777" w:rsidR="00E8617E" w:rsidRPr="003A0F89" w:rsidRDefault="00E8617E" w:rsidP="00E8617E">
      <w:pPr>
        <w:pStyle w:val="DefaultText"/>
        <w:spacing w:line="240" w:lineRule="auto"/>
        <w:rPr>
          <w:rFonts w:cs="Arial"/>
          <w:sz w:val="12"/>
          <w:lang w:val="bg-BG"/>
        </w:rPr>
      </w:pPr>
    </w:p>
    <w:p w14:paraId="33084450"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Окончателният бюджет и действителните разхо</w:t>
      </w:r>
      <w:r w:rsidR="007D14C1">
        <w:rPr>
          <w:sz w:val="22"/>
          <w:szCs w:val="22"/>
          <w:lang w:val="bg-BG"/>
        </w:rPr>
        <w:t>ди за ос 2 остават доста сходни</w:t>
      </w:r>
      <w:r w:rsidRPr="00BC513A">
        <w:rPr>
          <w:sz w:val="22"/>
          <w:szCs w:val="22"/>
          <w:lang w:val="bg-BG"/>
        </w:rPr>
        <w:t>. Заложените разходи по ос 4 също са намалени, достигайки 1,71% от общия размер на съфинансиране по ЕЗФРСР. Значително нарастват единствено разходите по ос 3, главно за сметка на разходи по останалите оси и техническата помощ.</w:t>
      </w:r>
    </w:p>
    <w:p w14:paraId="5F3178EB"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Таблица 16 показва промените в процент</w:t>
      </w:r>
      <w:r w:rsidR="0018283D">
        <w:rPr>
          <w:sz w:val="22"/>
          <w:szCs w:val="22"/>
          <w:lang w:val="bg-BG"/>
        </w:rPr>
        <w:t>и</w:t>
      </w:r>
      <w:r w:rsidRPr="00BC513A">
        <w:rPr>
          <w:sz w:val="22"/>
          <w:szCs w:val="22"/>
          <w:lang w:val="bg-BG"/>
        </w:rPr>
        <w:t xml:space="preserve"> на националните средства от първоначалния бюджет до окончателния бюджет и реалните разходи. Промените между бюджетите и реалните разходи са сходни с промените при съфинансирането от</w:t>
      </w:r>
      <w:r w:rsidRPr="00BC513A">
        <w:rPr>
          <w:lang w:val="bg-BG"/>
        </w:rPr>
        <w:t xml:space="preserve"> </w:t>
      </w:r>
      <w:r w:rsidRPr="00BC513A">
        <w:rPr>
          <w:sz w:val="22"/>
          <w:szCs w:val="22"/>
          <w:lang w:val="bg-BG"/>
        </w:rPr>
        <w:t>ЕЗФРСР.</w:t>
      </w:r>
    </w:p>
    <w:p w14:paraId="07F8B0A2"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Действителните разходи за ос 3 са значително по-високи (38,27%) от първоначално предвидените в бюджета (26,36% с включен ЕПИВ). Незначително е нарастването на действителните разходи по ос 2 в сравнение с първоначалния бюджет. Реалните разходи за ос 1 намаляват със 6,86% в сравнение с първоначалния бюджет (36,95% с включен ЕПИВ). Действителните разходи също са по-ниски за ос 4.</w:t>
      </w:r>
    </w:p>
    <w:p w14:paraId="6A9CE17C" w14:textId="77777777" w:rsidR="00E8617E" w:rsidRDefault="00E8617E" w:rsidP="00E8617E">
      <w:pPr>
        <w:pStyle w:val="DefaultText"/>
        <w:spacing w:after="120" w:line="300" w:lineRule="atLeast"/>
        <w:ind w:firstLine="709"/>
        <w:rPr>
          <w:sz w:val="22"/>
          <w:szCs w:val="22"/>
          <w:lang w:val="bg-BG"/>
        </w:rPr>
      </w:pPr>
      <w:r w:rsidRPr="00BC513A">
        <w:rPr>
          <w:sz w:val="22"/>
          <w:szCs w:val="22"/>
          <w:lang w:val="bg-BG"/>
        </w:rPr>
        <w:t>Намаляването на разходи по оси 1, 2 и 4 се дължи на прехвърлянето на средства към ос 3 в полза на инициативи по мерки 321 „Основни услуги за икономиката и населението в селските райони“ и 322 „Обновяване и развитие на населените места“.</w:t>
      </w:r>
    </w:p>
    <w:p w14:paraId="1F833973" w14:textId="77777777" w:rsidR="00E8617E" w:rsidRPr="00BC513A" w:rsidRDefault="00E8617E" w:rsidP="00E8617E">
      <w:pPr>
        <w:pStyle w:val="Caption"/>
        <w:keepNext/>
        <w:spacing w:before="240" w:after="120"/>
        <w:rPr>
          <w:rFonts w:ascii="Arial" w:hAnsi="Arial" w:cs="Arial"/>
          <w:b/>
          <w:i w:val="0"/>
          <w:color w:val="0070C0"/>
          <w:sz w:val="20"/>
          <w:szCs w:val="20"/>
        </w:rPr>
      </w:pPr>
      <w:bookmarkStart w:id="67" w:name="_Toc499809598"/>
      <w:bookmarkStart w:id="68" w:name="_Toc504136188"/>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16</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Разпределение на националните средства между осите (%)</w:t>
      </w:r>
      <w:bookmarkEnd w:id="67"/>
      <w:bookmarkEnd w:id="68"/>
    </w:p>
    <w:tbl>
      <w:tblPr>
        <w:tblW w:w="9028" w:type="dxa"/>
        <w:tblInd w:w="55" w:type="dxa"/>
        <w:tblCellMar>
          <w:left w:w="70" w:type="dxa"/>
          <w:right w:w="70" w:type="dxa"/>
        </w:tblCellMar>
        <w:tblLook w:val="04A0" w:firstRow="1" w:lastRow="0" w:firstColumn="1" w:lastColumn="0" w:noHBand="0" w:noVBand="1"/>
      </w:tblPr>
      <w:tblGrid>
        <w:gridCol w:w="2208"/>
        <w:gridCol w:w="2127"/>
        <w:gridCol w:w="1955"/>
        <w:gridCol w:w="1305"/>
        <w:gridCol w:w="1433"/>
      </w:tblGrid>
      <w:tr w:rsidR="00E8617E" w:rsidRPr="00BC7D66" w14:paraId="09E59D60" w14:textId="77777777" w:rsidTr="00520B91">
        <w:trPr>
          <w:trHeight w:val="300"/>
          <w:tblHeader/>
        </w:trPr>
        <w:tc>
          <w:tcPr>
            <w:tcW w:w="2208"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083FBDBC" w14:textId="0F25A68A" w:rsidR="00E8617E" w:rsidRPr="00BC7D66" w:rsidRDefault="00E8617E" w:rsidP="00AB2B2B">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О</w:t>
            </w:r>
            <w:r w:rsidR="00AB2B2B">
              <w:rPr>
                <w:rFonts w:ascii="Arial" w:hAnsi="Arial" w:cs="Arial"/>
                <w:b/>
                <w:color w:val="FFFFFF" w:themeColor="background1"/>
                <w:sz w:val="18"/>
                <w:szCs w:val="18"/>
                <w:lang w:eastAsia="bg-BG"/>
              </w:rPr>
              <w:t>с</w:t>
            </w:r>
          </w:p>
        </w:tc>
        <w:tc>
          <w:tcPr>
            <w:tcW w:w="2127" w:type="dxa"/>
            <w:tcBorders>
              <w:top w:val="single" w:sz="4" w:space="0" w:color="auto"/>
              <w:left w:val="nil"/>
              <w:bottom w:val="single" w:sz="4" w:space="0" w:color="auto"/>
              <w:right w:val="single" w:sz="4" w:space="0" w:color="auto"/>
            </w:tcBorders>
            <w:shd w:val="clear" w:color="auto" w:fill="1F4E79" w:themeFill="accent1" w:themeFillShade="80"/>
            <w:noWrap/>
            <w:vAlign w:val="center"/>
            <w:hideMark/>
          </w:tcPr>
          <w:p w14:paraId="105E7751"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Първоначален бюджет без включване на ЕПИВ</w:t>
            </w:r>
          </w:p>
        </w:tc>
        <w:tc>
          <w:tcPr>
            <w:tcW w:w="1955" w:type="dxa"/>
            <w:tcBorders>
              <w:top w:val="single" w:sz="4" w:space="0" w:color="auto"/>
              <w:left w:val="nil"/>
              <w:bottom w:val="single" w:sz="4" w:space="0" w:color="auto"/>
              <w:right w:val="single" w:sz="4" w:space="0" w:color="auto"/>
            </w:tcBorders>
            <w:shd w:val="clear" w:color="auto" w:fill="1F4E79" w:themeFill="accent1" w:themeFillShade="80"/>
          </w:tcPr>
          <w:p w14:paraId="131423BD"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Първоначален бюджет  с включване на ЕПИВ</w:t>
            </w:r>
          </w:p>
        </w:tc>
        <w:tc>
          <w:tcPr>
            <w:tcW w:w="1305"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06ABBDD0"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Окончателен бюджет</w:t>
            </w:r>
          </w:p>
        </w:tc>
        <w:tc>
          <w:tcPr>
            <w:tcW w:w="1433" w:type="dxa"/>
            <w:tcBorders>
              <w:top w:val="single" w:sz="4" w:space="0" w:color="auto"/>
              <w:left w:val="nil"/>
              <w:bottom w:val="single" w:sz="4" w:space="0" w:color="auto"/>
              <w:right w:val="single" w:sz="4" w:space="0" w:color="auto"/>
            </w:tcBorders>
            <w:shd w:val="clear" w:color="auto" w:fill="1F4E79" w:themeFill="accent1" w:themeFillShade="80"/>
            <w:noWrap/>
            <w:vAlign w:val="center"/>
            <w:hideMark/>
          </w:tcPr>
          <w:p w14:paraId="059D983A"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Действителни разходи</w:t>
            </w:r>
          </w:p>
        </w:tc>
      </w:tr>
      <w:tr w:rsidR="00E8617E" w:rsidRPr="00BC7D66" w14:paraId="25A21C91" w14:textId="77777777" w:rsidTr="00520B91">
        <w:trPr>
          <w:trHeight w:val="77"/>
        </w:trPr>
        <w:tc>
          <w:tcPr>
            <w:tcW w:w="2208" w:type="dxa"/>
            <w:tcBorders>
              <w:top w:val="nil"/>
              <w:left w:val="single" w:sz="4" w:space="0" w:color="auto"/>
              <w:bottom w:val="single" w:sz="4" w:space="0" w:color="auto"/>
              <w:right w:val="single" w:sz="4" w:space="0" w:color="auto"/>
            </w:tcBorders>
          </w:tcPr>
          <w:p w14:paraId="48D3171C"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c>
          <w:tcPr>
            <w:tcW w:w="6820" w:type="dxa"/>
            <w:gridSpan w:val="4"/>
            <w:tcBorders>
              <w:top w:val="nil"/>
              <w:left w:val="single" w:sz="4" w:space="0" w:color="auto"/>
              <w:bottom w:val="single" w:sz="4" w:space="0" w:color="auto"/>
              <w:right w:val="single" w:sz="4" w:space="0" w:color="auto"/>
            </w:tcBorders>
            <w:shd w:val="clear" w:color="auto" w:fill="auto"/>
            <w:noWrap/>
            <w:vAlign w:val="center"/>
            <w:hideMark/>
          </w:tcPr>
          <w:p w14:paraId="652A5F97"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31A4AE6A" w14:textId="77777777" w:rsidTr="00520B91">
        <w:trPr>
          <w:trHeight w:val="300"/>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572EB20D"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w:t>
            </w:r>
          </w:p>
        </w:tc>
        <w:tc>
          <w:tcPr>
            <w:tcW w:w="2127" w:type="dxa"/>
            <w:tcBorders>
              <w:top w:val="nil"/>
              <w:left w:val="nil"/>
              <w:bottom w:val="single" w:sz="4" w:space="0" w:color="auto"/>
              <w:right w:val="single" w:sz="4" w:space="0" w:color="auto"/>
            </w:tcBorders>
            <w:shd w:val="clear" w:color="auto" w:fill="auto"/>
            <w:noWrap/>
            <w:vAlign w:val="center"/>
            <w:hideMark/>
          </w:tcPr>
          <w:p w14:paraId="3571929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37,07%</w:t>
            </w:r>
          </w:p>
        </w:tc>
        <w:tc>
          <w:tcPr>
            <w:tcW w:w="1955" w:type="dxa"/>
            <w:tcBorders>
              <w:top w:val="nil"/>
              <w:left w:val="nil"/>
              <w:bottom w:val="single" w:sz="4" w:space="0" w:color="auto"/>
              <w:right w:val="single" w:sz="4" w:space="0" w:color="auto"/>
            </w:tcBorders>
            <w:vAlign w:val="center"/>
          </w:tcPr>
          <w:p w14:paraId="6111539D"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36,95%</w:t>
            </w:r>
          </w:p>
        </w:tc>
        <w:tc>
          <w:tcPr>
            <w:tcW w:w="1305" w:type="dxa"/>
            <w:tcBorders>
              <w:top w:val="nil"/>
              <w:left w:val="single" w:sz="4" w:space="0" w:color="auto"/>
              <w:bottom w:val="single" w:sz="4" w:space="0" w:color="auto"/>
              <w:right w:val="single" w:sz="4" w:space="0" w:color="auto"/>
            </w:tcBorders>
            <w:shd w:val="clear" w:color="auto" w:fill="auto"/>
            <w:noWrap/>
            <w:vAlign w:val="center"/>
            <w:hideMark/>
          </w:tcPr>
          <w:p w14:paraId="70C1A70B"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30,74%</w:t>
            </w:r>
          </w:p>
        </w:tc>
        <w:tc>
          <w:tcPr>
            <w:tcW w:w="1433" w:type="dxa"/>
            <w:tcBorders>
              <w:top w:val="nil"/>
              <w:left w:val="nil"/>
              <w:bottom w:val="single" w:sz="4" w:space="0" w:color="auto"/>
              <w:right w:val="single" w:sz="4" w:space="0" w:color="auto"/>
            </w:tcBorders>
            <w:shd w:val="clear" w:color="auto" w:fill="auto"/>
            <w:noWrap/>
            <w:vAlign w:val="center"/>
            <w:hideMark/>
          </w:tcPr>
          <w:p w14:paraId="5032383F"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30,91%</w:t>
            </w:r>
          </w:p>
        </w:tc>
      </w:tr>
      <w:tr w:rsidR="00E8617E" w:rsidRPr="00BC7D66" w14:paraId="0C652482" w14:textId="77777777" w:rsidTr="00520B91">
        <w:trPr>
          <w:trHeight w:val="300"/>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15C3F712"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w:t>
            </w:r>
          </w:p>
        </w:tc>
        <w:tc>
          <w:tcPr>
            <w:tcW w:w="2127" w:type="dxa"/>
            <w:tcBorders>
              <w:top w:val="nil"/>
              <w:left w:val="nil"/>
              <w:bottom w:val="single" w:sz="4" w:space="0" w:color="auto"/>
              <w:right w:val="single" w:sz="4" w:space="0" w:color="auto"/>
            </w:tcBorders>
            <w:shd w:val="clear" w:color="auto" w:fill="auto"/>
            <w:noWrap/>
            <w:vAlign w:val="center"/>
            <w:hideMark/>
          </w:tcPr>
          <w:p w14:paraId="19EA29DC"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24,84%</w:t>
            </w:r>
          </w:p>
        </w:tc>
        <w:tc>
          <w:tcPr>
            <w:tcW w:w="1955" w:type="dxa"/>
            <w:tcBorders>
              <w:top w:val="single" w:sz="4" w:space="0" w:color="auto"/>
              <w:left w:val="nil"/>
              <w:bottom w:val="single" w:sz="4" w:space="0" w:color="auto"/>
              <w:right w:val="single" w:sz="4" w:space="0" w:color="auto"/>
            </w:tcBorders>
            <w:vAlign w:val="center"/>
          </w:tcPr>
          <w:p w14:paraId="475498DD"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24,59%</w:t>
            </w:r>
          </w:p>
        </w:tc>
        <w:tc>
          <w:tcPr>
            <w:tcW w:w="1305" w:type="dxa"/>
            <w:tcBorders>
              <w:top w:val="nil"/>
              <w:left w:val="single" w:sz="4" w:space="0" w:color="auto"/>
              <w:bottom w:val="single" w:sz="4" w:space="0" w:color="auto"/>
              <w:right w:val="single" w:sz="4" w:space="0" w:color="auto"/>
            </w:tcBorders>
            <w:shd w:val="clear" w:color="auto" w:fill="auto"/>
            <w:noWrap/>
            <w:vAlign w:val="center"/>
            <w:hideMark/>
          </w:tcPr>
          <w:p w14:paraId="13793C1E"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22,47%</w:t>
            </w:r>
          </w:p>
        </w:tc>
        <w:tc>
          <w:tcPr>
            <w:tcW w:w="1433" w:type="dxa"/>
            <w:tcBorders>
              <w:top w:val="nil"/>
              <w:left w:val="nil"/>
              <w:bottom w:val="single" w:sz="4" w:space="0" w:color="auto"/>
              <w:right w:val="single" w:sz="4" w:space="0" w:color="auto"/>
            </w:tcBorders>
            <w:shd w:val="clear" w:color="auto" w:fill="auto"/>
            <w:noWrap/>
            <w:vAlign w:val="center"/>
            <w:hideMark/>
          </w:tcPr>
          <w:p w14:paraId="2D03F89B"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22,60%</w:t>
            </w:r>
          </w:p>
        </w:tc>
      </w:tr>
      <w:tr w:rsidR="00E8617E" w:rsidRPr="00BC7D66" w14:paraId="44CA343B" w14:textId="77777777" w:rsidTr="00520B91">
        <w:trPr>
          <w:trHeight w:val="300"/>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1F364CAC"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w:t>
            </w:r>
          </w:p>
        </w:tc>
        <w:tc>
          <w:tcPr>
            <w:tcW w:w="2127" w:type="dxa"/>
            <w:tcBorders>
              <w:top w:val="nil"/>
              <w:left w:val="nil"/>
              <w:bottom w:val="single" w:sz="4" w:space="0" w:color="auto"/>
              <w:right w:val="single" w:sz="4" w:space="0" w:color="auto"/>
            </w:tcBorders>
            <w:shd w:val="clear" w:color="auto" w:fill="auto"/>
            <w:noWrap/>
            <w:vAlign w:val="center"/>
            <w:hideMark/>
          </w:tcPr>
          <w:p w14:paraId="012813DE"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25,87%</w:t>
            </w:r>
          </w:p>
        </w:tc>
        <w:tc>
          <w:tcPr>
            <w:tcW w:w="1955" w:type="dxa"/>
            <w:tcBorders>
              <w:top w:val="single" w:sz="4" w:space="0" w:color="auto"/>
              <w:left w:val="nil"/>
              <w:bottom w:val="single" w:sz="4" w:space="0" w:color="auto"/>
              <w:right w:val="single" w:sz="4" w:space="0" w:color="auto"/>
            </w:tcBorders>
            <w:vAlign w:val="center"/>
          </w:tcPr>
          <w:p w14:paraId="798ED3A8"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26,36%</w:t>
            </w:r>
          </w:p>
        </w:tc>
        <w:tc>
          <w:tcPr>
            <w:tcW w:w="1305" w:type="dxa"/>
            <w:tcBorders>
              <w:top w:val="nil"/>
              <w:left w:val="single" w:sz="4" w:space="0" w:color="auto"/>
              <w:bottom w:val="single" w:sz="4" w:space="0" w:color="auto"/>
              <w:right w:val="single" w:sz="4" w:space="0" w:color="auto"/>
            </w:tcBorders>
            <w:shd w:val="clear" w:color="auto" w:fill="auto"/>
            <w:noWrap/>
            <w:vAlign w:val="center"/>
            <w:hideMark/>
          </w:tcPr>
          <w:p w14:paraId="775AD415"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38,59%</w:t>
            </w:r>
          </w:p>
        </w:tc>
        <w:tc>
          <w:tcPr>
            <w:tcW w:w="1433" w:type="dxa"/>
            <w:tcBorders>
              <w:top w:val="nil"/>
              <w:left w:val="nil"/>
              <w:bottom w:val="single" w:sz="4" w:space="0" w:color="auto"/>
              <w:right w:val="single" w:sz="4" w:space="0" w:color="auto"/>
            </w:tcBorders>
            <w:shd w:val="clear" w:color="auto" w:fill="auto"/>
            <w:noWrap/>
            <w:vAlign w:val="center"/>
            <w:hideMark/>
          </w:tcPr>
          <w:p w14:paraId="72871F57"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38,27%</w:t>
            </w:r>
          </w:p>
        </w:tc>
      </w:tr>
      <w:tr w:rsidR="00E8617E" w:rsidRPr="00BC7D66" w14:paraId="3357C8B5" w14:textId="77777777" w:rsidTr="00520B91">
        <w:trPr>
          <w:trHeight w:val="300"/>
        </w:trPr>
        <w:tc>
          <w:tcPr>
            <w:tcW w:w="2208" w:type="dxa"/>
            <w:tcBorders>
              <w:top w:val="nil"/>
              <w:left w:val="single" w:sz="4" w:space="0" w:color="auto"/>
              <w:bottom w:val="single" w:sz="4" w:space="0" w:color="auto"/>
              <w:right w:val="single" w:sz="4" w:space="0" w:color="auto"/>
            </w:tcBorders>
            <w:shd w:val="clear" w:color="auto" w:fill="auto"/>
            <w:noWrap/>
            <w:vAlign w:val="center"/>
            <w:hideMark/>
          </w:tcPr>
          <w:p w14:paraId="1C429D5E"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4</w:t>
            </w:r>
          </w:p>
        </w:tc>
        <w:tc>
          <w:tcPr>
            <w:tcW w:w="2127" w:type="dxa"/>
            <w:tcBorders>
              <w:top w:val="nil"/>
              <w:left w:val="nil"/>
              <w:bottom w:val="single" w:sz="4" w:space="0" w:color="auto"/>
              <w:right w:val="single" w:sz="4" w:space="0" w:color="auto"/>
            </w:tcBorders>
            <w:shd w:val="clear" w:color="auto" w:fill="auto"/>
            <w:noWrap/>
            <w:vAlign w:val="center"/>
            <w:hideMark/>
          </w:tcPr>
          <w:p w14:paraId="429BE222"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3,81%</w:t>
            </w:r>
          </w:p>
        </w:tc>
        <w:tc>
          <w:tcPr>
            <w:tcW w:w="1955" w:type="dxa"/>
            <w:tcBorders>
              <w:top w:val="single" w:sz="4" w:space="0" w:color="auto"/>
              <w:left w:val="nil"/>
              <w:bottom w:val="single" w:sz="4" w:space="0" w:color="auto"/>
              <w:right w:val="single" w:sz="4" w:space="0" w:color="auto"/>
            </w:tcBorders>
            <w:vAlign w:val="center"/>
          </w:tcPr>
          <w:p w14:paraId="713F1B0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3,77%</w:t>
            </w:r>
          </w:p>
        </w:tc>
        <w:tc>
          <w:tcPr>
            <w:tcW w:w="1305" w:type="dxa"/>
            <w:tcBorders>
              <w:top w:val="nil"/>
              <w:left w:val="single" w:sz="4" w:space="0" w:color="auto"/>
              <w:bottom w:val="single" w:sz="4" w:space="0" w:color="auto"/>
              <w:right w:val="single" w:sz="4" w:space="0" w:color="auto"/>
            </w:tcBorders>
            <w:shd w:val="clear" w:color="auto" w:fill="auto"/>
            <w:noWrap/>
            <w:vAlign w:val="center"/>
            <w:hideMark/>
          </w:tcPr>
          <w:p w14:paraId="1CFCABDE"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1,77%</w:t>
            </w:r>
          </w:p>
        </w:tc>
        <w:tc>
          <w:tcPr>
            <w:tcW w:w="1433" w:type="dxa"/>
            <w:tcBorders>
              <w:top w:val="nil"/>
              <w:left w:val="nil"/>
              <w:bottom w:val="single" w:sz="4" w:space="0" w:color="auto"/>
              <w:right w:val="single" w:sz="4" w:space="0" w:color="auto"/>
            </w:tcBorders>
            <w:shd w:val="clear" w:color="auto" w:fill="auto"/>
            <w:noWrap/>
            <w:vAlign w:val="center"/>
            <w:hideMark/>
          </w:tcPr>
          <w:p w14:paraId="245A32B3"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1,77%</w:t>
            </w:r>
          </w:p>
        </w:tc>
      </w:tr>
      <w:tr w:rsidR="00E8617E" w:rsidRPr="00BC7D66" w14:paraId="0864A79E" w14:textId="77777777" w:rsidTr="00520B91">
        <w:trPr>
          <w:trHeight w:val="73"/>
        </w:trPr>
        <w:tc>
          <w:tcPr>
            <w:tcW w:w="2208" w:type="dxa"/>
            <w:tcBorders>
              <w:top w:val="nil"/>
              <w:left w:val="single" w:sz="4" w:space="0" w:color="auto"/>
              <w:bottom w:val="single" w:sz="4" w:space="0" w:color="auto"/>
              <w:right w:val="single" w:sz="4" w:space="0" w:color="auto"/>
            </w:tcBorders>
          </w:tcPr>
          <w:p w14:paraId="49BB8CC3"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c>
          <w:tcPr>
            <w:tcW w:w="6820" w:type="dxa"/>
            <w:gridSpan w:val="4"/>
            <w:tcBorders>
              <w:top w:val="nil"/>
              <w:left w:val="single" w:sz="4" w:space="0" w:color="auto"/>
              <w:bottom w:val="single" w:sz="4" w:space="0" w:color="auto"/>
              <w:right w:val="single" w:sz="4" w:space="0" w:color="auto"/>
            </w:tcBorders>
            <w:shd w:val="clear" w:color="auto" w:fill="auto"/>
            <w:noWrap/>
            <w:vAlign w:val="center"/>
          </w:tcPr>
          <w:p w14:paraId="3B13F9D8"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3E5A1939" w14:textId="77777777" w:rsidTr="00BC7D66">
        <w:trPr>
          <w:trHeight w:val="300"/>
        </w:trPr>
        <w:tc>
          <w:tcPr>
            <w:tcW w:w="2208"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187F0B34" w14:textId="75F597C3" w:rsidR="00E8617E" w:rsidRPr="00BC7D66" w:rsidRDefault="00E8617E" w:rsidP="00AB2B2B">
            <w:pPr>
              <w:spacing w:after="0" w:line="240" w:lineRule="auto"/>
              <w:rPr>
                <w:rFonts w:ascii="Arial" w:eastAsia="Times New Roman" w:hAnsi="Arial" w:cs="Arial"/>
                <w:b/>
                <w:bCs/>
                <w:color w:val="000000"/>
                <w:sz w:val="18"/>
                <w:szCs w:val="18"/>
                <w:lang w:eastAsia="bg-BG"/>
              </w:rPr>
            </w:pPr>
            <w:r w:rsidRPr="00BC7D66">
              <w:rPr>
                <w:rFonts w:ascii="Arial" w:eastAsia="Times New Roman" w:hAnsi="Arial" w:cs="Arial"/>
                <w:b/>
                <w:bCs/>
                <w:color w:val="000000"/>
                <w:sz w:val="18"/>
                <w:szCs w:val="18"/>
                <w:lang w:eastAsia="bg-BG"/>
              </w:rPr>
              <w:t>ОБЩО О</w:t>
            </w:r>
            <w:r w:rsidR="00AB2B2B">
              <w:rPr>
                <w:rFonts w:ascii="Arial" w:eastAsia="Times New Roman" w:hAnsi="Arial" w:cs="Arial"/>
                <w:b/>
                <w:bCs/>
                <w:color w:val="000000"/>
                <w:sz w:val="18"/>
                <w:szCs w:val="18"/>
                <w:lang w:eastAsia="bg-BG"/>
              </w:rPr>
              <w:t>с</w:t>
            </w:r>
            <w:r w:rsidRPr="00BC7D66">
              <w:rPr>
                <w:rFonts w:ascii="Arial" w:eastAsia="Times New Roman" w:hAnsi="Arial" w:cs="Arial"/>
                <w:b/>
                <w:bCs/>
                <w:color w:val="000000"/>
                <w:sz w:val="18"/>
                <w:szCs w:val="18"/>
                <w:lang w:eastAsia="bg-BG"/>
              </w:rPr>
              <w:t xml:space="preserve"> 1,2,3 и 4</w:t>
            </w:r>
          </w:p>
        </w:tc>
        <w:tc>
          <w:tcPr>
            <w:tcW w:w="2127" w:type="dxa"/>
            <w:tcBorders>
              <w:top w:val="nil"/>
              <w:left w:val="nil"/>
              <w:bottom w:val="single" w:sz="4" w:space="0" w:color="auto"/>
              <w:right w:val="single" w:sz="4" w:space="0" w:color="auto"/>
            </w:tcBorders>
            <w:shd w:val="clear" w:color="auto" w:fill="DEEAF6" w:themeFill="accent1" w:themeFillTint="33"/>
            <w:noWrap/>
            <w:vAlign w:val="center"/>
            <w:hideMark/>
          </w:tcPr>
          <w:p w14:paraId="5CDD8336"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91,60%</w:t>
            </w:r>
          </w:p>
        </w:tc>
        <w:tc>
          <w:tcPr>
            <w:tcW w:w="1955" w:type="dxa"/>
            <w:tcBorders>
              <w:top w:val="nil"/>
              <w:left w:val="nil"/>
              <w:bottom w:val="single" w:sz="4" w:space="0" w:color="auto"/>
              <w:right w:val="single" w:sz="4" w:space="0" w:color="auto"/>
            </w:tcBorders>
            <w:shd w:val="clear" w:color="auto" w:fill="DEEAF6" w:themeFill="accent1" w:themeFillTint="33"/>
            <w:vAlign w:val="center"/>
          </w:tcPr>
          <w:p w14:paraId="38FF86BC"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91,68%</w:t>
            </w:r>
          </w:p>
        </w:tc>
        <w:tc>
          <w:tcPr>
            <w:tcW w:w="1305"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3DE0A527"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93,57%</w:t>
            </w:r>
          </w:p>
        </w:tc>
        <w:tc>
          <w:tcPr>
            <w:tcW w:w="1433" w:type="dxa"/>
            <w:tcBorders>
              <w:top w:val="nil"/>
              <w:left w:val="nil"/>
              <w:bottom w:val="single" w:sz="4" w:space="0" w:color="auto"/>
              <w:right w:val="single" w:sz="4" w:space="0" w:color="auto"/>
            </w:tcBorders>
            <w:shd w:val="clear" w:color="auto" w:fill="DEEAF6" w:themeFill="accent1" w:themeFillTint="33"/>
            <w:noWrap/>
            <w:vAlign w:val="center"/>
            <w:hideMark/>
          </w:tcPr>
          <w:p w14:paraId="6E2C8E40"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93,55%</w:t>
            </w:r>
          </w:p>
        </w:tc>
      </w:tr>
      <w:tr w:rsidR="00E8617E" w:rsidRPr="00BC7D66" w14:paraId="5BD89202" w14:textId="77777777" w:rsidTr="00520B91">
        <w:trPr>
          <w:trHeight w:val="73"/>
        </w:trPr>
        <w:tc>
          <w:tcPr>
            <w:tcW w:w="2208" w:type="dxa"/>
            <w:tcBorders>
              <w:top w:val="nil"/>
              <w:left w:val="single" w:sz="4" w:space="0" w:color="auto"/>
              <w:bottom w:val="single" w:sz="4" w:space="0" w:color="auto"/>
              <w:right w:val="single" w:sz="4" w:space="0" w:color="auto"/>
            </w:tcBorders>
            <w:shd w:val="clear" w:color="auto" w:fill="FFFFFF" w:themeFill="background1"/>
          </w:tcPr>
          <w:p w14:paraId="21866FCF"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c>
          <w:tcPr>
            <w:tcW w:w="6820" w:type="dxa"/>
            <w:gridSpan w:val="4"/>
            <w:tcBorders>
              <w:top w:val="nil"/>
              <w:left w:val="single" w:sz="4" w:space="0" w:color="auto"/>
              <w:bottom w:val="single" w:sz="4" w:space="0" w:color="auto"/>
              <w:right w:val="single" w:sz="4" w:space="0" w:color="auto"/>
            </w:tcBorders>
            <w:shd w:val="clear" w:color="auto" w:fill="FFFFFF" w:themeFill="background1"/>
            <w:noWrap/>
            <w:vAlign w:val="center"/>
          </w:tcPr>
          <w:p w14:paraId="3D7C1258"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50AAA3C1" w14:textId="77777777" w:rsidTr="00520B91">
        <w:trPr>
          <w:trHeight w:val="300"/>
        </w:trPr>
        <w:tc>
          <w:tcPr>
            <w:tcW w:w="2208" w:type="dxa"/>
            <w:tcBorders>
              <w:top w:val="nil"/>
              <w:left w:val="single" w:sz="4" w:space="0" w:color="auto"/>
              <w:bottom w:val="single" w:sz="4" w:space="0" w:color="auto"/>
              <w:right w:val="single" w:sz="4" w:space="0" w:color="auto"/>
            </w:tcBorders>
            <w:shd w:val="clear" w:color="auto" w:fill="auto"/>
            <w:vAlign w:val="center"/>
            <w:hideMark/>
          </w:tcPr>
          <w:p w14:paraId="1E6640FA" w14:textId="77777777" w:rsidR="00E8617E" w:rsidRPr="00BC7D66" w:rsidRDefault="00E8617E" w:rsidP="00922731">
            <w:pPr>
              <w:spacing w:after="0"/>
              <w:rPr>
                <w:rFonts w:ascii="Arial" w:hAnsi="Arial" w:cs="Arial"/>
                <w:sz w:val="18"/>
                <w:szCs w:val="18"/>
                <w:lang w:eastAsia="bg-BG"/>
              </w:rPr>
            </w:pPr>
            <w:r w:rsidRPr="00BC7D66">
              <w:rPr>
                <w:rFonts w:ascii="Arial" w:hAnsi="Arial" w:cs="Arial"/>
                <w:sz w:val="18"/>
                <w:szCs w:val="18"/>
                <w:lang w:eastAsia="bg-BG"/>
              </w:rPr>
              <w:t>511 Техническа помощ</w:t>
            </w:r>
          </w:p>
        </w:tc>
        <w:tc>
          <w:tcPr>
            <w:tcW w:w="2127" w:type="dxa"/>
            <w:tcBorders>
              <w:top w:val="nil"/>
              <w:left w:val="nil"/>
              <w:bottom w:val="single" w:sz="4" w:space="0" w:color="auto"/>
              <w:right w:val="single" w:sz="4" w:space="0" w:color="auto"/>
            </w:tcBorders>
            <w:shd w:val="clear" w:color="auto" w:fill="auto"/>
            <w:noWrap/>
            <w:vAlign w:val="center"/>
            <w:hideMark/>
          </w:tcPr>
          <w:p w14:paraId="53D7800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3,39%</w:t>
            </w:r>
          </w:p>
        </w:tc>
        <w:tc>
          <w:tcPr>
            <w:tcW w:w="1955" w:type="dxa"/>
            <w:tcBorders>
              <w:top w:val="nil"/>
              <w:left w:val="nil"/>
              <w:bottom w:val="single" w:sz="4" w:space="0" w:color="auto"/>
              <w:right w:val="single" w:sz="4" w:space="0" w:color="auto"/>
            </w:tcBorders>
            <w:vAlign w:val="center"/>
          </w:tcPr>
          <w:p w14:paraId="0D5751C8"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3,36%</w:t>
            </w:r>
          </w:p>
        </w:tc>
        <w:tc>
          <w:tcPr>
            <w:tcW w:w="1305" w:type="dxa"/>
            <w:tcBorders>
              <w:top w:val="nil"/>
              <w:left w:val="single" w:sz="4" w:space="0" w:color="auto"/>
              <w:bottom w:val="single" w:sz="4" w:space="0" w:color="auto"/>
              <w:right w:val="single" w:sz="4" w:space="0" w:color="auto"/>
            </w:tcBorders>
            <w:shd w:val="clear" w:color="auto" w:fill="auto"/>
            <w:noWrap/>
            <w:vAlign w:val="center"/>
            <w:hideMark/>
          </w:tcPr>
          <w:p w14:paraId="69E912D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1,30%</w:t>
            </w:r>
          </w:p>
        </w:tc>
        <w:tc>
          <w:tcPr>
            <w:tcW w:w="1433" w:type="dxa"/>
            <w:tcBorders>
              <w:top w:val="nil"/>
              <w:left w:val="nil"/>
              <w:bottom w:val="single" w:sz="4" w:space="0" w:color="auto"/>
              <w:right w:val="single" w:sz="4" w:space="0" w:color="auto"/>
            </w:tcBorders>
            <w:shd w:val="clear" w:color="auto" w:fill="auto"/>
            <w:noWrap/>
            <w:vAlign w:val="center"/>
            <w:hideMark/>
          </w:tcPr>
          <w:p w14:paraId="2D8489E3"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1,28%</w:t>
            </w:r>
          </w:p>
        </w:tc>
      </w:tr>
      <w:tr w:rsidR="00E8617E" w:rsidRPr="00BC7D66" w14:paraId="132EDBCB" w14:textId="77777777" w:rsidTr="00520B91">
        <w:trPr>
          <w:trHeight w:val="212"/>
        </w:trPr>
        <w:tc>
          <w:tcPr>
            <w:tcW w:w="2208" w:type="dxa"/>
            <w:tcBorders>
              <w:top w:val="nil"/>
              <w:left w:val="single" w:sz="4" w:space="0" w:color="auto"/>
              <w:bottom w:val="single" w:sz="4" w:space="0" w:color="auto"/>
              <w:right w:val="single" w:sz="4" w:space="0" w:color="auto"/>
            </w:tcBorders>
            <w:shd w:val="clear" w:color="auto" w:fill="auto"/>
            <w:vAlign w:val="center"/>
            <w:hideMark/>
          </w:tcPr>
          <w:p w14:paraId="3D58F83B" w14:textId="77777777" w:rsidR="00E8617E" w:rsidRPr="00BC7D66" w:rsidRDefault="00E8617E" w:rsidP="00922731">
            <w:pPr>
              <w:spacing w:after="0"/>
              <w:rPr>
                <w:rFonts w:ascii="Arial" w:hAnsi="Arial" w:cs="Arial"/>
                <w:sz w:val="18"/>
                <w:szCs w:val="18"/>
                <w:lang w:eastAsia="bg-BG"/>
              </w:rPr>
            </w:pPr>
            <w:r w:rsidRPr="00BC7D66">
              <w:rPr>
                <w:rFonts w:ascii="Arial" w:hAnsi="Arial" w:cs="Arial"/>
                <w:sz w:val="18"/>
                <w:szCs w:val="18"/>
                <w:lang w:eastAsia="bg-BG"/>
              </w:rPr>
              <w:t>611 Доплащания към директните плащания</w:t>
            </w:r>
          </w:p>
        </w:tc>
        <w:tc>
          <w:tcPr>
            <w:tcW w:w="2127" w:type="dxa"/>
            <w:tcBorders>
              <w:top w:val="nil"/>
              <w:left w:val="nil"/>
              <w:bottom w:val="single" w:sz="4" w:space="0" w:color="auto"/>
              <w:right w:val="single" w:sz="4" w:space="0" w:color="auto"/>
            </w:tcBorders>
            <w:shd w:val="clear" w:color="auto" w:fill="auto"/>
            <w:noWrap/>
            <w:vAlign w:val="center"/>
            <w:hideMark/>
          </w:tcPr>
          <w:p w14:paraId="1937D67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5,01%</w:t>
            </w:r>
          </w:p>
        </w:tc>
        <w:tc>
          <w:tcPr>
            <w:tcW w:w="1955" w:type="dxa"/>
            <w:tcBorders>
              <w:top w:val="single" w:sz="4" w:space="0" w:color="auto"/>
              <w:left w:val="nil"/>
              <w:bottom w:val="single" w:sz="4" w:space="0" w:color="auto"/>
              <w:right w:val="single" w:sz="4" w:space="0" w:color="auto"/>
            </w:tcBorders>
            <w:vAlign w:val="center"/>
          </w:tcPr>
          <w:p w14:paraId="0E2B3D58"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4,96%</w:t>
            </w:r>
          </w:p>
        </w:tc>
        <w:tc>
          <w:tcPr>
            <w:tcW w:w="1305" w:type="dxa"/>
            <w:tcBorders>
              <w:top w:val="nil"/>
              <w:left w:val="single" w:sz="4" w:space="0" w:color="auto"/>
              <w:bottom w:val="single" w:sz="4" w:space="0" w:color="auto"/>
              <w:right w:val="single" w:sz="4" w:space="0" w:color="auto"/>
            </w:tcBorders>
            <w:shd w:val="clear" w:color="auto" w:fill="auto"/>
            <w:noWrap/>
            <w:vAlign w:val="center"/>
            <w:hideMark/>
          </w:tcPr>
          <w:p w14:paraId="2BDD0F98"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5,13%</w:t>
            </w:r>
          </w:p>
        </w:tc>
        <w:tc>
          <w:tcPr>
            <w:tcW w:w="1433" w:type="dxa"/>
            <w:tcBorders>
              <w:top w:val="nil"/>
              <w:left w:val="nil"/>
              <w:bottom w:val="single" w:sz="4" w:space="0" w:color="auto"/>
              <w:right w:val="single" w:sz="4" w:space="0" w:color="auto"/>
            </w:tcBorders>
            <w:shd w:val="clear" w:color="auto" w:fill="auto"/>
            <w:noWrap/>
            <w:vAlign w:val="center"/>
            <w:hideMark/>
          </w:tcPr>
          <w:p w14:paraId="5AABFDA7"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5,17%</w:t>
            </w:r>
          </w:p>
        </w:tc>
      </w:tr>
      <w:tr w:rsidR="00E8617E" w:rsidRPr="00CB25CF" w14:paraId="16672C9E" w14:textId="77777777" w:rsidTr="003A0F89">
        <w:trPr>
          <w:trHeight w:val="56"/>
        </w:trPr>
        <w:tc>
          <w:tcPr>
            <w:tcW w:w="2208" w:type="dxa"/>
            <w:tcBorders>
              <w:top w:val="nil"/>
              <w:left w:val="single" w:sz="4" w:space="0" w:color="auto"/>
              <w:bottom w:val="single" w:sz="4" w:space="0" w:color="auto"/>
              <w:right w:val="single" w:sz="4" w:space="0" w:color="auto"/>
            </w:tcBorders>
          </w:tcPr>
          <w:p w14:paraId="07B2B259" w14:textId="77777777" w:rsidR="00E8617E" w:rsidRPr="003A0F89" w:rsidRDefault="00E8617E" w:rsidP="00922731">
            <w:pPr>
              <w:spacing w:after="0" w:line="240" w:lineRule="auto"/>
              <w:jc w:val="center"/>
              <w:rPr>
                <w:rFonts w:ascii="Arial" w:eastAsia="Times New Roman" w:hAnsi="Arial" w:cs="Arial"/>
                <w:color w:val="000000"/>
                <w:sz w:val="10"/>
                <w:szCs w:val="18"/>
                <w:lang w:eastAsia="bg-BG"/>
              </w:rPr>
            </w:pPr>
          </w:p>
        </w:tc>
        <w:tc>
          <w:tcPr>
            <w:tcW w:w="6820" w:type="dxa"/>
            <w:gridSpan w:val="4"/>
            <w:tcBorders>
              <w:top w:val="nil"/>
              <w:left w:val="single" w:sz="4" w:space="0" w:color="auto"/>
              <w:bottom w:val="single" w:sz="4" w:space="0" w:color="auto"/>
              <w:right w:val="single" w:sz="4" w:space="0" w:color="auto"/>
            </w:tcBorders>
            <w:shd w:val="clear" w:color="auto" w:fill="auto"/>
            <w:vAlign w:val="center"/>
          </w:tcPr>
          <w:p w14:paraId="6D70AB43" w14:textId="77777777" w:rsidR="00E8617E" w:rsidRPr="003A0F89" w:rsidRDefault="00E8617E" w:rsidP="00922731">
            <w:pPr>
              <w:spacing w:after="0" w:line="240" w:lineRule="auto"/>
              <w:jc w:val="center"/>
              <w:rPr>
                <w:rFonts w:ascii="Arial" w:eastAsia="Times New Roman" w:hAnsi="Arial" w:cs="Arial"/>
                <w:color w:val="000000"/>
                <w:sz w:val="10"/>
                <w:szCs w:val="18"/>
                <w:lang w:eastAsia="bg-BG"/>
              </w:rPr>
            </w:pPr>
          </w:p>
        </w:tc>
      </w:tr>
      <w:tr w:rsidR="00E8617E" w:rsidRPr="00BC7D66" w14:paraId="2B77370B" w14:textId="77777777" w:rsidTr="007D14C1">
        <w:trPr>
          <w:trHeight w:val="300"/>
        </w:trPr>
        <w:tc>
          <w:tcPr>
            <w:tcW w:w="22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F2765DE" w14:textId="77777777" w:rsidR="00E8617E" w:rsidRPr="00BC7D66" w:rsidRDefault="00E8617E" w:rsidP="00922731">
            <w:pPr>
              <w:spacing w:after="0" w:line="240" w:lineRule="auto"/>
              <w:rPr>
                <w:rFonts w:ascii="Arial" w:eastAsia="Times New Roman" w:hAnsi="Arial" w:cs="Arial"/>
                <w:b/>
                <w:bCs/>
                <w:sz w:val="18"/>
                <w:szCs w:val="18"/>
                <w:lang w:eastAsia="bg-BG"/>
              </w:rPr>
            </w:pPr>
            <w:r w:rsidRPr="00BC7D66">
              <w:rPr>
                <w:rFonts w:ascii="Arial" w:eastAsia="Times New Roman" w:hAnsi="Arial" w:cs="Arial"/>
                <w:b/>
                <w:bCs/>
                <w:sz w:val="18"/>
                <w:szCs w:val="18"/>
                <w:lang w:eastAsia="bg-BG"/>
              </w:rPr>
              <w:t>Общ бюджет</w:t>
            </w:r>
          </w:p>
        </w:tc>
        <w:tc>
          <w:tcPr>
            <w:tcW w:w="21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57BBF86" w14:textId="77777777" w:rsidR="00E8617E" w:rsidRPr="00BC7D66" w:rsidRDefault="00E8617E"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100,00%</w:t>
            </w:r>
          </w:p>
        </w:tc>
        <w:tc>
          <w:tcPr>
            <w:tcW w:w="195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6F7BA1" w14:textId="77777777" w:rsidR="00E8617E" w:rsidRPr="00BC7D66" w:rsidRDefault="00E8617E"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100,00%</w:t>
            </w:r>
          </w:p>
        </w:tc>
        <w:tc>
          <w:tcPr>
            <w:tcW w:w="130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E6A461" w14:textId="77777777" w:rsidR="00E8617E" w:rsidRPr="00BC7D66" w:rsidRDefault="00E8617E"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100,00%</w:t>
            </w:r>
          </w:p>
        </w:tc>
        <w:tc>
          <w:tcPr>
            <w:tcW w:w="1433"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D3D15B8" w14:textId="77777777" w:rsidR="00E8617E" w:rsidRPr="00BC7D66" w:rsidRDefault="00E8617E"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100,00%</w:t>
            </w:r>
          </w:p>
        </w:tc>
      </w:tr>
    </w:tbl>
    <w:p w14:paraId="17877CF0" w14:textId="77777777" w:rsidR="00E8617E" w:rsidRDefault="00E8617E" w:rsidP="00E8617E">
      <w:pPr>
        <w:pStyle w:val="DefaultText"/>
        <w:spacing w:line="240" w:lineRule="auto"/>
        <w:rPr>
          <w:rFonts w:cs="Arial"/>
          <w:szCs w:val="18"/>
          <w:lang w:val="bg-BG"/>
        </w:rPr>
      </w:pPr>
      <w:r w:rsidRPr="00BC1A5E">
        <w:rPr>
          <w:rFonts w:cs="Arial"/>
          <w:szCs w:val="18"/>
          <w:lang w:val="bg-BG"/>
        </w:rPr>
        <w:t>Източник: МЗХГ,</w:t>
      </w:r>
      <w:r w:rsidRPr="00BC1A5E">
        <w:rPr>
          <w:szCs w:val="18"/>
          <w:lang w:val="bg-BG"/>
        </w:rPr>
        <w:t xml:space="preserve"> ПРСР 2007-2013, </w:t>
      </w:r>
      <w:r w:rsidRPr="00BC1A5E">
        <w:rPr>
          <w:rFonts w:cs="Arial"/>
          <w:szCs w:val="18"/>
          <w:lang w:val="bg-BG"/>
        </w:rPr>
        <w:t>Шестнадесето изменение на ПРСР (2007-2013г.), собствени изчисления</w:t>
      </w:r>
    </w:p>
    <w:p w14:paraId="43D0B1CB" w14:textId="77777777" w:rsidR="00E8617E" w:rsidRPr="00BC513A" w:rsidRDefault="00E8617E" w:rsidP="00E8617E">
      <w:pPr>
        <w:pStyle w:val="DefaultText"/>
        <w:spacing w:line="240" w:lineRule="auto"/>
        <w:rPr>
          <w:rFonts w:cs="Arial"/>
          <w:sz w:val="20"/>
          <w:lang w:val="bg-BG"/>
        </w:rPr>
      </w:pPr>
    </w:p>
    <w:p w14:paraId="384191D6" w14:textId="77777777"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 xml:space="preserve">Таблица 17 показва степента на съфинансиране на ЕЗФРСР като част от публичните разходи по конкретните ос на </w:t>
      </w:r>
      <w:r w:rsidR="000F57E9">
        <w:rPr>
          <w:sz w:val="22"/>
          <w:szCs w:val="22"/>
          <w:lang w:val="bg-BG"/>
        </w:rPr>
        <w:t>п</w:t>
      </w:r>
      <w:r w:rsidRPr="00BC513A">
        <w:rPr>
          <w:sz w:val="22"/>
          <w:szCs w:val="22"/>
          <w:lang w:val="bg-BG"/>
        </w:rPr>
        <w:t>рограмата. Няма отчетено съществено увеличение на планираното съфинансиране от ЕЗФРСР. Единствено по ос 1 (80,05%) и ос 3 (80,19%) се наблюдава по-високи нива на реалните разходи спрямо предварително планираните 80%, като причината за по-високия среден процент съфинансиране от ЕЗФРСР се дължи на средствата по ЕПИВ. През програмния период, нивата на съфинансиране не са променяни, като се отчита максимално усвояване на средствата по ЕЗФРСР.</w:t>
      </w:r>
    </w:p>
    <w:p w14:paraId="46849775" w14:textId="77777777" w:rsidR="00E8617E" w:rsidRPr="00BC513A" w:rsidRDefault="00E8617E" w:rsidP="00E8617E">
      <w:pPr>
        <w:pStyle w:val="Caption"/>
        <w:keepNext/>
        <w:spacing w:before="120" w:after="120"/>
        <w:rPr>
          <w:rFonts w:ascii="Arial" w:hAnsi="Arial" w:cs="Arial"/>
        </w:rPr>
      </w:pPr>
      <w:bookmarkStart w:id="69" w:name="_Toc499809599"/>
      <w:bookmarkStart w:id="70" w:name="_Toc504136189"/>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17</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Съфинансиране от ЕЗФРСР за общите публични разходи по оси (%)</w:t>
      </w:r>
      <w:bookmarkEnd w:id="69"/>
      <w:bookmarkEnd w:id="70"/>
    </w:p>
    <w:tbl>
      <w:tblPr>
        <w:tblW w:w="9012" w:type="dxa"/>
        <w:tblInd w:w="55" w:type="dxa"/>
        <w:tblCellMar>
          <w:left w:w="70" w:type="dxa"/>
          <w:right w:w="70" w:type="dxa"/>
        </w:tblCellMar>
        <w:tblLook w:val="04A0" w:firstRow="1" w:lastRow="0" w:firstColumn="1" w:lastColumn="0" w:noHBand="0" w:noVBand="1"/>
      </w:tblPr>
      <w:tblGrid>
        <w:gridCol w:w="3100"/>
        <w:gridCol w:w="1735"/>
        <w:gridCol w:w="2126"/>
        <w:gridCol w:w="2051"/>
      </w:tblGrid>
      <w:tr w:rsidR="00E8617E" w:rsidRPr="00BC7D66" w14:paraId="5272B759" w14:textId="77777777" w:rsidTr="00922731">
        <w:trPr>
          <w:trHeight w:val="300"/>
          <w:tblHeader/>
        </w:trPr>
        <w:tc>
          <w:tcPr>
            <w:tcW w:w="3100"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67B33FBD" w14:textId="537D6F16" w:rsidR="00E8617E" w:rsidRPr="00BC7D66" w:rsidRDefault="00E8617E" w:rsidP="00AB2B2B">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О</w:t>
            </w:r>
            <w:r w:rsidR="00AB2B2B">
              <w:rPr>
                <w:rFonts w:ascii="Arial" w:hAnsi="Arial" w:cs="Arial"/>
                <w:b/>
                <w:color w:val="FFFFFF" w:themeColor="background1"/>
                <w:sz w:val="18"/>
                <w:szCs w:val="18"/>
                <w:lang w:eastAsia="bg-BG"/>
              </w:rPr>
              <w:t>с</w:t>
            </w:r>
          </w:p>
        </w:tc>
        <w:tc>
          <w:tcPr>
            <w:tcW w:w="1735" w:type="dxa"/>
            <w:tcBorders>
              <w:top w:val="single" w:sz="4" w:space="0" w:color="auto"/>
              <w:left w:val="nil"/>
              <w:bottom w:val="single" w:sz="4" w:space="0" w:color="auto"/>
              <w:right w:val="single" w:sz="4" w:space="0" w:color="auto"/>
            </w:tcBorders>
            <w:shd w:val="clear" w:color="auto" w:fill="1F4E79" w:themeFill="accent1" w:themeFillShade="80"/>
            <w:noWrap/>
            <w:vAlign w:val="center"/>
            <w:hideMark/>
          </w:tcPr>
          <w:p w14:paraId="62A12680"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Първоначален бюджет</w:t>
            </w:r>
          </w:p>
        </w:tc>
        <w:tc>
          <w:tcPr>
            <w:tcW w:w="2126" w:type="dxa"/>
            <w:tcBorders>
              <w:top w:val="single" w:sz="4" w:space="0" w:color="auto"/>
              <w:left w:val="nil"/>
              <w:bottom w:val="single" w:sz="4" w:space="0" w:color="auto"/>
              <w:right w:val="single" w:sz="4" w:space="0" w:color="auto"/>
            </w:tcBorders>
            <w:shd w:val="clear" w:color="auto" w:fill="1F4E79" w:themeFill="accent1" w:themeFillShade="80"/>
            <w:noWrap/>
            <w:vAlign w:val="center"/>
            <w:hideMark/>
          </w:tcPr>
          <w:p w14:paraId="5B4EEB78"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Окончателен бюджет</w:t>
            </w:r>
          </w:p>
        </w:tc>
        <w:tc>
          <w:tcPr>
            <w:tcW w:w="2051" w:type="dxa"/>
            <w:tcBorders>
              <w:top w:val="single" w:sz="4" w:space="0" w:color="auto"/>
              <w:left w:val="nil"/>
              <w:bottom w:val="single" w:sz="4" w:space="0" w:color="auto"/>
              <w:right w:val="single" w:sz="4" w:space="0" w:color="auto"/>
            </w:tcBorders>
            <w:shd w:val="clear" w:color="auto" w:fill="1F4E79" w:themeFill="accent1" w:themeFillShade="80"/>
            <w:noWrap/>
            <w:vAlign w:val="center"/>
            <w:hideMark/>
          </w:tcPr>
          <w:p w14:paraId="7DAC34CE" w14:textId="77777777" w:rsidR="00E8617E" w:rsidRPr="00BC7D66" w:rsidRDefault="00E8617E" w:rsidP="00922731">
            <w:pPr>
              <w:jc w:val="center"/>
              <w:rPr>
                <w:rFonts w:ascii="Arial" w:hAnsi="Arial" w:cs="Arial"/>
                <w:b/>
                <w:color w:val="FFFFFF" w:themeColor="background1"/>
                <w:sz w:val="18"/>
                <w:szCs w:val="18"/>
                <w:lang w:eastAsia="bg-BG"/>
              </w:rPr>
            </w:pPr>
            <w:r w:rsidRPr="00BC7D66">
              <w:rPr>
                <w:rFonts w:ascii="Arial" w:hAnsi="Arial" w:cs="Arial"/>
                <w:b/>
                <w:color w:val="FFFFFF" w:themeColor="background1"/>
                <w:sz w:val="18"/>
                <w:szCs w:val="18"/>
                <w:lang w:eastAsia="bg-BG"/>
              </w:rPr>
              <w:t>Действителни разходи</w:t>
            </w:r>
          </w:p>
        </w:tc>
      </w:tr>
      <w:tr w:rsidR="00E8617E" w:rsidRPr="00BC7D66" w14:paraId="4F7E6AA7" w14:textId="77777777" w:rsidTr="00922731">
        <w:trPr>
          <w:trHeight w:val="73"/>
        </w:trPr>
        <w:tc>
          <w:tcPr>
            <w:tcW w:w="9012" w:type="dxa"/>
            <w:gridSpan w:val="4"/>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5F0BC8F" w14:textId="77777777" w:rsidR="00E8617E" w:rsidRPr="00BC7D66" w:rsidRDefault="00E8617E" w:rsidP="00922731">
            <w:pPr>
              <w:spacing w:after="0" w:line="240" w:lineRule="auto"/>
              <w:jc w:val="center"/>
              <w:rPr>
                <w:rFonts w:ascii="Arial" w:eastAsia="Times New Roman" w:hAnsi="Arial" w:cs="Arial"/>
                <w:b/>
                <w:bCs/>
                <w:color w:val="000000"/>
                <w:sz w:val="18"/>
                <w:szCs w:val="18"/>
                <w:lang w:eastAsia="bg-BG"/>
              </w:rPr>
            </w:pPr>
          </w:p>
        </w:tc>
      </w:tr>
      <w:tr w:rsidR="00E8617E" w:rsidRPr="00BC7D66" w14:paraId="64148352" w14:textId="77777777" w:rsidTr="00922731">
        <w:trPr>
          <w:trHeight w:val="300"/>
        </w:trPr>
        <w:tc>
          <w:tcPr>
            <w:tcW w:w="3100" w:type="dxa"/>
            <w:tcBorders>
              <w:top w:val="nil"/>
              <w:left w:val="single" w:sz="4" w:space="0" w:color="auto"/>
              <w:bottom w:val="single" w:sz="4" w:space="0" w:color="auto"/>
              <w:right w:val="single" w:sz="4" w:space="0" w:color="auto"/>
            </w:tcBorders>
            <w:shd w:val="clear" w:color="auto" w:fill="auto"/>
            <w:noWrap/>
            <w:vAlign w:val="center"/>
            <w:hideMark/>
          </w:tcPr>
          <w:p w14:paraId="3FCE650E"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1</w:t>
            </w:r>
          </w:p>
        </w:tc>
        <w:tc>
          <w:tcPr>
            <w:tcW w:w="1735" w:type="dxa"/>
            <w:tcBorders>
              <w:top w:val="nil"/>
              <w:left w:val="nil"/>
              <w:bottom w:val="single" w:sz="4" w:space="0" w:color="auto"/>
              <w:right w:val="single" w:sz="4" w:space="0" w:color="auto"/>
            </w:tcBorders>
            <w:shd w:val="clear" w:color="auto" w:fill="auto"/>
            <w:noWrap/>
            <w:vAlign w:val="center"/>
            <w:hideMark/>
          </w:tcPr>
          <w:p w14:paraId="6C07A280"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c>
          <w:tcPr>
            <w:tcW w:w="2126" w:type="dxa"/>
            <w:tcBorders>
              <w:top w:val="nil"/>
              <w:left w:val="nil"/>
              <w:bottom w:val="single" w:sz="4" w:space="0" w:color="auto"/>
              <w:right w:val="single" w:sz="4" w:space="0" w:color="auto"/>
            </w:tcBorders>
            <w:shd w:val="clear" w:color="auto" w:fill="auto"/>
            <w:noWrap/>
            <w:vAlign w:val="center"/>
            <w:hideMark/>
          </w:tcPr>
          <w:p w14:paraId="7BF1EF39"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80,10%</w:t>
            </w:r>
          </w:p>
        </w:tc>
        <w:tc>
          <w:tcPr>
            <w:tcW w:w="2051" w:type="dxa"/>
            <w:tcBorders>
              <w:top w:val="nil"/>
              <w:left w:val="nil"/>
              <w:bottom w:val="single" w:sz="4" w:space="0" w:color="auto"/>
              <w:right w:val="single" w:sz="4" w:space="0" w:color="auto"/>
            </w:tcBorders>
            <w:shd w:val="clear" w:color="auto" w:fill="auto"/>
            <w:noWrap/>
            <w:vAlign w:val="center"/>
            <w:hideMark/>
          </w:tcPr>
          <w:p w14:paraId="0B735F1D"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80,05%</w:t>
            </w:r>
          </w:p>
        </w:tc>
      </w:tr>
      <w:tr w:rsidR="00E8617E" w:rsidRPr="00BC7D66" w14:paraId="799641AC" w14:textId="77777777" w:rsidTr="00922731">
        <w:trPr>
          <w:trHeight w:val="300"/>
        </w:trPr>
        <w:tc>
          <w:tcPr>
            <w:tcW w:w="3100" w:type="dxa"/>
            <w:tcBorders>
              <w:top w:val="nil"/>
              <w:left w:val="single" w:sz="4" w:space="0" w:color="auto"/>
              <w:bottom w:val="single" w:sz="4" w:space="0" w:color="auto"/>
              <w:right w:val="single" w:sz="4" w:space="0" w:color="auto"/>
            </w:tcBorders>
            <w:shd w:val="clear" w:color="auto" w:fill="auto"/>
            <w:noWrap/>
            <w:vAlign w:val="center"/>
            <w:hideMark/>
          </w:tcPr>
          <w:p w14:paraId="01FECBF1"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2</w:t>
            </w:r>
          </w:p>
        </w:tc>
        <w:tc>
          <w:tcPr>
            <w:tcW w:w="1735" w:type="dxa"/>
            <w:tcBorders>
              <w:top w:val="nil"/>
              <w:left w:val="nil"/>
              <w:bottom w:val="single" w:sz="4" w:space="0" w:color="auto"/>
              <w:right w:val="single" w:sz="4" w:space="0" w:color="auto"/>
            </w:tcBorders>
            <w:shd w:val="clear" w:color="auto" w:fill="auto"/>
            <w:noWrap/>
            <w:vAlign w:val="center"/>
            <w:hideMark/>
          </w:tcPr>
          <w:p w14:paraId="26E2864A"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82,00%</w:t>
            </w:r>
          </w:p>
        </w:tc>
        <w:tc>
          <w:tcPr>
            <w:tcW w:w="2126" w:type="dxa"/>
            <w:tcBorders>
              <w:top w:val="nil"/>
              <w:left w:val="nil"/>
              <w:bottom w:val="single" w:sz="4" w:space="0" w:color="auto"/>
              <w:right w:val="single" w:sz="4" w:space="0" w:color="auto"/>
            </w:tcBorders>
            <w:shd w:val="clear" w:color="auto" w:fill="auto"/>
            <w:noWrap/>
            <w:vAlign w:val="center"/>
            <w:hideMark/>
          </w:tcPr>
          <w:p w14:paraId="5B467F07"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82,00%</w:t>
            </w:r>
          </w:p>
        </w:tc>
        <w:tc>
          <w:tcPr>
            <w:tcW w:w="2051" w:type="dxa"/>
            <w:tcBorders>
              <w:top w:val="nil"/>
              <w:left w:val="nil"/>
              <w:bottom w:val="single" w:sz="4" w:space="0" w:color="auto"/>
              <w:right w:val="single" w:sz="4" w:space="0" w:color="auto"/>
            </w:tcBorders>
            <w:shd w:val="clear" w:color="auto" w:fill="auto"/>
            <w:noWrap/>
            <w:vAlign w:val="center"/>
            <w:hideMark/>
          </w:tcPr>
          <w:p w14:paraId="3A841E9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82,00%</w:t>
            </w:r>
          </w:p>
        </w:tc>
      </w:tr>
      <w:tr w:rsidR="00E8617E" w:rsidRPr="00BC7D66" w14:paraId="3231FE87" w14:textId="77777777" w:rsidTr="00922731">
        <w:trPr>
          <w:trHeight w:val="300"/>
        </w:trPr>
        <w:tc>
          <w:tcPr>
            <w:tcW w:w="3100" w:type="dxa"/>
            <w:tcBorders>
              <w:top w:val="nil"/>
              <w:left w:val="single" w:sz="4" w:space="0" w:color="auto"/>
              <w:bottom w:val="single" w:sz="4" w:space="0" w:color="auto"/>
              <w:right w:val="single" w:sz="4" w:space="0" w:color="auto"/>
            </w:tcBorders>
            <w:shd w:val="clear" w:color="auto" w:fill="auto"/>
            <w:noWrap/>
            <w:vAlign w:val="center"/>
            <w:hideMark/>
          </w:tcPr>
          <w:p w14:paraId="146253E1"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3</w:t>
            </w:r>
          </w:p>
        </w:tc>
        <w:tc>
          <w:tcPr>
            <w:tcW w:w="1735" w:type="dxa"/>
            <w:tcBorders>
              <w:top w:val="nil"/>
              <w:left w:val="nil"/>
              <w:bottom w:val="single" w:sz="4" w:space="0" w:color="auto"/>
              <w:right w:val="single" w:sz="4" w:space="0" w:color="auto"/>
            </w:tcBorders>
            <w:shd w:val="clear" w:color="auto" w:fill="auto"/>
            <w:noWrap/>
            <w:vAlign w:val="center"/>
            <w:hideMark/>
          </w:tcPr>
          <w:p w14:paraId="1B38A3E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c>
          <w:tcPr>
            <w:tcW w:w="2126" w:type="dxa"/>
            <w:tcBorders>
              <w:top w:val="nil"/>
              <w:left w:val="nil"/>
              <w:bottom w:val="single" w:sz="4" w:space="0" w:color="auto"/>
              <w:right w:val="single" w:sz="4" w:space="0" w:color="auto"/>
            </w:tcBorders>
            <w:shd w:val="clear" w:color="auto" w:fill="auto"/>
            <w:noWrap/>
            <w:vAlign w:val="center"/>
            <w:hideMark/>
          </w:tcPr>
          <w:p w14:paraId="66F47B21"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80,24%</w:t>
            </w:r>
          </w:p>
        </w:tc>
        <w:tc>
          <w:tcPr>
            <w:tcW w:w="2051" w:type="dxa"/>
            <w:tcBorders>
              <w:top w:val="nil"/>
              <w:left w:val="nil"/>
              <w:bottom w:val="single" w:sz="4" w:space="0" w:color="auto"/>
              <w:right w:val="single" w:sz="4" w:space="0" w:color="auto"/>
            </w:tcBorders>
            <w:shd w:val="clear" w:color="auto" w:fill="auto"/>
            <w:noWrap/>
            <w:vAlign w:val="center"/>
            <w:hideMark/>
          </w:tcPr>
          <w:p w14:paraId="4C249341"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80,19%</w:t>
            </w:r>
          </w:p>
        </w:tc>
      </w:tr>
      <w:tr w:rsidR="00E8617E" w:rsidRPr="00BC7D66" w14:paraId="3BBFF94D" w14:textId="77777777" w:rsidTr="00922731">
        <w:trPr>
          <w:trHeight w:val="300"/>
        </w:trPr>
        <w:tc>
          <w:tcPr>
            <w:tcW w:w="3100" w:type="dxa"/>
            <w:tcBorders>
              <w:top w:val="nil"/>
              <w:left w:val="single" w:sz="4" w:space="0" w:color="auto"/>
              <w:bottom w:val="single" w:sz="4" w:space="0" w:color="auto"/>
              <w:right w:val="single" w:sz="4" w:space="0" w:color="auto"/>
            </w:tcBorders>
            <w:shd w:val="clear" w:color="auto" w:fill="auto"/>
            <w:noWrap/>
            <w:vAlign w:val="center"/>
            <w:hideMark/>
          </w:tcPr>
          <w:p w14:paraId="42FE59AF"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4</w:t>
            </w:r>
          </w:p>
        </w:tc>
        <w:tc>
          <w:tcPr>
            <w:tcW w:w="1735" w:type="dxa"/>
            <w:tcBorders>
              <w:top w:val="nil"/>
              <w:left w:val="nil"/>
              <w:bottom w:val="single" w:sz="4" w:space="0" w:color="auto"/>
              <w:right w:val="single" w:sz="4" w:space="0" w:color="auto"/>
            </w:tcBorders>
            <w:shd w:val="clear" w:color="auto" w:fill="auto"/>
            <w:noWrap/>
            <w:vAlign w:val="center"/>
            <w:hideMark/>
          </w:tcPr>
          <w:p w14:paraId="32C363D8"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c>
          <w:tcPr>
            <w:tcW w:w="2126" w:type="dxa"/>
            <w:tcBorders>
              <w:top w:val="nil"/>
              <w:left w:val="nil"/>
              <w:bottom w:val="single" w:sz="4" w:space="0" w:color="auto"/>
              <w:right w:val="single" w:sz="4" w:space="0" w:color="auto"/>
            </w:tcBorders>
            <w:shd w:val="clear" w:color="auto" w:fill="auto"/>
            <w:noWrap/>
            <w:vAlign w:val="center"/>
            <w:hideMark/>
          </w:tcPr>
          <w:p w14:paraId="0CDA2412"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c>
          <w:tcPr>
            <w:tcW w:w="2051" w:type="dxa"/>
            <w:tcBorders>
              <w:top w:val="nil"/>
              <w:left w:val="nil"/>
              <w:bottom w:val="single" w:sz="4" w:space="0" w:color="auto"/>
              <w:right w:val="single" w:sz="4" w:space="0" w:color="auto"/>
            </w:tcBorders>
            <w:shd w:val="clear" w:color="auto" w:fill="auto"/>
            <w:noWrap/>
            <w:vAlign w:val="center"/>
            <w:hideMark/>
          </w:tcPr>
          <w:p w14:paraId="27A68EC6"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r>
      <w:tr w:rsidR="00E8617E" w:rsidRPr="00BC7D66" w14:paraId="7E9F85D7" w14:textId="77777777" w:rsidTr="00922731">
        <w:trPr>
          <w:trHeight w:val="103"/>
        </w:trPr>
        <w:tc>
          <w:tcPr>
            <w:tcW w:w="9012" w:type="dxa"/>
            <w:gridSpan w:val="4"/>
            <w:tcBorders>
              <w:top w:val="nil"/>
              <w:left w:val="single" w:sz="4" w:space="0" w:color="auto"/>
              <w:bottom w:val="single" w:sz="4" w:space="0" w:color="auto"/>
              <w:right w:val="single" w:sz="4" w:space="0" w:color="auto"/>
            </w:tcBorders>
            <w:shd w:val="clear" w:color="auto" w:fill="auto"/>
            <w:noWrap/>
            <w:vAlign w:val="center"/>
          </w:tcPr>
          <w:p w14:paraId="4ECBE1BA"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189986F1" w14:textId="77777777" w:rsidTr="00BC7D66">
        <w:trPr>
          <w:trHeight w:val="300"/>
        </w:trPr>
        <w:tc>
          <w:tcPr>
            <w:tcW w:w="3100" w:type="dxa"/>
            <w:tcBorders>
              <w:top w:val="nil"/>
              <w:left w:val="single" w:sz="4" w:space="0" w:color="auto"/>
              <w:bottom w:val="single" w:sz="4" w:space="0" w:color="auto"/>
              <w:right w:val="single" w:sz="4" w:space="0" w:color="auto"/>
            </w:tcBorders>
            <w:shd w:val="clear" w:color="auto" w:fill="DEEAF6" w:themeFill="accent1" w:themeFillTint="33"/>
            <w:noWrap/>
            <w:vAlign w:val="center"/>
            <w:hideMark/>
          </w:tcPr>
          <w:p w14:paraId="48DE912D" w14:textId="51055D62" w:rsidR="00E8617E" w:rsidRPr="00BC7D66" w:rsidRDefault="00E8617E" w:rsidP="00AB2B2B">
            <w:pPr>
              <w:spacing w:after="0" w:line="240" w:lineRule="auto"/>
              <w:jc w:val="center"/>
              <w:rPr>
                <w:rFonts w:ascii="Arial" w:eastAsia="Times New Roman" w:hAnsi="Arial" w:cs="Arial"/>
                <w:b/>
                <w:bCs/>
                <w:color w:val="000000"/>
                <w:sz w:val="18"/>
                <w:szCs w:val="18"/>
                <w:lang w:eastAsia="bg-BG"/>
              </w:rPr>
            </w:pPr>
            <w:r w:rsidRPr="00BC7D66">
              <w:rPr>
                <w:rFonts w:ascii="Arial" w:eastAsia="Times New Roman" w:hAnsi="Arial" w:cs="Arial"/>
                <w:b/>
                <w:bCs/>
                <w:color w:val="000000"/>
                <w:sz w:val="18"/>
                <w:szCs w:val="18"/>
                <w:lang w:eastAsia="bg-BG"/>
              </w:rPr>
              <w:t>ОБЩО О</w:t>
            </w:r>
            <w:r w:rsidR="00AB2B2B">
              <w:rPr>
                <w:rFonts w:ascii="Arial" w:eastAsia="Times New Roman" w:hAnsi="Arial" w:cs="Arial"/>
                <w:b/>
                <w:bCs/>
                <w:color w:val="000000"/>
                <w:sz w:val="18"/>
                <w:szCs w:val="18"/>
                <w:lang w:eastAsia="bg-BG"/>
              </w:rPr>
              <w:t>с</w:t>
            </w:r>
            <w:r w:rsidRPr="00BC7D66">
              <w:rPr>
                <w:rFonts w:ascii="Arial" w:eastAsia="Times New Roman" w:hAnsi="Arial" w:cs="Arial"/>
                <w:b/>
                <w:bCs/>
                <w:color w:val="000000"/>
                <w:sz w:val="18"/>
                <w:szCs w:val="18"/>
                <w:lang w:eastAsia="bg-BG"/>
              </w:rPr>
              <w:t xml:space="preserve"> 1,2,3 и 4</w:t>
            </w:r>
          </w:p>
        </w:tc>
        <w:tc>
          <w:tcPr>
            <w:tcW w:w="1735" w:type="dxa"/>
            <w:tcBorders>
              <w:top w:val="nil"/>
              <w:left w:val="nil"/>
              <w:bottom w:val="single" w:sz="4" w:space="0" w:color="auto"/>
              <w:right w:val="single" w:sz="4" w:space="0" w:color="auto"/>
            </w:tcBorders>
            <w:shd w:val="clear" w:color="auto" w:fill="DEEAF6" w:themeFill="accent1" w:themeFillTint="33"/>
            <w:noWrap/>
            <w:vAlign w:val="center"/>
            <w:hideMark/>
          </w:tcPr>
          <w:p w14:paraId="1D743FCB"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80,53%</w:t>
            </w:r>
          </w:p>
        </w:tc>
        <w:tc>
          <w:tcPr>
            <w:tcW w:w="2126" w:type="dxa"/>
            <w:tcBorders>
              <w:top w:val="nil"/>
              <w:left w:val="nil"/>
              <w:bottom w:val="single" w:sz="4" w:space="0" w:color="auto"/>
              <w:right w:val="single" w:sz="4" w:space="0" w:color="auto"/>
            </w:tcBorders>
            <w:shd w:val="clear" w:color="auto" w:fill="DEEAF6" w:themeFill="accent1" w:themeFillTint="33"/>
            <w:noWrap/>
            <w:vAlign w:val="center"/>
            <w:hideMark/>
          </w:tcPr>
          <w:p w14:paraId="0FC01D6D"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80,64%</w:t>
            </w:r>
          </w:p>
        </w:tc>
        <w:tc>
          <w:tcPr>
            <w:tcW w:w="2051" w:type="dxa"/>
            <w:tcBorders>
              <w:top w:val="nil"/>
              <w:left w:val="nil"/>
              <w:bottom w:val="single" w:sz="4" w:space="0" w:color="auto"/>
              <w:right w:val="single" w:sz="4" w:space="0" w:color="auto"/>
            </w:tcBorders>
            <w:shd w:val="clear" w:color="auto" w:fill="DEEAF6" w:themeFill="accent1" w:themeFillTint="33"/>
            <w:noWrap/>
            <w:vAlign w:val="center"/>
            <w:hideMark/>
          </w:tcPr>
          <w:p w14:paraId="5835876F" w14:textId="77777777" w:rsidR="00E8617E" w:rsidRPr="00BC7D66" w:rsidRDefault="00E8617E" w:rsidP="00922731">
            <w:pPr>
              <w:spacing w:after="0" w:line="240" w:lineRule="auto"/>
              <w:jc w:val="center"/>
              <w:rPr>
                <w:rFonts w:ascii="Arial" w:eastAsia="Times New Roman" w:hAnsi="Arial" w:cs="Arial"/>
                <w:b/>
                <w:color w:val="000000"/>
                <w:sz w:val="18"/>
                <w:szCs w:val="18"/>
                <w:lang w:eastAsia="bg-BG"/>
              </w:rPr>
            </w:pPr>
            <w:r w:rsidRPr="00BC7D66">
              <w:rPr>
                <w:rFonts w:ascii="Arial" w:eastAsia="Times New Roman" w:hAnsi="Arial" w:cs="Arial"/>
                <w:b/>
                <w:color w:val="000000"/>
                <w:sz w:val="18"/>
                <w:szCs w:val="18"/>
                <w:lang w:eastAsia="bg-BG"/>
              </w:rPr>
              <w:t>80,61%</w:t>
            </w:r>
          </w:p>
        </w:tc>
      </w:tr>
      <w:tr w:rsidR="00E8617E" w:rsidRPr="00BC7D66" w14:paraId="5EAC712D" w14:textId="77777777" w:rsidTr="00922731">
        <w:trPr>
          <w:trHeight w:val="73"/>
        </w:trPr>
        <w:tc>
          <w:tcPr>
            <w:tcW w:w="9012" w:type="dxa"/>
            <w:gridSpan w:val="4"/>
            <w:tcBorders>
              <w:top w:val="nil"/>
              <w:left w:val="single" w:sz="4" w:space="0" w:color="auto"/>
              <w:bottom w:val="single" w:sz="4" w:space="0" w:color="auto"/>
              <w:right w:val="single" w:sz="4" w:space="0" w:color="auto"/>
            </w:tcBorders>
            <w:shd w:val="clear" w:color="auto" w:fill="FFFFFF" w:themeFill="background1"/>
            <w:noWrap/>
            <w:vAlign w:val="center"/>
          </w:tcPr>
          <w:p w14:paraId="54DA8851"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2D0F3315" w14:textId="77777777" w:rsidTr="00922731">
        <w:trPr>
          <w:trHeight w:val="300"/>
        </w:trPr>
        <w:tc>
          <w:tcPr>
            <w:tcW w:w="3100" w:type="dxa"/>
            <w:tcBorders>
              <w:top w:val="nil"/>
              <w:left w:val="single" w:sz="4" w:space="0" w:color="auto"/>
              <w:bottom w:val="single" w:sz="4" w:space="0" w:color="auto"/>
              <w:right w:val="single" w:sz="4" w:space="0" w:color="auto"/>
            </w:tcBorders>
            <w:shd w:val="clear" w:color="auto" w:fill="auto"/>
            <w:vAlign w:val="center"/>
            <w:hideMark/>
          </w:tcPr>
          <w:p w14:paraId="187EBED1" w14:textId="77777777" w:rsidR="00E8617E" w:rsidRPr="00BC7D66" w:rsidRDefault="00E8617E" w:rsidP="00922731">
            <w:pPr>
              <w:spacing w:after="0"/>
              <w:rPr>
                <w:rFonts w:ascii="Arial" w:hAnsi="Arial" w:cs="Arial"/>
                <w:sz w:val="18"/>
                <w:szCs w:val="18"/>
                <w:lang w:eastAsia="bg-BG"/>
              </w:rPr>
            </w:pPr>
            <w:r w:rsidRPr="00BC7D66">
              <w:rPr>
                <w:rFonts w:ascii="Arial" w:hAnsi="Arial" w:cs="Arial"/>
                <w:sz w:val="18"/>
                <w:szCs w:val="18"/>
                <w:lang w:eastAsia="bg-BG"/>
              </w:rPr>
              <w:t>511 Техническа помощ</w:t>
            </w:r>
          </w:p>
        </w:tc>
        <w:tc>
          <w:tcPr>
            <w:tcW w:w="1735" w:type="dxa"/>
            <w:tcBorders>
              <w:top w:val="nil"/>
              <w:left w:val="nil"/>
              <w:bottom w:val="single" w:sz="4" w:space="0" w:color="auto"/>
              <w:right w:val="single" w:sz="4" w:space="0" w:color="auto"/>
            </w:tcBorders>
            <w:shd w:val="clear" w:color="auto" w:fill="auto"/>
            <w:noWrap/>
            <w:vAlign w:val="center"/>
            <w:hideMark/>
          </w:tcPr>
          <w:p w14:paraId="516B07E1"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c>
          <w:tcPr>
            <w:tcW w:w="2126" w:type="dxa"/>
            <w:tcBorders>
              <w:top w:val="nil"/>
              <w:left w:val="nil"/>
              <w:bottom w:val="single" w:sz="4" w:space="0" w:color="auto"/>
              <w:right w:val="single" w:sz="4" w:space="0" w:color="auto"/>
            </w:tcBorders>
            <w:shd w:val="clear" w:color="auto" w:fill="auto"/>
            <w:noWrap/>
            <w:vAlign w:val="center"/>
            <w:hideMark/>
          </w:tcPr>
          <w:p w14:paraId="121A262C"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c>
          <w:tcPr>
            <w:tcW w:w="2051" w:type="dxa"/>
            <w:tcBorders>
              <w:top w:val="nil"/>
              <w:left w:val="nil"/>
              <w:bottom w:val="single" w:sz="4" w:space="0" w:color="auto"/>
              <w:right w:val="single" w:sz="4" w:space="0" w:color="auto"/>
            </w:tcBorders>
            <w:shd w:val="clear" w:color="auto" w:fill="auto"/>
            <w:noWrap/>
            <w:vAlign w:val="center"/>
            <w:hideMark/>
          </w:tcPr>
          <w:p w14:paraId="10371AE3"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r>
      <w:tr w:rsidR="00E8617E" w:rsidRPr="00BC7D66" w14:paraId="6AC26772" w14:textId="77777777" w:rsidTr="00922731">
        <w:trPr>
          <w:trHeight w:val="510"/>
        </w:trPr>
        <w:tc>
          <w:tcPr>
            <w:tcW w:w="3100" w:type="dxa"/>
            <w:tcBorders>
              <w:top w:val="nil"/>
              <w:left w:val="single" w:sz="4" w:space="0" w:color="auto"/>
              <w:bottom w:val="single" w:sz="4" w:space="0" w:color="auto"/>
              <w:right w:val="single" w:sz="4" w:space="0" w:color="auto"/>
            </w:tcBorders>
            <w:shd w:val="clear" w:color="auto" w:fill="auto"/>
            <w:vAlign w:val="center"/>
            <w:hideMark/>
          </w:tcPr>
          <w:p w14:paraId="3B278472" w14:textId="77777777" w:rsidR="00E8617E" w:rsidRPr="00BC7D66" w:rsidRDefault="00E8617E" w:rsidP="00922731">
            <w:pPr>
              <w:spacing w:after="0"/>
              <w:rPr>
                <w:rFonts w:ascii="Arial" w:hAnsi="Arial" w:cs="Arial"/>
                <w:sz w:val="18"/>
                <w:szCs w:val="18"/>
                <w:lang w:eastAsia="bg-BG"/>
              </w:rPr>
            </w:pPr>
            <w:r w:rsidRPr="00BC7D66">
              <w:rPr>
                <w:rFonts w:ascii="Arial" w:hAnsi="Arial" w:cs="Arial"/>
                <w:sz w:val="18"/>
                <w:szCs w:val="18"/>
                <w:lang w:eastAsia="bg-BG"/>
              </w:rPr>
              <w:t>611 Доплащания към директните плащания</w:t>
            </w:r>
          </w:p>
        </w:tc>
        <w:tc>
          <w:tcPr>
            <w:tcW w:w="1735" w:type="dxa"/>
            <w:tcBorders>
              <w:top w:val="nil"/>
              <w:left w:val="nil"/>
              <w:bottom w:val="single" w:sz="4" w:space="0" w:color="auto"/>
              <w:right w:val="single" w:sz="4" w:space="0" w:color="auto"/>
            </w:tcBorders>
            <w:shd w:val="clear" w:color="auto" w:fill="auto"/>
            <w:noWrap/>
            <w:vAlign w:val="center"/>
            <w:hideMark/>
          </w:tcPr>
          <w:p w14:paraId="7610DEC1"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c>
          <w:tcPr>
            <w:tcW w:w="2126" w:type="dxa"/>
            <w:tcBorders>
              <w:top w:val="nil"/>
              <w:left w:val="nil"/>
              <w:bottom w:val="single" w:sz="4" w:space="0" w:color="auto"/>
              <w:right w:val="single" w:sz="4" w:space="0" w:color="auto"/>
            </w:tcBorders>
            <w:shd w:val="clear" w:color="auto" w:fill="auto"/>
            <w:noWrap/>
            <w:vAlign w:val="center"/>
            <w:hideMark/>
          </w:tcPr>
          <w:p w14:paraId="003E8E0D"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c>
          <w:tcPr>
            <w:tcW w:w="2051" w:type="dxa"/>
            <w:tcBorders>
              <w:top w:val="nil"/>
              <w:left w:val="nil"/>
              <w:bottom w:val="single" w:sz="4" w:space="0" w:color="auto"/>
              <w:right w:val="single" w:sz="4" w:space="0" w:color="auto"/>
            </w:tcBorders>
            <w:shd w:val="clear" w:color="auto" w:fill="auto"/>
            <w:noWrap/>
            <w:vAlign w:val="center"/>
            <w:hideMark/>
          </w:tcPr>
          <w:p w14:paraId="7ADC269E" w14:textId="77777777" w:rsidR="00E8617E" w:rsidRPr="00BC7D66" w:rsidRDefault="00E8617E" w:rsidP="00922731">
            <w:pPr>
              <w:spacing w:after="0"/>
              <w:jc w:val="center"/>
              <w:rPr>
                <w:rFonts w:ascii="Arial" w:hAnsi="Arial" w:cs="Arial"/>
                <w:sz w:val="18"/>
                <w:szCs w:val="18"/>
                <w:lang w:eastAsia="bg-BG"/>
              </w:rPr>
            </w:pPr>
            <w:r w:rsidRPr="00BC7D66">
              <w:rPr>
                <w:rFonts w:ascii="Arial" w:hAnsi="Arial" w:cs="Arial"/>
                <w:sz w:val="18"/>
                <w:szCs w:val="18"/>
                <w:lang w:eastAsia="bg-BG"/>
              </w:rPr>
              <w:t>80,00%</w:t>
            </w:r>
          </w:p>
        </w:tc>
      </w:tr>
      <w:tr w:rsidR="00E8617E" w:rsidRPr="00BC7D66" w14:paraId="19D8ED5F" w14:textId="77777777" w:rsidTr="00922731">
        <w:trPr>
          <w:trHeight w:val="73"/>
        </w:trPr>
        <w:tc>
          <w:tcPr>
            <w:tcW w:w="9012" w:type="dxa"/>
            <w:gridSpan w:val="4"/>
            <w:tcBorders>
              <w:top w:val="nil"/>
              <w:left w:val="single" w:sz="4" w:space="0" w:color="auto"/>
              <w:bottom w:val="single" w:sz="4" w:space="0" w:color="auto"/>
              <w:right w:val="single" w:sz="4" w:space="0" w:color="auto"/>
            </w:tcBorders>
            <w:shd w:val="clear" w:color="auto" w:fill="auto"/>
            <w:vAlign w:val="center"/>
          </w:tcPr>
          <w:p w14:paraId="3F0765CB" w14:textId="77777777" w:rsidR="00E8617E" w:rsidRPr="00BC7D66"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7D66" w14:paraId="07204062" w14:textId="77777777" w:rsidTr="00922731">
        <w:trPr>
          <w:trHeight w:val="300"/>
        </w:trPr>
        <w:tc>
          <w:tcPr>
            <w:tcW w:w="3100"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14:paraId="32171A13" w14:textId="77777777" w:rsidR="00E8617E" w:rsidRPr="00BC7D66" w:rsidRDefault="00E8617E" w:rsidP="00922731">
            <w:pPr>
              <w:spacing w:after="0" w:line="240" w:lineRule="auto"/>
              <w:jc w:val="center"/>
              <w:rPr>
                <w:rFonts w:ascii="Arial" w:eastAsia="Times New Roman" w:hAnsi="Arial" w:cs="Arial"/>
                <w:b/>
                <w:bCs/>
                <w:sz w:val="18"/>
                <w:szCs w:val="18"/>
                <w:lang w:eastAsia="bg-BG"/>
              </w:rPr>
            </w:pPr>
            <w:r w:rsidRPr="00BC7D66">
              <w:rPr>
                <w:rFonts w:ascii="Arial" w:eastAsia="Times New Roman" w:hAnsi="Arial" w:cs="Arial"/>
                <w:b/>
                <w:bCs/>
                <w:sz w:val="18"/>
                <w:szCs w:val="18"/>
                <w:lang w:eastAsia="bg-BG"/>
              </w:rPr>
              <w:t>Общ бюджет</w:t>
            </w:r>
          </w:p>
        </w:tc>
        <w:tc>
          <w:tcPr>
            <w:tcW w:w="1735" w:type="dxa"/>
            <w:tcBorders>
              <w:top w:val="nil"/>
              <w:left w:val="nil"/>
              <w:bottom w:val="single" w:sz="4" w:space="0" w:color="auto"/>
              <w:right w:val="single" w:sz="4" w:space="0" w:color="auto"/>
            </w:tcBorders>
            <w:shd w:val="clear" w:color="auto" w:fill="D9D9D9" w:themeFill="background1" w:themeFillShade="D9"/>
            <w:noWrap/>
            <w:vAlign w:val="center"/>
            <w:hideMark/>
          </w:tcPr>
          <w:p w14:paraId="3B500619" w14:textId="77777777" w:rsidR="00E8617E" w:rsidRPr="00BC7D66" w:rsidRDefault="00E8617E"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80,48%</w:t>
            </w:r>
          </w:p>
        </w:tc>
        <w:tc>
          <w:tcPr>
            <w:tcW w:w="2126" w:type="dxa"/>
            <w:tcBorders>
              <w:top w:val="nil"/>
              <w:left w:val="nil"/>
              <w:bottom w:val="single" w:sz="4" w:space="0" w:color="auto"/>
              <w:right w:val="single" w:sz="4" w:space="0" w:color="auto"/>
            </w:tcBorders>
            <w:shd w:val="clear" w:color="auto" w:fill="D9D9D9" w:themeFill="background1" w:themeFillShade="D9"/>
            <w:noWrap/>
            <w:vAlign w:val="center"/>
            <w:hideMark/>
          </w:tcPr>
          <w:p w14:paraId="0806B398" w14:textId="77777777" w:rsidR="00E8617E" w:rsidRPr="00BC7D66" w:rsidRDefault="00E8617E"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80,60%</w:t>
            </w:r>
          </w:p>
        </w:tc>
        <w:tc>
          <w:tcPr>
            <w:tcW w:w="2051" w:type="dxa"/>
            <w:tcBorders>
              <w:top w:val="nil"/>
              <w:left w:val="nil"/>
              <w:bottom w:val="single" w:sz="4" w:space="0" w:color="auto"/>
              <w:right w:val="single" w:sz="4" w:space="0" w:color="auto"/>
            </w:tcBorders>
            <w:shd w:val="clear" w:color="auto" w:fill="D9D9D9" w:themeFill="background1" w:themeFillShade="D9"/>
            <w:noWrap/>
            <w:vAlign w:val="center"/>
            <w:hideMark/>
          </w:tcPr>
          <w:p w14:paraId="04247EC7" w14:textId="77777777" w:rsidR="00E8617E" w:rsidRPr="00BC7D66" w:rsidRDefault="00E8617E" w:rsidP="00922731">
            <w:pPr>
              <w:spacing w:after="0" w:line="240" w:lineRule="auto"/>
              <w:jc w:val="center"/>
              <w:rPr>
                <w:rFonts w:ascii="Arial" w:eastAsia="Times New Roman" w:hAnsi="Arial" w:cs="Arial"/>
                <w:b/>
                <w:sz w:val="18"/>
                <w:szCs w:val="18"/>
                <w:lang w:eastAsia="bg-BG"/>
              </w:rPr>
            </w:pPr>
            <w:r w:rsidRPr="00BC7D66">
              <w:rPr>
                <w:rFonts w:ascii="Arial" w:eastAsia="Times New Roman" w:hAnsi="Arial" w:cs="Arial"/>
                <w:b/>
                <w:sz w:val="18"/>
                <w:szCs w:val="18"/>
                <w:lang w:eastAsia="bg-BG"/>
              </w:rPr>
              <w:t>80,57%</w:t>
            </w:r>
          </w:p>
        </w:tc>
      </w:tr>
    </w:tbl>
    <w:p w14:paraId="7B52A9E4" w14:textId="77777777" w:rsidR="00E8617E" w:rsidRPr="00BC1A5E" w:rsidRDefault="00E8617E" w:rsidP="00E8617E">
      <w:pPr>
        <w:pStyle w:val="DefaultText"/>
        <w:spacing w:line="240" w:lineRule="auto"/>
        <w:rPr>
          <w:rFonts w:cs="Arial"/>
          <w:szCs w:val="18"/>
          <w:lang w:val="bg-BG"/>
        </w:rPr>
      </w:pPr>
      <w:r w:rsidRPr="00BC1A5E">
        <w:rPr>
          <w:rFonts w:cs="Arial"/>
          <w:szCs w:val="18"/>
          <w:lang w:val="bg-BG"/>
        </w:rPr>
        <w:t xml:space="preserve">Източник: </w:t>
      </w:r>
      <w:r w:rsidRPr="00BC1A5E">
        <w:rPr>
          <w:szCs w:val="18"/>
          <w:lang w:val="bg-BG"/>
        </w:rPr>
        <w:t xml:space="preserve">ПРСР 2007-2013, </w:t>
      </w:r>
      <w:r w:rsidRPr="00BC1A5E">
        <w:rPr>
          <w:rFonts w:cs="Arial"/>
          <w:szCs w:val="18"/>
          <w:lang w:val="bg-BG"/>
        </w:rPr>
        <w:t>Шестнадесето изменение на ПРСР (2007-2013г.), собствени изчисления</w:t>
      </w:r>
    </w:p>
    <w:p w14:paraId="2D4C9C2C" w14:textId="77777777" w:rsidR="00E8617E" w:rsidRPr="00BC513A" w:rsidRDefault="00E8617E" w:rsidP="00E8617E">
      <w:pPr>
        <w:pStyle w:val="DefaultText"/>
        <w:spacing w:line="240" w:lineRule="auto"/>
        <w:rPr>
          <w:rFonts w:cs="Arial"/>
          <w:sz w:val="20"/>
          <w:lang w:val="bg-BG"/>
        </w:rPr>
      </w:pPr>
    </w:p>
    <w:p w14:paraId="6F0FFFB3" w14:textId="77777777"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Публичните разходи по години се определят въз основа на предварително определената програма за стартирането на конкретните мерки. Фигура 5 показва извършените публични плащания на ниво приоритетна ос, по години.</w:t>
      </w:r>
    </w:p>
    <w:p w14:paraId="53D16D50" w14:textId="77777777" w:rsidR="00E8617E" w:rsidRPr="00BC513A" w:rsidRDefault="00E8617E" w:rsidP="00E8617E">
      <w:pPr>
        <w:jc w:val="center"/>
      </w:pPr>
      <w:r w:rsidRPr="00BC513A">
        <w:rPr>
          <w:noProof/>
          <w:lang w:val="en-US"/>
        </w:rPr>
        <w:lastRenderedPageBreak/>
        <w:drawing>
          <wp:inline distT="0" distB="0" distL="0" distR="0" wp14:anchorId="585BA12A" wp14:editId="4E42BF9E">
            <wp:extent cx="5566946" cy="5291530"/>
            <wp:effectExtent l="0" t="0" r="0" b="4445"/>
            <wp:docPr id="5152" name="Picture 5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71521" cy="5295878"/>
                    </a:xfrm>
                    <a:prstGeom prst="rect">
                      <a:avLst/>
                    </a:prstGeom>
                    <a:noFill/>
                  </pic:spPr>
                </pic:pic>
              </a:graphicData>
            </a:graphic>
          </wp:inline>
        </w:drawing>
      </w:r>
    </w:p>
    <w:p w14:paraId="245B767F" w14:textId="77777777" w:rsidR="00E8617E" w:rsidRPr="00BC513A" w:rsidRDefault="00E8617E" w:rsidP="00E8617E">
      <w:pPr>
        <w:pStyle w:val="Caption"/>
        <w:keepNext/>
        <w:spacing w:before="240" w:after="60"/>
        <w:jc w:val="center"/>
        <w:rPr>
          <w:rFonts w:ascii="Arial" w:hAnsi="Arial" w:cs="Arial"/>
          <w:b/>
          <w:i w:val="0"/>
          <w:color w:val="0070C0"/>
          <w:sz w:val="20"/>
          <w:szCs w:val="20"/>
        </w:rPr>
      </w:pPr>
      <w:bookmarkStart w:id="71" w:name="_Toc506984711"/>
      <w:r w:rsidRPr="00BC513A">
        <w:rPr>
          <w:rFonts w:ascii="Arial" w:hAnsi="Arial" w:cs="Arial"/>
          <w:b/>
          <w:i w:val="0"/>
          <w:color w:val="0070C0"/>
          <w:sz w:val="20"/>
          <w:szCs w:val="20"/>
        </w:rPr>
        <w:t xml:space="preserve">Фигура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Фигура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5</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xml:space="preserve">. Публични плащания по ПРСР по приоритетни оси към 31.12.2015 г., млн. </w:t>
      </w:r>
      <w:r w:rsidR="00205C7B">
        <w:rPr>
          <w:rFonts w:ascii="Arial" w:hAnsi="Arial" w:cs="Arial"/>
          <w:b/>
          <w:i w:val="0"/>
          <w:color w:val="0070C0"/>
          <w:sz w:val="20"/>
          <w:szCs w:val="20"/>
        </w:rPr>
        <w:t>е</w:t>
      </w:r>
      <w:r w:rsidRPr="00BC513A">
        <w:rPr>
          <w:rFonts w:ascii="Arial" w:hAnsi="Arial" w:cs="Arial"/>
          <w:b/>
          <w:i w:val="0"/>
          <w:color w:val="0070C0"/>
          <w:sz w:val="20"/>
          <w:szCs w:val="20"/>
        </w:rPr>
        <w:t>вро</w:t>
      </w:r>
      <w:bookmarkEnd w:id="71"/>
    </w:p>
    <w:p w14:paraId="63DDB735" w14:textId="77777777" w:rsidR="00E8617E" w:rsidRPr="00BC1A5E" w:rsidRDefault="00E8617E" w:rsidP="00E8617E">
      <w:pPr>
        <w:rPr>
          <w:rFonts w:ascii="Arial" w:hAnsi="Arial" w:cs="Arial"/>
          <w:sz w:val="18"/>
          <w:szCs w:val="18"/>
        </w:rPr>
      </w:pPr>
      <w:r w:rsidRPr="00BC1A5E">
        <w:rPr>
          <w:rFonts w:ascii="Arial" w:hAnsi="Arial" w:cs="Arial"/>
          <w:sz w:val="18"/>
          <w:szCs w:val="18"/>
        </w:rPr>
        <w:t xml:space="preserve">Източник: </w:t>
      </w:r>
      <w:r w:rsidR="00520B91" w:rsidRPr="00BC1A5E">
        <w:rPr>
          <w:rFonts w:ascii="Arial" w:hAnsi="Arial" w:cs="Arial"/>
          <w:sz w:val="18"/>
          <w:szCs w:val="18"/>
        </w:rPr>
        <w:t>Годишен доклад за изпълнение на ПРСР 2007-2013 за 2015 г.</w:t>
      </w:r>
    </w:p>
    <w:p w14:paraId="4BCA5A9F"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Програмата е одобрена през 2008 г., като основните разходи в първите години на изпълнение са свързани с доплащания към директните плащания, като техния</w:t>
      </w:r>
      <w:r w:rsidR="00CB25CF">
        <w:rPr>
          <w:sz w:val="22"/>
          <w:szCs w:val="22"/>
          <w:lang w:val="bg-BG"/>
        </w:rPr>
        <w:t>т</w:t>
      </w:r>
      <w:r w:rsidRPr="00BC513A">
        <w:rPr>
          <w:sz w:val="22"/>
          <w:szCs w:val="22"/>
          <w:lang w:val="bg-BG"/>
        </w:rPr>
        <w:t xml:space="preserve"> размер прогресивно намалява до края на периода. През същата година стартират и директни плащания по мерки 211 и 212 (ос 2).</w:t>
      </w:r>
    </w:p>
    <w:p w14:paraId="2D0374F5" w14:textId="3699796E"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По отношение на ос 1 се наблюдава по-равномерно извършване на плащания към бенефициенти, като най-голям е приносът на мерките 112, 121 и 123. В края на периода средства за финансов инженеринг (Гаранционен фонд) са намалени до </w:t>
      </w:r>
      <w:r w:rsidR="00CB25CF">
        <w:rPr>
          <w:sz w:val="22"/>
          <w:szCs w:val="22"/>
          <w:lang w:val="bg-BG"/>
        </w:rPr>
        <w:t xml:space="preserve">                        </w:t>
      </w:r>
      <w:r w:rsidRPr="00BC513A">
        <w:rPr>
          <w:sz w:val="22"/>
          <w:szCs w:val="22"/>
          <w:lang w:val="bg-BG"/>
        </w:rPr>
        <w:t>42 милиона евро.</w:t>
      </w:r>
    </w:p>
    <w:p w14:paraId="78AAA3C2"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При плащанията по ос 2 се наблюдава тенденция на постоянно нарастване през годините, като отчетеното намаление през 2015 г. спрямо 2014 г. се дължи до голяма степен на по-малкия останал ресурс по оста.</w:t>
      </w:r>
    </w:p>
    <w:p w14:paraId="455931A0" w14:textId="38D44050"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По ос 3 се отчитат два пика в извършените плащания – през 2012 г. и 2015 г. Тази тенденция се дължи на спецификата на бенефициентите и проектите. При по-голяма част от реализираните проектите по ос 3 доминира процентът на плащанията по т.нар. общински мерки (313, 321, 322). По тези мерки проектите са главно </w:t>
      </w:r>
      <w:r w:rsidRPr="00BC513A">
        <w:rPr>
          <w:sz w:val="22"/>
          <w:szCs w:val="22"/>
          <w:lang w:val="bg-BG"/>
        </w:rPr>
        <w:lastRenderedPageBreak/>
        <w:t>инфраструктурни, при които се прилагат правилата на ЗОП при избор на изпълнител, което отнема и по-голямо време за изпълнение.</w:t>
      </w:r>
    </w:p>
    <w:p w14:paraId="09D1B38D" w14:textId="2A630781"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След трудното начало по ос 4 плащанията по подхода ЛИДЕР нарастват значително и през 2015 г. са изплатени близо 50% от всички средства</w:t>
      </w:r>
      <w:r w:rsidR="00CB25CF">
        <w:rPr>
          <w:sz w:val="22"/>
          <w:szCs w:val="22"/>
          <w:lang w:val="bg-BG"/>
        </w:rPr>
        <w:t>,</w:t>
      </w:r>
      <w:r w:rsidRPr="00BC513A">
        <w:rPr>
          <w:sz w:val="22"/>
          <w:szCs w:val="22"/>
          <w:lang w:val="bg-BG"/>
        </w:rPr>
        <w:t xml:space="preserve"> предвидени в окончателния бюджет от оста.</w:t>
      </w:r>
    </w:p>
    <w:p w14:paraId="4CE1D554" w14:textId="77777777" w:rsidR="00E8617E" w:rsidRPr="00BC513A" w:rsidRDefault="00E8617E" w:rsidP="00E8617E">
      <w:pPr>
        <w:pStyle w:val="Heading3"/>
        <w:numPr>
          <w:ilvl w:val="2"/>
          <w:numId w:val="6"/>
        </w:numPr>
        <w:ind w:left="1560" w:hanging="709"/>
      </w:pPr>
      <w:bookmarkStart w:id="72" w:name="_Toc504136146"/>
      <w:r w:rsidRPr="00BC513A">
        <w:t>Финансови средства по мерки</w:t>
      </w:r>
      <w:bookmarkEnd w:id="72"/>
    </w:p>
    <w:p w14:paraId="0EC1DEB2" w14:textId="67B4596A"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 xml:space="preserve">В </w:t>
      </w:r>
      <w:r w:rsidR="00CB25CF">
        <w:rPr>
          <w:sz w:val="22"/>
          <w:szCs w:val="22"/>
          <w:lang w:val="bg-BG"/>
        </w:rPr>
        <w:t>т</w:t>
      </w:r>
      <w:r w:rsidRPr="00BC513A">
        <w:rPr>
          <w:sz w:val="22"/>
          <w:szCs w:val="22"/>
          <w:lang w:val="bg-BG"/>
        </w:rPr>
        <w:t>аблица 18 е представен първоначалния</w:t>
      </w:r>
      <w:r w:rsidR="00CB25CF">
        <w:rPr>
          <w:sz w:val="22"/>
          <w:szCs w:val="22"/>
          <w:lang w:val="bg-BG"/>
        </w:rPr>
        <w:t>т</w:t>
      </w:r>
      <w:r w:rsidRPr="00BC513A">
        <w:rPr>
          <w:sz w:val="22"/>
          <w:szCs w:val="22"/>
          <w:lang w:val="bg-BG"/>
        </w:rPr>
        <w:t xml:space="preserve"> и окончателния</w:t>
      </w:r>
      <w:r w:rsidR="00CB25CF">
        <w:rPr>
          <w:sz w:val="22"/>
          <w:szCs w:val="22"/>
          <w:lang w:val="bg-BG"/>
        </w:rPr>
        <w:t>т</w:t>
      </w:r>
      <w:r w:rsidRPr="00BC513A">
        <w:rPr>
          <w:sz w:val="22"/>
          <w:szCs w:val="22"/>
          <w:lang w:val="bg-BG"/>
        </w:rPr>
        <w:t xml:space="preserve"> бюджет на всяка мярка, залегнала в програмата. Коефициентът на съфинансиране посочва процента на ЕЗФРСР, който е включен в общия размер на публичните разходи. Действителните разходи, изразходвани като процент от окончателния бюджет, оценяват степента, до която мерките са изразходвали планираните публични средства.</w:t>
      </w:r>
    </w:p>
    <w:p w14:paraId="3E890AB6" w14:textId="77777777" w:rsidR="00E8617E" w:rsidRPr="00BC513A" w:rsidRDefault="00E8617E" w:rsidP="00E8617E">
      <w:pPr>
        <w:pStyle w:val="DefaultText"/>
        <w:spacing w:after="240" w:line="300" w:lineRule="atLeast"/>
        <w:ind w:firstLine="709"/>
        <w:rPr>
          <w:b/>
          <w:sz w:val="22"/>
          <w:szCs w:val="22"/>
          <w:lang w:val="bg-BG"/>
        </w:rPr>
      </w:pPr>
    </w:p>
    <w:p w14:paraId="2A6CBCDD" w14:textId="77777777" w:rsidR="00E8617E" w:rsidRPr="00BC513A" w:rsidRDefault="00E8617E" w:rsidP="00E8617E">
      <w:pPr>
        <w:pStyle w:val="DefaultText"/>
        <w:spacing w:after="240" w:line="300" w:lineRule="atLeast"/>
        <w:ind w:firstLine="709"/>
        <w:rPr>
          <w:b/>
          <w:sz w:val="22"/>
          <w:szCs w:val="22"/>
          <w:lang w:val="bg-BG"/>
        </w:rPr>
        <w:sectPr w:rsidR="00E8617E" w:rsidRPr="00BC513A" w:rsidSect="007D14C1">
          <w:footerReference w:type="default" r:id="rId32"/>
          <w:pgSz w:w="11906" w:h="16838" w:code="9"/>
          <w:pgMar w:top="1135" w:right="1418" w:bottom="1418" w:left="1418" w:header="709" w:footer="709" w:gutter="0"/>
          <w:cols w:space="708"/>
          <w:docGrid w:linePitch="360"/>
        </w:sectPr>
      </w:pPr>
    </w:p>
    <w:p w14:paraId="28962E79" w14:textId="77777777" w:rsidR="00E8617E" w:rsidRPr="00BC513A" w:rsidRDefault="00E8617E" w:rsidP="00E8617E">
      <w:pPr>
        <w:pStyle w:val="Caption"/>
        <w:keepNext/>
        <w:spacing w:before="120" w:after="120"/>
        <w:rPr>
          <w:rFonts w:ascii="Arial" w:hAnsi="Arial" w:cs="Arial"/>
        </w:rPr>
      </w:pPr>
      <w:bookmarkStart w:id="73" w:name="_Toc504136190"/>
      <w:r w:rsidRPr="00BC513A">
        <w:rPr>
          <w:rFonts w:ascii="Arial" w:hAnsi="Arial" w:cs="Arial"/>
          <w:b/>
          <w:i w:val="0"/>
          <w:color w:val="0070C0"/>
          <w:sz w:val="20"/>
          <w:szCs w:val="20"/>
        </w:rPr>
        <w:lastRenderedPageBreak/>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18</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xml:space="preserve"> Финансово разпределение и разходи по мярка (в евро и %)</w:t>
      </w:r>
      <w:bookmarkEnd w:id="73"/>
    </w:p>
    <w:tbl>
      <w:tblPr>
        <w:tblW w:w="15793" w:type="dxa"/>
        <w:tblInd w:w="-781" w:type="dxa"/>
        <w:tblCellMar>
          <w:left w:w="70" w:type="dxa"/>
          <w:right w:w="70" w:type="dxa"/>
        </w:tblCellMar>
        <w:tblLook w:val="04A0" w:firstRow="1" w:lastRow="0" w:firstColumn="1" w:lastColumn="0" w:noHBand="0" w:noVBand="1"/>
      </w:tblPr>
      <w:tblGrid>
        <w:gridCol w:w="900"/>
        <w:gridCol w:w="2944"/>
        <w:gridCol w:w="1596"/>
        <w:gridCol w:w="1560"/>
        <w:gridCol w:w="1697"/>
        <w:gridCol w:w="1563"/>
        <w:gridCol w:w="1843"/>
        <w:gridCol w:w="1701"/>
        <w:gridCol w:w="1989"/>
      </w:tblGrid>
      <w:tr w:rsidR="00E8617E" w:rsidRPr="00BC513A" w14:paraId="6B892E54" w14:textId="77777777" w:rsidTr="00D87D35">
        <w:trPr>
          <w:trHeight w:val="1020"/>
          <w:tblHeader/>
        </w:trPr>
        <w:tc>
          <w:tcPr>
            <w:tcW w:w="900" w:type="dxa"/>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248196AD"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Код на мярката</w:t>
            </w:r>
          </w:p>
        </w:tc>
        <w:tc>
          <w:tcPr>
            <w:tcW w:w="2944" w:type="dxa"/>
            <w:tcBorders>
              <w:top w:val="single" w:sz="4" w:space="0" w:color="auto"/>
              <w:left w:val="nil"/>
              <w:bottom w:val="single" w:sz="4" w:space="0" w:color="auto"/>
              <w:right w:val="single" w:sz="4" w:space="0" w:color="auto"/>
            </w:tcBorders>
            <w:shd w:val="clear" w:color="auto" w:fill="1F4E79" w:themeFill="accent1" w:themeFillShade="80"/>
            <w:noWrap/>
            <w:vAlign w:val="center"/>
            <w:hideMark/>
          </w:tcPr>
          <w:p w14:paraId="1A7E1F9A"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Наименование</w:t>
            </w:r>
          </w:p>
        </w:tc>
        <w:tc>
          <w:tcPr>
            <w:tcW w:w="1596"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738F059F"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Първоначален бюджет (публични разходи) с включен ЕПИВ</w:t>
            </w:r>
          </w:p>
        </w:tc>
        <w:tc>
          <w:tcPr>
            <w:tcW w:w="1560"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50D7AB2F"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Окончателен бюджет</w:t>
            </w:r>
          </w:p>
          <w:p w14:paraId="7CCEFED1"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(публични разходи)</w:t>
            </w:r>
          </w:p>
        </w:tc>
        <w:tc>
          <w:tcPr>
            <w:tcW w:w="1697"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2C12827A"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Действително извършени публични разходи</w:t>
            </w:r>
          </w:p>
        </w:tc>
        <w:tc>
          <w:tcPr>
            <w:tcW w:w="1563"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5D24412F"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Окончателния бюджет като част от първоначалния бюджет (%)</w:t>
            </w:r>
          </w:p>
        </w:tc>
        <w:tc>
          <w:tcPr>
            <w:tcW w:w="1843"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52E5911F"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Действително извършени разходи спрямо общата сума по оста (%)</w:t>
            </w:r>
          </w:p>
        </w:tc>
        <w:tc>
          <w:tcPr>
            <w:tcW w:w="1701"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BFD456D"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Съотношение на съфинансиране (%) към действителните разходи</w:t>
            </w:r>
          </w:p>
        </w:tc>
        <w:tc>
          <w:tcPr>
            <w:tcW w:w="1989"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E5D4768" w14:textId="77777777" w:rsidR="00E8617E" w:rsidRPr="00BC513A" w:rsidRDefault="00E8617E" w:rsidP="00922731">
            <w:pPr>
              <w:jc w:val="center"/>
              <w:rPr>
                <w:rFonts w:ascii="Arial" w:hAnsi="Arial" w:cs="Arial"/>
                <w:b/>
                <w:color w:val="FFFFFF" w:themeColor="background1"/>
                <w:sz w:val="18"/>
                <w:szCs w:val="18"/>
                <w:lang w:eastAsia="bg-BG"/>
              </w:rPr>
            </w:pPr>
            <w:r w:rsidRPr="00BC513A">
              <w:rPr>
                <w:rFonts w:ascii="Arial" w:hAnsi="Arial" w:cs="Arial"/>
                <w:b/>
                <w:color w:val="FFFFFF" w:themeColor="background1"/>
                <w:sz w:val="18"/>
                <w:szCs w:val="18"/>
                <w:lang w:eastAsia="bg-BG"/>
              </w:rPr>
              <w:t>Действителни изразходвани публични средства спрямо финалния бюджет (%)</w:t>
            </w:r>
          </w:p>
        </w:tc>
      </w:tr>
      <w:tr w:rsidR="00E8617E" w:rsidRPr="00BC513A" w14:paraId="476020CB" w14:textId="77777777" w:rsidTr="00D87D35">
        <w:trPr>
          <w:trHeight w:val="120"/>
        </w:trPr>
        <w:tc>
          <w:tcPr>
            <w:tcW w:w="15793" w:type="dxa"/>
            <w:gridSpan w:val="9"/>
            <w:tcBorders>
              <w:top w:val="nil"/>
              <w:left w:val="single" w:sz="4" w:space="0" w:color="auto"/>
              <w:bottom w:val="single" w:sz="4" w:space="0" w:color="auto"/>
              <w:right w:val="single" w:sz="4" w:space="0" w:color="auto"/>
            </w:tcBorders>
            <w:shd w:val="clear" w:color="auto" w:fill="auto"/>
            <w:vAlign w:val="center"/>
            <w:hideMark/>
          </w:tcPr>
          <w:p w14:paraId="08C34CA6"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513A" w14:paraId="271432A4" w14:textId="77777777" w:rsidTr="00D87D35">
        <w:trPr>
          <w:trHeight w:val="76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4DD6F731"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111</w:t>
            </w:r>
          </w:p>
        </w:tc>
        <w:tc>
          <w:tcPr>
            <w:tcW w:w="2944" w:type="dxa"/>
            <w:tcBorders>
              <w:top w:val="nil"/>
              <w:left w:val="nil"/>
              <w:bottom w:val="single" w:sz="4" w:space="0" w:color="auto"/>
              <w:right w:val="single" w:sz="4" w:space="0" w:color="auto"/>
            </w:tcBorders>
            <w:shd w:val="clear" w:color="auto" w:fill="auto"/>
            <w:vAlign w:val="center"/>
            <w:hideMark/>
          </w:tcPr>
          <w:p w14:paraId="4AD5FEC6"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Професионално обучение, информационни дейности и разпространяване на научни знания</w:t>
            </w:r>
          </w:p>
        </w:tc>
        <w:tc>
          <w:tcPr>
            <w:tcW w:w="1596" w:type="dxa"/>
            <w:tcBorders>
              <w:top w:val="nil"/>
              <w:left w:val="nil"/>
              <w:bottom w:val="single" w:sz="4" w:space="0" w:color="auto"/>
              <w:right w:val="single" w:sz="4" w:space="0" w:color="auto"/>
            </w:tcBorders>
            <w:shd w:val="clear" w:color="auto" w:fill="auto"/>
            <w:noWrap/>
            <w:vAlign w:val="center"/>
            <w:hideMark/>
          </w:tcPr>
          <w:p w14:paraId="0E9BC1F5" w14:textId="77777777" w:rsidR="00E8617E" w:rsidRPr="00BC513A" w:rsidRDefault="00322CD4" w:rsidP="00322CD4">
            <w:pPr>
              <w:jc w:val="center"/>
              <w:rPr>
                <w:rFonts w:ascii="Arial" w:hAnsi="Arial" w:cs="Arial"/>
                <w:color w:val="000000"/>
                <w:sz w:val="18"/>
                <w:szCs w:val="18"/>
                <w:lang w:eastAsia="bg-BG"/>
              </w:rPr>
            </w:pPr>
            <w:r>
              <w:rPr>
                <w:rFonts w:ascii="Arial" w:hAnsi="Arial" w:cs="Arial"/>
                <w:color w:val="000000"/>
                <w:sz w:val="18"/>
                <w:szCs w:val="18"/>
              </w:rPr>
              <w:t>42 073 689</w:t>
            </w:r>
          </w:p>
        </w:tc>
        <w:tc>
          <w:tcPr>
            <w:tcW w:w="1560" w:type="dxa"/>
            <w:tcBorders>
              <w:top w:val="nil"/>
              <w:left w:val="nil"/>
              <w:bottom w:val="single" w:sz="4" w:space="0" w:color="auto"/>
              <w:right w:val="single" w:sz="4" w:space="0" w:color="auto"/>
            </w:tcBorders>
            <w:shd w:val="clear" w:color="auto" w:fill="auto"/>
            <w:noWrap/>
            <w:vAlign w:val="center"/>
            <w:hideMark/>
          </w:tcPr>
          <w:p w14:paraId="086C872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rPr>
              <w:t>9 280 000</w:t>
            </w:r>
          </w:p>
        </w:tc>
        <w:tc>
          <w:tcPr>
            <w:tcW w:w="1697" w:type="dxa"/>
            <w:tcBorders>
              <w:top w:val="nil"/>
              <w:left w:val="nil"/>
              <w:bottom w:val="single" w:sz="4" w:space="0" w:color="auto"/>
              <w:right w:val="single" w:sz="4" w:space="0" w:color="auto"/>
            </w:tcBorders>
            <w:shd w:val="clear" w:color="auto" w:fill="auto"/>
            <w:noWrap/>
            <w:vAlign w:val="center"/>
            <w:hideMark/>
          </w:tcPr>
          <w:p w14:paraId="468ACBD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rPr>
              <w:t>9 160 832</w:t>
            </w:r>
          </w:p>
        </w:tc>
        <w:tc>
          <w:tcPr>
            <w:tcW w:w="1563" w:type="dxa"/>
            <w:tcBorders>
              <w:top w:val="nil"/>
              <w:left w:val="nil"/>
              <w:bottom w:val="single" w:sz="4" w:space="0" w:color="auto"/>
              <w:right w:val="single" w:sz="4" w:space="0" w:color="auto"/>
            </w:tcBorders>
            <w:shd w:val="clear" w:color="auto" w:fill="auto"/>
            <w:noWrap/>
            <w:vAlign w:val="center"/>
            <w:hideMark/>
          </w:tcPr>
          <w:p w14:paraId="55BC13E2" w14:textId="77777777" w:rsidR="00E8617E" w:rsidRPr="00BC513A" w:rsidRDefault="00322CD4" w:rsidP="00922731">
            <w:pPr>
              <w:spacing w:after="0"/>
              <w:jc w:val="center"/>
              <w:rPr>
                <w:rFonts w:ascii="Arial" w:hAnsi="Arial" w:cs="Arial"/>
                <w:color w:val="000000"/>
                <w:sz w:val="18"/>
                <w:szCs w:val="18"/>
                <w:lang w:eastAsia="bg-BG"/>
              </w:rPr>
            </w:pPr>
            <w:r>
              <w:rPr>
                <w:rFonts w:ascii="Arial" w:hAnsi="Arial" w:cs="Arial"/>
                <w:color w:val="000000"/>
                <w:sz w:val="18"/>
                <w:szCs w:val="18"/>
                <w:lang w:val="en-US"/>
              </w:rPr>
              <w:t>22,06</w:t>
            </w:r>
            <w:r w:rsidR="00E8617E" w:rsidRPr="00BC513A">
              <w:rPr>
                <w:rFonts w:ascii="Arial" w:hAnsi="Arial" w:cs="Arial"/>
                <w:color w:val="000000"/>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B53B83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rPr>
              <w:t>0,99%</w:t>
            </w:r>
          </w:p>
        </w:tc>
        <w:tc>
          <w:tcPr>
            <w:tcW w:w="1701" w:type="dxa"/>
            <w:tcBorders>
              <w:top w:val="nil"/>
              <w:left w:val="nil"/>
              <w:bottom w:val="single" w:sz="4" w:space="0" w:color="auto"/>
              <w:right w:val="single" w:sz="4" w:space="0" w:color="auto"/>
            </w:tcBorders>
            <w:shd w:val="clear" w:color="auto" w:fill="auto"/>
            <w:noWrap/>
            <w:vAlign w:val="center"/>
            <w:hideMark/>
          </w:tcPr>
          <w:p w14:paraId="45CE09A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0C54AA4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rPr>
              <w:t>98,72%</w:t>
            </w:r>
          </w:p>
        </w:tc>
      </w:tr>
      <w:tr w:rsidR="00E8617E" w:rsidRPr="00BC513A" w14:paraId="34454124"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4CE78BCE"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112</w:t>
            </w:r>
          </w:p>
        </w:tc>
        <w:tc>
          <w:tcPr>
            <w:tcW w:w="29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B2996"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Създаване на стопанства на млади фермери</w:t>
            </w:r>
          </w:p>
        </w:tc>
        <w:tc>
          <w:tcPr>
            <w:tcW w:w="1596" w:type="dxa"/>
            <w:tcBorders>
              <w:top w:val="nil"/>
              <w:left w:val="single" w:sz="4" w:space="0" w:color="auto"/>
              <w:bottom w:val="single" w:sz="4" w:space="0" w:color="auto"/>
              <w:right w:val="single" w:sz="4" w:space="0" w:color="auto"/>
            </w:tcBorders>
            <w:shd w:val="clear" w:color="auto" w:fill="auto"/>
            <w:noWrap/>
            <w:vAlign w:val="center"/>
            <w:hideMark/>
          </w:tcPr>
          <w:p w14:paraId="7DA751D4"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102 316 689</w:t>
            </w:r>
          </w:p>
        </w:tc>
        <w:tc>
          <w:tcPr>
            <w:tcW w:w="1560" w:type="dxa"/>
            <w:tcBorders>
              <w:top w:val="nil"/>
              <w:left w:val="nil"/>
              <w:bottom w:val="single" w:sz="4" w:space="0" w:color="auto"/>
              <w:right w:val="single" w:sz="4" w:space="0" w:color="auto"/>
            </w:tcBorders>
            <w:shd w:val="clear" w:color="auto" w:fill="auto"/>
            <w:vAlign w:val="center"/>
            <w:hideMark/>
          </w:tcPr>
          <w:p w14:paraId="16FB3944"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118 875 000</w:t>
            </w:r>
          </w:p>
        </w:tc>
        <w:tc>
          <w:tcPr>
            <w:tcW w:w="1697" w:type="dxa"/>
            <w:tcBorders>
              <w:top w:val="nil"/>
              <w:left w:val="nil"/>
              <w:bottom w:val="single" w:sz="4" w:space="0" w:color="auto"/>
              <w:right w:val="single" w:sz="4" w:space="0" w:color="auto"/>
            </w:tcBorders>
            <w:shd w:val="clear" w:color="auto" w:fill="auto"/>
            <w:noWrap/>
            <w:vAlign w:val="center"/>
            <w:hideMark/>
          </w:tcPr>
          <w:p w14:paraId="3ED093EF"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115 510 208</w:t>
            </w:r>
          </w:p>
        </w:tc>
        <w:tc>
          <w:tcPr>
            <w:tcW w:w="1563" w:type="dxa"/>
            <w:tcBorders>
              <w:top w:val="nil"/>
              <w:left w:val="nil"/>
              <w:bottom w:val="single" w:sz="4" w:space="0" w:color="auto"/>
              <w:right w:val="single" w:sz="4" w:space="0" w:color="auto"/>
            </w:tcBorders>
            <w:shd w:val="clear" w:color="auto" w:fill="auto"/>
            <w:noWrap/>
            <w:vAlign w:val="center"/>
            <w:hideMark/>
          </w:tcPr>
          <w:p w14:paraId="62C8146F"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116,18%</w:t>
            </w:r>
          </w:p>
        </w:tc>
        <w:tc>
          <w:tcPr>
            <w:tcW w:w="1843" w:type="dxa"/>
            <w:tcBorders>
              <w:top w:val="nil"/>
              <w:left w:val="nil"/>
              <w:bottom w:val="single" w:sz="4" w:space="0" w:color="auto"/>
              <w:right w:val="single" w:sz="4" w:space="0" w:color="auto"/>
            </w:tcBorders>
            <w:shd w:val="clear" w:color="auto" w:fill="auto"/>
            <w:noWrap/>
            <w:vAlign w:val="center"/>
            <w:hideMark/>
          </w:tcPr>
          <w:p w14:paraId="30C4D3A5"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12,49%</w:t>
            </w:r>
          </w:p>
        </w:tc>
        <w:tc>
          <w:tcPr>
            <w:tcW w:w="1701" w:type="dxa"/>
            <w:tcBorders>
              <w:top w:val="nil"/>
              <w:left w:val="nil"/>
              <w:bottom w:val="single" w:sz="4" w:space="0" w:color="auto"/>
              <w:right w:val="single" w:sz="4" w:space="0" w:color="auto"/>
            </w:tcBorders>
            <w:shd w:val="clear" w:color="auto" w:fill="auto"/>
            <w:noWrap/>
            <w:vAlign w:val="center"/>
            <w:hideMark/>
          </w:tcPr>
          <w:p w14:paraId="09F83B4F"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1307FB6D"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97,17%</w:t>
            </w:r>
          </w:p>
        </w:tc>
      </w:tr>
      <w:tr w:rsidR="00E8617E" w:rsidRPr="00BC513A" w14:paraId="5714CF43" w14:textId="77777777" w:rsidTr="00D87D35">
        <w:trPr>
          <w:trHeight w:val="76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5FE0D2ED"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114</w:t>
            </w:r>
          </w:p>
        </w:tc>
        <w:tc>
          <w:tcPr>
            <w:tcW w:w="2944" w:type="dxa"/>
            <w:tcBorders>
              <w:top w:val="nil"/>
              <w:left w:val="single" w:sz="4" w:space="0" w:color="auto"/>
              <w:bottom w:val="single" w:sz="4" w:space="0" w:color="auto"/>
              <w:right w:val="single" w:sz="4" w:space="0" w:color="auto"/>
            </w:tcBorders>
            <w:shd w:val="clear" w:color="auto" w:fill="auto"/>
            <w:vAlign w:val="center"/>
            <w:hideMark/>
          </w:tcPr>
          <w:p w14:paraId="4F08A790"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Използване на консултантски услуги от фермери и собственици и/или ползватели на гори</w:t>
            </w:r>
          </w:p>
        </w:tc>
        <w:tc>
          <w:tcPr>
            <w:tcW w:w="1596" w:type="dxa"/>
            <w:tcBorders>
              <w:top w:val="nil"/>
              <w:left w:val="single" w:sz="4" w:space="0" w:color="auto"/>
              <w:bottom w:val="single" w:sz="4" w:space="0" w:color="auto"/>
              <w:right w:val="single" w:sz="4" w:space="0" w:color="auto"/>
            </w:tcBorders>
            <w:shd w:val="clear" w:color="auto" w:fill="auto"/>
            <w:noWrap/>
            <w:vAlign w:val="center"/>
            <w:hideMark/>
          </w:tcPr>
          <w:p w14:paraId="1A111482" w14:textId="77777777" w:rsidR="00E8617E" w:rsidRPr="00BC513A" w:rsidRDefault="001670F2" w:rsidP="00176810">
            <w:pPr>
              <w:spacing w:after="0"/>
              <w:jc w:val="center"/>
              <w:rPr>
                <w:rFonts w:ascii="Arial" w:hAnsi="Arial" w:cs="Arial"/>
                <w:color w:val="000000"/>
                <w:sz w:val="18"/>
                <w:szCs w:val="18"/>
              </w:rPr>
            </w:pPr>
            <w:r>
              <w:rPr>
                <w:rFonts w:ascii="Arial" w:hAnsi="Arial" w:cs="Arial"/>
                <w:color w:val="000000"/>
                <w:sz w:val="18"/>
                <w:szCs w:val="18"/>
              </w:rPr>
              <w:t>36 146 000</w:t>
            </w:r>
          </w:p>
        </w:tc>
        <w:tc>
          <w:tcPr>
            <w:tcW w:w="1560" w:type="dxa"/>
            <w:tcBorders>
              <w:top w:val="nil"/>
              <w:left w:val="nil"/>
              <w:bottom w:val="single" w:sz="4" w:space="0" w:color="auto"/>
              <w:right w:val="single" w:sz="4" w:space="0" w:color="auto"/>
            </w:tcBorders>
            <w:shd w:val="clear" w:color="auto" w:fill="auto"/>
            <w:vAlign w:val="center"/>
            <w:hideMark/>
          </w:tcPr>
          <w:p w14:paraId="1C4C86D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101 250</w:t>
            </w:r>
          </w:p>
        </w:tc>
        <w:tc>
          <w:tcPr>
            <w:tcW w:w="1697" w:type="dxa"/>
            <w:tcBorders>
              <w:top w:val="nil"/>
              <w:left w:val="nil"/>
              <w:bottom w:val="single" w:sz="4" w:space="0" w:color="auto"/>
              <w:right w:val="single" w:sz="4" w:space="0" w:color="auto"/>
            </w:tcBorders>
            <w:shd w:val="clear" w:color="auto" w:fill="auto"/>
            <w:noWrap/>
            <w:vAlign w:val="center"/>
            <w:hideMark/>
          </w:tcPr>
          <w:p w14:paraId="3EDE724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37 338</w:t>
            </w:r>
          </w:p>
        </w:tc>
        <w:tc>
          <w:tcPr>
            <w:tcW w:w="1563" w:type="dxa"/>
            <w:tcBorders>
              <w:top w:val="nil"/>
              <w:left w:val="nil"/>
              <w:bottom w:val="single" w:sz="4" w:space="0" w:color="auto"/>
              <w:right w:val="single" w:sz="4" w:space="0" w:color="auto"/>
            </w:tcBorders>
            <w:shd w:val="clear" w:color="auto" w:fill="auto"/>
            <w:noWrap/>
            <w:vAlign w:val="center"/>
            <w:hideMark/>
          </w:tcPr>
          <w:p w14:paraId="76D2C4CA" w14:textId="77777777" w:rsidR="00E8617E" w:rsidRPr="00BC513A" w:rsidRDefault="00322CD4" w:rsidP="00922731">
            <w:pPr>
              <w:spacing w:after="0"/>
              <w:jc w:val="center"/>
              <w:rPr>
                <w:rFonts w:ascii="Arial" w:hAnsi="Arial" w:cs="Arial"/>
                <w:color w:val="000000"/>
                <w:sz w:val="18"/>
                <w:szCs w:val="18"/>
                <w:lang w:eastAsia="bg-BG"/>
              </w:rPr>
            </w:pPr>
            <w:r>
              <w:rPr>
                <w:rFonts w:ascii="Arial" w:hAnsi="Arial" w:cs="Arial"/>
                <w:color w:val="000000"/>
                <w:sz w:val="18"/>
                <w:szCs w:val="18"/>
                <w:lang w:val="en-US" w:eastAsia="bg-BG"/>
              </w:rPr>
              <w:t>0,28</w:t>
            </w:r>
            <w:r w:rsidR="00BC1A5E">
              <w:rPr>
                <w:rFonts w:ascii="Arial" w:hAnsi="Arial" w:cs="Arial"/>
                <w:color w:val="000000"/>
                <w:sz w:val="18"/>
                <w:szCs w:val="18"/>
                <w:lang w:eastAsia="bg-BG"/>
              </w:rPr>
              <w:t>%</w:t>
            </w:r>
          </w:p>
        </w:tc>
        <w:tc>
          <w:tcPr>
            <w:tcW w:w="1843" w:type="dxa"/>
            <w:tcBorders>
              <w:top w:val="nil"/>
              <w:left w:val="nil"/>
              <w:bottom w:val="single" w:sz="4" w:space="0" w:color="auto"/>
              <w:right w:val="single" w:sz="4" w:space="0" w:color="auto"/>
            </w:tcBorders>
            <w:shd w:val="clear" w:color="auto" w:fill="auto"/>
            <w:noWrap/>
            <w:vAlign w:val="center"/>
            <w:hideMark/>
          </w:tcPr>
          <w:p w14:paraId="0ED45FAA"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0,00%</w:t>
            </w:r>
          </w:p>
        </w:tc>
        <w:tc>
          <w:tcPr>
            <w:tcW w:w="1701" w:type="dxa"/>
            <w:tcBorders>
              <w:top w:val="nil"/>
              <w:left w:val="nil"/>
              <w:bottom w:val="single" w:sz="4" w:space="0" w:color="auto"/>
              <w:right w:val="single" w:sz="4" w:space="0" w:color="auto"/>
            </w:tcBorders>
            <w:shd w:val="clear" w:color="auto" w:fill="auto"/>
            <w:noWrap/>
            <w:vAlign w:val="center"/>
            <w:hideMark/>
          </w:tcPr>
          <w:p w14:paraId="0466ADFD"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722D835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36,88%</w:t>
            </w:r>
          </w:p>
        </w:tc>
      </w:tr>
      <w:tr w:rsidR="00E8617E" w:rsidRPr="00BC513A" w14:paraId="377DF064"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546026C3"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121</w:t>
            </w:r>
          </w:p>
        </w:tc>
        <w:tc>
          <w:tcPr>
            <w:tcW w:w="2944" w:type="dxa"/>
            <w:tcBorders>
              <w:top w:val="nil"/>
              <w:left w:val="single" w:sz="4" w:space="0" w:color="auto"/>
              <w:bottom w:val="single" w:sz="4" w:space="0" w:color="auto"/>
              <w:right w:val="single" w:sz="4" w:space="0" w:color="auto"/>
            </w:tcBorders>
            <w:shd w:val="clear" w:color="auto" w:fill="auto"/>
            <w:vAlign w:val="center"/>
            <w:hideMark/>
          </w:tcPr>
          <w:p w14:paraId="07BBF67D"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Модернизиране на земеделските стопанства</w:t>
            </w:r>
          </w:p>
        </w:tc>
        <w:tc>
          <w:tcPr>
            <w:tcW w:w="1596" w:type="dxa"/>
            <w:tcBorders>
              <w:top w:val="nil"/>
              <w:left w:val="single" w:sz="4" w:space="0" w:color="auto"/>
              <w:bottom w:val="single" w:sz="4" w:space="0" w:color="auto"/>
              <w:right w:val="single" w:sz="4" w:space="0" w:color="auto"/>
            </w:tcBorders>
            <w:shd w:val="clear" w:color="auto" w:fill="auto"/>
            <w:noWrap/>
            <w:vAlign w:val="center"/>
            <w:hideMark/>
          </w:tcPr>
          <w:p w14:paraId="50EBBF40" w14:textId="77777777" w:rsidR="00E8617E" w:rsidRPr="00BC513A" w:rsidRDefault="003E1B15" w:rsidP="003E1B15">
            <w:pPr>
              <w:spacing w:after="0"/>
              <w:jc w:val="center"/>
              <w:rPr>
                <w:rFonts w:ascii="Arial" w:hAnsi="Arial" w:cs="Arial"/>
                <w:color w:val="000000"/>
                <w:sz w:val="18"/>
                <w:szCs w:val="18"/>
              </w:rPr>
            </w:pPr>
            <w:r>
              <w:rPr>
                <w:rFonts w:ascii="Arial" w:hAnsi="Arial" w:cs="Arial"/>
                <w:color w:val="000000"/>
                <w:sz w:val="18"/>
                <w:szCs w:val="18"/>
              </w:rPr>
              <w:t>477 230 517</w:t>
            </w:r>
          </w:p>
        </w:tc>
        <w:tc>
          <w:tcPr>
            <w:tcW w:w="1560" w:type="dxa"/>
            <w:tcBorders>
              <w:top w:val="nil"/>
              <w:left w:val="nil"/>
              <w:bottom w:val="single" w:sz="4" w:space="0" w:color="auto"/>
              <w:right w:val="single" w:sz="4" w:space="0" w:color="auto"/>
            </w:tcBorders>
            <w:shd w:val="clear" w:color="auto" w:fill="auto"/>
            <w:vAlign w:val="center"/>
            <w:hideMark/>
          </w:tcPr>
          <w:p w14:paraId="7F14C9AC"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540 831 853</w:t>
            </w:r>
          </w:p>
        </w:tc>
        <w:tc>
          <w:tcPr>
            <w:tcW w:w="1697" w:type="dxa"/>
            <w:tcBorders>
              <w:top w:val="nil"/>
              <w:left w:val="nil"/>
              <w:bottom w:val="single" w:sz="4" w:space="0" w:color="auto"/>
              <w:right w:val="single" w:sz="4" w:space="0" w:color="auto"/>
            </w:tcBorders>
            <w:shd w:val="clear" w:color="auto" w:fill="auto"/>
            <w:vAlign w:val="center"/>
            <w:hideMark/>
          </w:tcPr>
          <w:p w14:paraId="5B89BA01"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537 824 106</w:t>
            </w:r>
          </w:p>
        </w:tc>
        <w:tc>
          <w:tcPr>
            <w:tcW w:w="1563" w:type="dxa"/>
            <w:tcBorders>
              <w:top w:val="nil"/>
              <w:left w:val="nil"/>
              <w:bottom w:val="single" w:sz="4" w:space="0" w:color="auto"/>
              <w:right w:val="single" w:sz="4" w:space="0" w:color="auto"/>
            </w:tcBorders>
            <w:shd w:val="clear" w:color="auto" w:fill="auto"/>
            <w:noWrap/>
            <w:vAlign w:val="center"/>
            <w:hideMark/>
          </w:tcPr>
          <w:p w14:paraId="4DB18F34" w14:textId="77777777" w:rsidR="00E8617E" w:rsidRPr="00BC513A" w:rsidRDefault="003E1B15" w:rsidP="00922731">
            <w:pPr>
              <w:spacing w:after="0"/>
              <w:jc w:val="center"/>
              <w:rPr>
                <w:rFonts w:ascii="Arial" w:hAnsi="Arial" w:cs="Arial"/>
                <w:color w:val="000000"/>
                <w:sz w:val="18"/>
                <w:szCs w:val="18"/>
              </w:rPr>
            </w:pPr>
            <w:r>
              <w:rPr>
                <w:rFonts w:ascii="Arial" w:hAnsi="Arial" w:cs="Arial"/>
                <w:color w:val="000000"/>
                <w:sz w:val="18"/>
                <w:szCs w:val="18"/>
                <w:lang w:val="en-US"/>
              </w:rPr>
              <w:t>113,33</w:t>
            </w:r>
            <w:r w:rsidR="00E8617E" w:rsidRPr="00BC513A">
              <w:rPr>
                <w:rFonts w:ascii="Arial" w:hAnsi="Arial" w:cs="Arial"/>
                <w:color w:val="000000"/>
                <w:sz w:val="18"/>
                <w:szCs w:val="18"/>
              </w:rPr>
              <w:t>%</w:t>
            </w:r>
          </w:p>
        </w:tc>
        <w:tc>
          <w:tcPr>
            <w:tcW w:w="1843" w:type="dxa"/>
            <w:tcBorders>
              <w:top w:val="nil"/>
              <w:left w:val="nil"/>
              <w:bottom w:val="single" w:sz="4" w:space="0" w:color="auto"/>
              <w:right w:val="single" w:sz="4" w:space="0" w:color="auto"/>
            </w:tcBorders>
            <w:shd w:val="clear" w:color="auto" w:fill="auto"/>
            <w:noWrap/>
            <w:vAlign w:val="center"/>
            <w:hideMark/>
          </w:tcPr>
          <w:p w14:paraId="2FCFABBD"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58,15%</w:t>
            </w:r>
          </w:p>
        </w:tc>
        <w:tc>
          <w:tcPr>
            <w:tcW w:w="1701" w:type="dxa"/>
            <w:tcBorders>
              <w:top w:val="nil"/>
              <w:left w:val="nil"/>
              <w:bottom w:val="single" w:sz="4" w:space="0" w:color="auto"/>
              <w:right w:val="single" w:sz="4" w:space="0" w:color="auto"/>
            </w:tcBorders>
            <w:shd w:val="clear" w:color="auto" w:fill="auto"/>
            <w:noWrap/>
            <w:vAlign w:val="center"/>
            <w:hideMark/>
          </w:tcPr>
          <w:p w14:paraId="4CFC3013"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80,05%</w:t>
            </w:r>
          </w:p>
        </w:tc>
        <w:tc>
          <w:tcPr>
            <w:tcW w:w="1989" w:type="dxa"/>
            <w:tcBorders>
              <w:top w:val="nil"/>
              <w:left w:val="nil"/>
              <w:bottom w:val="single" w:sz="4" w:space="0" w:color="auto"/>
              <w:right w:val="single" w:sz="4" w:space="0" w:color="auto"/>
            </w:tcBorders>
            <w:shd w:val="clear" w:color="auto" w:fill="auto"/>
            <w:noWrap/>
            <w:vAlign w:val="center"/>
            <w:hideMark/>
          </w:tcPr>
          <w:p w14:paraId="01CD2E82"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99,44%</w:t>
            </w:r>
          </w:p>
        </w:tc>
      </w:tr>
      <w:tr w:rsidR="00E8617E" w:rsidRPr="00BC513A" w14:paraId="30F4854C"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757C0AE3"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122</w:t>
            </w:r>
          </w:p>
        </w:tc>
        <w:tc>
          <w:tcPr>
            <w:tcW w:w="2944" w:type="dxa"/>
            <w:tcBorders>
              <w:top w:val="nil"/>
              <w:left w:val="single" w:sz="4" w:space="0" w:color="auto"/>
              <w:bottom w:val="single" w:sz="4" w:space="0" w:color="auto"/>
              <w:right w:val="single" w:sz="4" w:space="0" w:color="auto"/>
            </w:tcBorders>
            <w:shd w:val="clear" w:color="auto" w:fill="auto"/>
            <w:vAlign w:val="center"/>
            <w:hideMark/>
          </w:tcPr>
          <w:p w14:paraId="32BAA026"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Подобряване на икономическата стойност на горите</w:t>
            </w:r>
          </w:p>
        </w:tc>
        <w:tc>
          <w:tcPr>
            <w:tcW w:w="1596" w:type="dxa"/>
            <w:tcBorders>
              <w:top w:val="nil"/>
              <w:left w:val="single" w:sz="4" w:space="0" w:color="auto"/>
              <w:bottom w:val="single" w:sz="4" w:space="0" w:color="auto"/>
              <w:right w:val="single" w:sz="4" w:space="0" w:color="auto"/>
            </w:tcBorders>
            <w:shd w:val="clear" w:color="auto" w:fill="auto"/>
            <w:noWrap/>
            <w:vAlign w:val="center"/>
            <w:hideMark/>
          </w:tcPr>
          <w:p w14:paraId="3C9EAB0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rPr>
              <w:t>24 074 515</w:t>
            </w:r>
          </w:p>
        </w:tc>
        <w:tc>
          <w:tcPr>
            <w:tcW w:w="1560" w:type="dxa"/>
            <w:tcBorders>
              <w:top w:val="nil"/>
              <w:left w:val="nil"/>
              <w:bottom w:val="single" w:sz="4" w:space="0" w:color="auto"/>
              <w:right w:val="single" w:sz="4" w:space="0" w:color="auto"/>
            </w:tcBorders>
            <w:shd w:val="clear" w:color="auto" w:fill="auto"/>
            <w:vAlign w:val="center"/>
            <w:hideMark/>
          </w:tcPr>
          <w:p w14:paraId="2E14ABA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sz w:val="18"/>
                <w:szCs w:val="18"/>
              </w:rPr>
              <w:t>556 250</w:t>
            </w:r>
          </w:p>
        </w:tc>
        <w:tc>
          <w:tcPr>
            <w:tcW w:w="1697" w:type="dxa"/>
            <w:tcBorders>
              <w:top w:val="nil"/>
              <w:left w:val="nil"/>
              <w:bottom w:val="single" w:sz="4" w:space="0" w:color="auto"/>
              <w:right w:val="single" w:sz="4" w:space="0" w:color="auto"/>
            </w:tcBorders>
            <w:shd w:val="clear" w:color="auto" w:fill="auto"/>
            <w:vAlign w:val="center"/>
            <w:hideMark/>
          </w:tcPr>
          <w:p w14:paraId="6A09D34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sz w:val="18"/>
                <w:szCs w:val="18"/>
              </w:rPr>
              <w:t>531 357</w:t>
            </w:r>
          </w:p>
        </w:tc>
        <w:tc>
          <w:tcPr>
            <w:tcW w:w="1563" w:type="dxa"/>
            <w:tcBorders>
              <w:top w:val="nil"/>
              <w:left w:val="nil"/>
              <w:bottom w:val="single" w:sz="4" w:space="0" w:color="auto"/>
              <w:right w:val="single" w:sz="4" w:space="0" w:color="auto"/>
            </w:tcBorders>
            <w:shd w:val="clear" w:color="auto" w:fill="auto"/>
            <w:noWrap/>
            <w:vAlign w:val="center"/>
            <w:hideMark/>
          </w:tcPr>
          <w:p w14:paraId="15FBFC3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rPr>
              <w:t>2,31%</w:t>
            </w:r>
          </w:p>
        </w:tc>
        <w:tc>
          <w:tcPr>
            <w:tcW w:w="1843" w:type="dxa"/>
            <w:tcBorders>
              <w:top w:val="nil"/>
              <w:left w:val="nil"/>
              <w:bottom w:val="single" w:sz="4" w:space="0" w:color="auto"/>
              <w:right w:val="single" w:sz="4" w:space="0" w:color="auto"/>
            </w:tcBorders>
            <w:shd w:val="clear" w:color="auto" w:fill="auto"/>
            <w:noWrap/>
            <w:vAlign w:val="center"/>
            <w:hideMark/>
          </w:tcPr>
          <w:p w14:paraId="7F071873"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rPr>
              <w:t>0,06%</w:t>
            </w:r>
          </w:p>
        </w:tc>
        <w:tc>
          <w:tcPr>
            <w:tcW w:w="1701" w:type="dxa"/>
            <w:tcBorders>
              <w:top w:val="nil"/>
              <w:left w:val="nil"/>
              <w:bottom w:val="single" w:sz="4" w:space="0" w:color="auto"/>
              <w:right w:val="single" w:sz="4" w:space="0" w:color="auto"/>
            </w:tcBorders>
            <w:shd w:val="clear" w:color="auto" w:fill="auto"/>
            <w:noWrap/>
            <w:vAlign w:val="center"/>
            <w:hideMark/>
          </w:tcPr>
          <w:p w14:paraId="4E41F182"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52DADA4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rPr>
              <w:t>95,52%</w:t>
            </w:r>
          </w:p>
        </w:tc>
      </w:tr>
      <w:tr w:rsidR="00E8617E" w:rsidRPr="00BC513A" w14:paraId="33DBF393"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2FAA9498"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123</w:t>
            </w:r>
          </w:p>
        </w:tc>
        <w:tc>
          <w:tcPr>
            <w:tcW w:w="2944" w:type="dxa"/>
            <w:tcBorders>
              <w:top w:val="nil"/>
              <w:left w:val="single" w:sz="4" w:space="0" w:color="auto"/>
              <w:bottom w:val="single" w:sz="4" w:space="0" w:color="auto"/>
              <w:right w:val="single" w:sz="4" w:space="0" w:color="auto"/>
            </w:tcBorders>
            <w:shd w:val="clear" w:color="auto" w:fill="auto"/>
            <w:vAlign w:val="center"/>
            <w:hideMark/>
          </w:tcPr>
          <w:p w14:paraId="3E1358D8"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Добавяне на стойност към земеделски и горски продукти</w:t>
            </w:r>
          </w:p>
        </w:tc>
        <w:tc>
          <w:tcPr>
            <w:tcW w:w="1596" w:type="dxa"/>
            <w:tcBorders>
              <w:top w:val="nil"/>
              <w:left w:val="single" w:sz="4" w:space="0" w:color="auto"/>
              <w:bottom w:val="single" w:sz="4" w:space="0" w:color="auto"/>
              <w:right w:val="single" w:sz="4" w:space="0" w:color="auto"/>
            </w:tcBorders>
            <w:shd w:val="clear" w:color="auto" w:fill="auto"/>
            <w:noWrap/>
            <w:vAlign w:val="center"/>
            <w:hideMark/>
          </w:tcPr>
          <w:p w14:paraId="07443734"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243 220 928</w:t>
            </w:r>
          </w:p>
        </w:tc>
        <w:tc>
          <w:tcPr>
            <w:tcW w:w="1560" w:type="dxa"/>
            <w:tcBorders>
              <w:top w:val="nil"/>
              <w:left w:val="nil"/>
              <w:bottom w:val="single" w:sz="4" w:space="0" w:color="auto"/>
              <w:right w:val="single" w:sz="4" w:space="0" w:color="auto"/>
            </w:tcBorders>
            <w:shd w:val="clear" w:color="auto" w:fill="auto"/>
            <w:vAlign w:val="center"/>
            <w:hideMark/>
          </w:tcPr>
          <w:p w14:paraId="5F068C79"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208 577 778</w:t>
            </w:r>
          </w:p>
        </w:tc>
        <w:tc>
          <w:tcPr>
            <w:tcW w:w="1697" w:type="dxa"/>
            <w:tcBorders>
              <w:top w:val="nil"/>
              <w:left w:val="nil"/>
              <w:bottom w:val="single" w:sz="4" w:space="0" w:color="auto"/>
              <w:right w:val="single" w:sz="4" w:space="0" w:color="auto"/>
            </w:tcBorders>
            <w:shd w:val="clear" w:color="auto" w:fill="auto"/>
            <w:vAlign w:val="center"/>
            <w:hideMark/>
          </w:tcPr>
          <w:p w14:paraId="1947DBD8"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210 836 524</w:t>
            </w:r>
          </w:p>
        </w:tc>
        <w:tc>
          <w:tcPr>
            <w:tcW w:w="1563" w:type="dxa"/>
            <w:tcBorders>
              <w:top w:val="nil"/>
              <w:left w:val="nil"/>
              <w:bottom w:val="single" w:sz="4" w:space="0" w:color="auto"/>
              <w:right w:val="single" w:sz="4" w:space="0" w:color="auto"/>
            </w:tcBorders>
            <w:shd w:val="clear" w:color="auto" w:fill="auto"/>
            <w:noWrap/>
            <w:vAlign w:val="center"/>
            <w:hideMark/>
          </w:tcPr>
          <w:p w14:paraId="74C9B7CB"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85,76%</w:t>
            </w:r>
          </w:p>
        </w:tc>
        <w:tc>
          <w:tcPr>
            <w:tcW w:w="1843" w:type="dxa"/>
            <w:tcBorders>
              <w:top w:val="nil"/>
              <w:left w:val="nil"/>
              <w:bottom w:val="single" w:sz="4" w:space="0" w:color="auto"/>
              <w:right w:val="single" w:sz="4" w:space="0" w:color="auto"/>
            </w:tcBorders>
            <w:shd w:val="clear" w:color="auto" w:fill="auto"/>
            <w:noWrap/>
            <w:vAlign w:val="center"/>
            <w:hideMark/>
          </w:tcPr>
          <w:p w14:paraId="799CEE23"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22,80%</w:t>
            </w:r>
          </w:p>
        </w:tc>
        <w:tc>
          <w:tcPr>
            <w:tcW w:w="1701" w:type="dxa"/>
            <w:tcBorders>
              <w:top w:val="nil"/>
              <w:left w:val="nil"/>
              <w:bottom w:val="single" w:sz="4" w:space="0" w:color="auto"/>
              <w:right w:val="single" w:sz="4" w:space="0" w:color="auto"/>
            </w:tcBorders>
            <w:shd w:val="clear" w:color="auto" w:fill="auto"/>
            <w:noWrap/>
            <w:vAlign w:val="center"/>
            <w:hideMark/>
          </w:tcPr>
          <w:p w14:paraId="1468BD9D"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80,07%</w:t>
            </w:r>
          </w:p>
        </w:tc>
        <w:tc>
          <w:tcPr>
            <w:tcW w:w="1989" w:type="dxa"/>
            <w:tcBorders>
              <w:top w:val="nil"/>
              <w:left w:val="nil"/>
              <w:bottom w:val="single" w:sz="4" w:space="0" w:color="auto"/>
              <w:right w:val="single" w:sz="4" w:space="0" w:color="auto"/>
            </w:tcBorders>
            <w:shd w:val="clear" w:color="auto" w:fill="auto"/>
            <w:noWrap/>
            <w:vAlign w:val="center"/>
            <w:hideMark/>
          </w:tcPr>
          <w:p w14:paraId="113EDE1F"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101,08%</w:t>
            </w:r>
          </w:p>
        </w:tc>
      </w:tr>
      <w:tr w:rsidR="00F92E10" w:rsidRPr="00BC513A" w14:paraId="6D0AA4EA"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tcPr>
          <w:p w14:paraId="181C1D9B" w14:textId="77777777" w:rsidR="00F92E10" w:rsidRPr="00F92E10" w:rsidRDefault="00F92E10" w:rsidP="00F92E10">
            <w:pPr>
              <w:spacing w:after="0"/>
              <w:rPr>
                <w:rFonts w:ascii="Arial" w:hAnsi="Arial" w:cs="Arial"/>
                <w:sz w:val="18"/>
                <w:szCs w:val="18"/>
                <w:lang w:eastAsia="bg-BG"/>
              </w:rPr>
            </w:pPr>
            <w:r w:rsidRPr="00F92E10">
              <w:rPr>
                <w:rFonts w:ascii="Arial" w:hAnsi="Arial" w:cs="Arial"/>
                <w:sz w:val="18"/>
                <w:szCs w:val="18"/>
                <w:lang w:eastAsia="bg-BG"/>
              </w:rPr>
              <w:t>124</w:t>
            </w:r>
          </w:p>
        </w:tc>
        <w:tc>
          <w:tcPr>
            <w:tcW w:w="2944" w:type="dxa"/>
            <w:tcBorders>
              <w:top w:val="nil"/>
              <w:left w:val="single" w:sz="4" w:space="0" w:color="auto"/>
              <w:bottom w:val="single" w:sz="4" w:space="0" w:color="auto"/>
              <w:right w:val="single" w:sz="4" w:space="0" w:color="auto"/>
            </w:tcBorders>
            <w:shd w:val="clear" w:color="auto" w:fill="auto"/>
            <w:vAlign w:val="center"/>
          </w:tcPr>
          <w:p w14:paraId="09A87690" w14:textId="77777777" w:rsidR="00F92E10" w:rsidRPr="00F92E10" w:rsidRDefault="00F92E10" w:rsidP="00F92E10">
            <w:pPr>
              <w:spacing w:after="0"/>
              <w:rPr>
                <w:rFonts w:ascii="Arial" w:hAnsi="Arial" w:cs="Arial"/>
                <w:sz w:val="18"/>
                <w:szCs w:val="18"/>
                <w:lang w:eastAsia="bg-BG"/>
              </w:rPr>
            </w:pPr>
            <w:r w:rsidRPr="00F92E10">
              <w:rPr>
                <w:rFonts w:ascii="Arial" w:hAnsi="Arial" w:cs="Arial"/>
                <w:sz w:val="18"/>
                <w:szCs w:val="18"/>
                <w:lang w:eastAsia="bg-BG"/>
              </w:rPr>
              <w:t>Сътрудничество за разработване на нови продукти, процеси и технологии в земеделието и хранителния сектор</w:t>
            </w:r>
          </w:p>
        </w:tc>
        <w:tc>
          <w:tcPr>
            <w:tcW w:w="1596" w:type="dxa"/>
            <w:tcBorders>
              <w:top w:val="nil"/>
              <w:left w:val="single" w:sz="4" w:space="0" w:color="auto"/>
              <w:bottom w:val="single" w:sz="4" w:space="0" w:color="auto"/>
              <w:right w:val="single" w:sz="4" w:space="0" w:color="auto"/>
            </w:tcBorders>
            <w:shd w:val="clear" w:color="auto" w:fill="auto"/>
            <w:noWrap/>
            <w:vAlign w:val="center"/>
          </w:tcPr>
          <w:p w14:paraId="1ED92F15" w14:textId="77777777" w:rsidR="00F92E10" w:rsidRPr="00F92E10" w:rsidRDefault="00F92E10" w:rsidP="00F92E10">
            <w:pPr>
              <w:spacing w:after="0"/>
              <w:jc w:val="center"/>
              <w:rPr>
                <w:rFonts w:ascii="Arial" w:hAnsi="Arial" w:cs="Arial"/>
                <w:color w:val="000000"/>
                <w:sz w:val="18"/>
                <w:szCs w:val="18"/>
              </w:rPr>
            </w:pPr>
            <w:r w:rsidRPr="00F92E10">
              <w:rPr>
                <w:rFonts w:ascii="Arial" w:hAnsi="Arial" w:cs="Arial"/>
                <w:color w:val="000000"/>
                <w:sz w:val="18"/>
                <w:szCs w:val="18"/>
              </w:rPr>
              <w:t>24 097 000</w:t>
            </w:r>
          </w:p>
        </w:tc>
        <w:tc>
          <w:tcPr>
            <w:tcW w:w="10353" w:type="dxa"/>
            <w:gridSpan w:val="6"/>
            <w:tcBorders>
              <w:top w:val="nil"/>
              <w:left w:val="nil"/>
              <w:bottom w:val="single" w:sz="4" w:space="0" w:color="auto"/>
              <w:right w:val="single" w:sz="4" w:space="0" w:color="auto"/>
            </w:tcBorders>
            <w:shd w:val="clear" w:color="auto" w:fill="auto"/>
            <w:vAlign w:val="center"/>
          </w:tcPr>
          <w:p w14:paraId="0CEFF806" w14:textId="77777777" w:rsidR="00F92E10" w:rsidRPr="00F92E10" w:rsidRDefault="00F92E10" w:rsidP="00F92E10">
            <w:pPr>
              <w:spacing w:after="0"/>
              <w:jc w:val="center"/>
              <w:rPr>
                <w:rFonts w:ascii="Arial" w:hAnsi="Arial" w:cs="Arial"/>
                <w:color w:val="000000"/>
                <w:sz w:val="18"/>
                <w:szCs w:val="18"/>
              </w:rPr>
            </w:pPr>
            <w:r w:rsidRPr="00F92E10">
              <w:rPr>
                <w:rFonts w:ascii="Arial" w:hAnsi="Arial" w:cs="Arial"/>
                <w:color w:val="000000"/>
                <w:sz w:val="18"/>
                <w:szCs w:val="18"/>
              </w:rPr>
              <w:t>не стартира и не е изпълнена</w:t>
            </w:r>
          </w:p>
        </w:tc>
      </w:tr>
      <w:tr w:rsidR="003E1B15" w:rsidRPr="00BC513A" w14:paraId="7F071F41"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tcPr>
          <w:p w14:paraId="4C65A1B0" w14:textId="77777777" w:rsidR="003E1B15" w:rsidRPr="003E1B15" w:rsidRDefault="003E1B15" w:rsidP="00922731">
            <w:pPr>
              <w:rPr>
                <w:rFonts w:ascii="Arial" w:hAnsi="Arial" w:cs="Arial"/>
                <w:sz w:val="18"/>
                <w:szCs w:val="18"/>
                <w:lang w:val="en-US" w:eastAsia="bg-BG"/>
              </w:rPr>
            </w:pPr>
            <w:r>
              <w:rPr>
                <w:rFonts w:ascii="Arial" w:hAnsi="Arial" w:cs="Arial"/>
                <w:sz w:val="18"/>
                <w:szCs w:val="18"/>
                <w:lang w:val="en-US" w:eastAsia="bg-BG"/>
              </w:rPr>
              <w:t>125</w:t>
            </w:r>
          </w:p>
        </w:tc>
        <w:tc>
          <w:tcPr>
            <w:tcW w:w="2944" w:type="dxa"/>
            <w:tcBorders>
              <w:top w:val="nil"/>
              <w:left w:val="single" w:sz="4" w:space="0" w:color="auto"/>
              <w:bottom w:val="single" w:sz="4" w:space="0" w:color="auto"/>
              <w:right w:val="single" w:sz="4" w:space="0" w:color="auto"/>
            </w:tcBorders>
            <w:shd w:val="clear" w:color="auto" w:fill="auto"/>
            <w:vAlign w:val="center"/>
          </w:tcPr>
          <w:p w14:paraId="71F8C05D" w14:textId="77777777" w:rsidR="003E1B15" w:rsidRPr="00BC513A" w:rsidRDefault="003E1B15" w:rsidP="00922731">
            <w:pPr>
              <w:spacing w:after="0"/>
              <w:rPr>
                <w:rFonts w:ascii="Arial" w:hAnsi="Arial" w:cs="Arial"/>
                <w:sz w:val="18"/>
                <w:szCs w:val="18"/>
                <w:lang w:eastAsia="bg-BG"/>
              </w:rPr>
            </w:pPr>
            <w:r w:rsidRPr="003E1B15">
              <w:rPr>
                <w:rFonts w:ascii="Arial" w:hAnsi="Arial" w:cs="Arial"/>
                <w:sz w:val="18"/>
                <w:szCs w:val="18"/>
                <w:lang w:eastAsia="bg-BG"/>
              </w:rPr>
              <w:t>Подобряване и развитие на инфраструктура, свързана с развитието и адаптирането на земеделието и горското стопанство</w:t>
            </w:r>
          </w:p>
        </w:tc>
        <w:tc>
          <w:tcPr>
            <w:tcW w:w="1596" w:type="dxa"/>
            <w:tcBorders>
              <w:top w:val="nil"/>
              <w:left w:val="single" w:sz="4" w:space="0" w:color="auto"/>
              <w:bottom w:val="single" w:sz="4" w:space="0" w:color="auto"/>
              <w:right w:val="single" w:sz="4" w:space="0" w:color="auto"/>
            </w:tcBorders>
            <w:shd w:val="clear" w:color="auto" w:fill="auto"/>
            <w:noWrap/>
            <w:vAlign w:val="center"/>
          </w:tcPr>
          <w:p w14:paraId="6EF8B169" w14:textId="77777777" w:rsidR="003E1B15" w:rsidRPr="003E1B15" w:rsidRDefault="003E1B15" w:rsidP="00922731">
            <w:pPr>
              <w:spacing w:after="0"/>
              <w:jc w:val="center"/>
              <w:rPr>
                <w:rFonts w:ascii="Arial" w:hAnsi="Arial" w:cs="Arial"/>
                <w:color w:val="000000"/>
                <w:sz w:val="18"/>
                <w:szCs w:val="18"/>
                <w:lang w:val="en-US"/>
              </w:rPr>
            </w:pPr>
            <w:r>
              <w:rPr>
                <w:rFonts w:ascii="Arial" w:hAnsi="Arial" w:cs="Arial"/>
                <w:color w:val="000000"/>
                <w:sz w:val="18"/>
                <w:szCs w:val="18"/>
                <w:lang w:val="en-US"/>
              </w:rPr>
              <w:t>90 365 000</w:t>
            </w:r>
          </w:p>
        </w:tc>
        <w:tc>
          <w:tcPr>
            <w:tcW w:w="10353" w:type="dxa"/>
            <w:gridSpan w:val="6"/>
            <w:tcBorders>
              <w:top w:val="nil"/>
              <w:left w:val="nil"/>
              <w:bottom w:val="single" w:sz="4" w:space="0" w:color="auto"/>
              <w:right w:val="single" w:sz="4" w:space="0" w:color="auto"/>
            </w:tcBorders>
            <w:shd w:val="clear" w:color="auto" w:fill="auto"/>
            <w:vAlign w:val="center"/>
          </w:tcPr>
          <w:p w14:paraId="55BAEC46" w14:textId="77777777" w:rsidR="003E1B15" w:rsidRPr="003E1B15" w:rsidRDefault="003E1B15" w:rsidP="00922731">
            <w:pPr>
              <w:spacing w:after="0"/>
              <w:jc w:val="center"/>
              <w:rPr>
                <w:rFonts w:ascii="Arial" w:hAnsi="Arial" w:cs="Arial"/>
                <w:color w:val="000000"/>
                <w:sz w:val="18"/>
                <w:szCs w:val="18"/>
                <w:lang w:val="en-US"/>
              </w:rPr>
            </w:pPr>
            <w:r w:rsidRPr="00F92E10">
              <w:rPr>
                <w:rFonts w:ascii="Arial" w:hAnsi="Arial" w:cs="Arial"/>
                <w:color w:val="000000"/>
                <w:sz w:val="18"/>
                <w:szCs w:val="18"/>
              </w:rPr>
              <w:t>не стартира и не е изпълнена</w:t>
            </w:r>
          </w:p>
        </w:tc>
      </w:tr>
      <w:tr w:rsidR="003E1B15" w:rsidRPr="00BC513A" w14:paraId="0D7DA910"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tcPr>
          <w:p w14:paraId="4F46FB0C" w14:textId="77777777" w:rsidR="003E1B15" w:rsidRPr="003E1B15" w:rsidRDefault="003E1B15" w:rsidP="00922731">
            <w:pPr>
              <w:rPr>
                <w:rFonts w:ascii="Arial" w:hAnsi="Arial" w:cs="Arial"/>
                <w:sz w:val="18"/>
                <w:szCs w:val="18"/>
                <w:lang w:val="en-US" w:eastAsia="bg-BG"/>
              </w:rPr>
            </w:pPr>
            <w:r>
              <w:rPr>
                <w:rFonts w:ascii="Arial" w:hAnsi="Arial" w:cs="Arial"/>
                <w:sz w:val="18"/>
                <w:szCs w:val="18"/>
                <w:lang w:val="en-US" w:eastAsia="bg-BG"/>
              </w:rPr>
              <w:t>126</w:t>
            </w:r>
          </w:p>
        </w:tc>
        <w:tc>
          <w:tcPr>
            <w:tcW w:w="2944" w:type="dxa"/>
            <w:tcBorders>
              <w:top w:val="nil"/>
              <w:left w:val="single" w:sz="4" w:space="0" w:color="auto"/>
              <w:bottom w:val="single" w:sz="4" w:space="0" w:color="auto"/>
              <w:right w:val="single" w:sz="4" w:space="0" w:color="auto"/>
            </w:tcBorders>
            <w:shd w:val="clear" w:color="auto" w:fill="auto"/>
            <w:vAlign w:val="center"/>
          </w:tcPr>
          <w:p w14:paraId="7119CDB4" w14:textId="77777777" w:rsidR="003E1B15" w:rsidRPr="00BC513A" w:rsidRDefault="003E1B15" w:rsidP="00922731">
            <w:pPr>
              <w:spacing w:after="0"/>
              <w:rPr>
                <w:rFonts w:ascii="Arial" w:hAnsi="Arial" w:cs="Arial"/>
                <w:sz w:val="18"/>
                <w:szCs w:val="18"/>
                <w:lang w:eastAsia="bg-BG"/>
              </w:rPr>
            </w:pPr>
            <w:r w:rsidRPr="003E1B15">
              <w:rPr>
                <w:rFonts w:ascii="Arial" w:hAnsi="Arial" w:cs="Arial"/>
                <w:sz w:val="18"/>
                <w:szCs w:val="18"/>
                <w:lang w:eastAsia="bg-BG"/>
              </w:rPr>
              <w:t>Възстановяване на селскостопанския производствен потенциал, разрушен от природни бедствия и въвеждане на превантивни дейности</w:t>
            </w:r>
          </w:p>
        </w:tc>
        <w:tc>
          <w:tcPr>
            <w:tcW w:w="1596" w:type="dxa"/>
            <w:tcBorders>
              <w:top w:val="nil"/>
              <w:left w:val="single" w:sz="4" w:space="0" w:color="auto"/>
              <w:bottom w:val="single" w:sz="4" w:space="0" w:color="auto"/>
              <w:right w:val="single" w:sz="4" w:space="0" w:color="auto"/>
            </w:tcBorders>
            <w:shd w:val="clear" w:color="auto" w:fill="auto"/>
            <w:noWrap/>
            <w:vAlign w:val="center"/>
          </w:tcPr>
          <w:p w14:paraId="05F56423" w14:textId="77777777" w:rsidR="003E1B15" w:rsidRPr="003E1B15" w:rsidRDefault="003E1B15" w:rsidP="00922731">
            <w:pPr>
              <w:spacing w:after="0"/>
              <w:jc w:val="center"/>
              <w:rPr>
                <w:rFonts w:ascii="Arial" w:hAnsi="Arial" w:cs="Arial"/>
                <w:color w:val="000000"/>
                <w:sz w:val="18"/>
                <w:szCs w:val="18"/>
                <w:lang w:val="en-US"/>
              </w:rPr>
            </w:pPr>
            <w:r>
              <w:rPr>
                <w:rFonts w:ascii="Arial" w:hAnsi="Arial" w:cs="Arial"/>
                <w:color w:val="000000"/>
                <w:sz w:val="18"/>
                <w:szCs w:val="18"/>
                <w:lang w:val="en-US"/>
              </w:rPr>
              <w:t>12 048 000</w:t>
            </w:r>
          </w:p>
        </w:tc>
        <w:tc>
          <w:tcPr>
            <w:tcW w:w="10353" w:type="dxa"/>
            <w:gridSpan w:val="6"/>
            <w:tcBorders>
              <w:top w:val="nil"/>
              <w:left w:val="nil"/>
              <w:bottom w:val="single" w:sz="4" w:space="0" w:color="auto"/>
              <w:right w:val="single" w:sz="4" w:space="0" w:color="auto"/>
            </w:tcBorders>
            <w:shd w:val="clear" w:color="auto" w:fill="auto"/>
            <w:vAlign w:val="center"/>
          </w:tcPr>
          <w:p w14:paraId="320F3C00" w14:textId="77777777" w:rsidR="003E1B15" w:rsidRPr="00BC513A" w:rsidRDefault="003E1B15" w:rsidP="00922731">
            <w:pPr>
              <w:spacing w:after="0"/>
              <w:jc w:val="center"/>
              <w:rPr>
                <w:rFonts w:ascii="Arial" w:hAnsi="Arial" w:cs="Arial"/>
                <w:color w:val="000000"/>
                <w:sz w:val="18"/>
                <w:szCs w:val="18"/>
              </w:rPr>
            </w:pPr>
            <w:r w:rsidRPr="00F92E10">
              <w:rPr>
                <w:rFonts w:ascii="Arial" w:hAnsi="Arial" w:cs="Arial"/>
                <w:color w:val="000000"/>
                <w:sz w:val="18"/>
                <w:szCs w:val="18"/>
              </w:rPr>
              <w:t>не стартира и не е изпълнена</w:t>
            </w:r>
          </w:p>
        </w:tc>
      </w:tr>
      <w:tr w:rsidR="00E8617E" w:rsidRPr="00BC513A" w14:paraId="67DF5848"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28CB9538"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lastRenderedPageBreak/>
              <w:t>141</w:t>
            </w:r>
          </w:p>
        </w:tc>
        <w:tc>
          <w:tcPr>
            <w:tcW w:w="2944" w:type="dxa"/>
            <w:tcBorders>
              <w:top w:val="nil"/>
              <w:left w:val="single" w:sz="4" w:space="0" w:color="auto"/>
              <w:bottom w:val="single" w:sz="4" w:space="0" w:color="auto"/>
              <w:right w:val="single" w:sz="4" w:space="0" w:color="auto"/>
            </w:tcBorders>
            <w:shd w:val="clear" w:color="auto" w:fill="auto"/>
            <w:vAlign w:val="center"/>
            <w:hideMark/>
          </w:tcPr>
          <w:p w14:paraId="252846FC" w14:textId="3423A6BF"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Подпомагане на полупазарни стопанства</w:t>
            </w:r>
          </w:p>
        </w:tc>
        <w:tc>
          <w:tcPr>
            <w:tcW w:w="1596" w:type="dxa"/>
            <w:tcBorders>
              <w:top w:val="nil"/>
              <w:left w:val="single" w:sz="4" w:space="0" w:color="auto"/>
              <w:bottom w:val="single" w:sz="4" w:space="0" w:color="auto"/>
              <w:right w:val="single" w:sz="4" w:space="0" w:color="auto"/>
            </w:tcBorders>
            <w:shd w:val="clear" w:color="auto" w:fill="auto"/>
            <w:noWrap/>
            <w:vAlign w:val="center"/>
            <w:hideMark/>
          </w:tcPr>
          <w:p w14:paraId="1537E985"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144 447 090</w:t>
            </w:r>
          </w:p>
        </w:tc>
        <w:tc>
          <w:tcPr>
            <w:tcW w:w="1560" w:type="dxa"/>
            <w:tcBorders>
              <w:top w:val="nil"/>
              <w:left w:val="nil"/>
              <w:bottom w:val="single" w:sz="4" w:space="0" w:color="auto"/>
              <w:right w:val="single" w:sz="4" w:space="0" w:color="auto"/>
            </w:tcBorders>
            <w:shd w:val="clear" w:color="auto" w:fill="auto"/>
            <w:vAlign w:val="center"/>
            <w:hideMark/>
          </w:tcPr>
          <w:p w14:paraId="1D066118"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45 145 000</w:t>
            </w:r>
          </w:p>
        </w:tc>
        <w:tc>
          <w:tcPr>
            <w:tcW w:w="1697" w:type="dxa"/>
            <w:tcBorders>
              <w:top w:val="nil"/>
              <w:left w:val="nil"/>
              <w:bottom w:val="single" w:sz="4" w:space="0" w:color="auto"/>
              <w:right w:val="single" w:sz="4" w:space="0" w:color="auto"/>
            </w:tcBorders>
            <w:shd w:val="clear" w:color="auto" w:fill="auto"/>
            <w:vAlign w:val="center"/>
            <w:hideMark/>
          </w:tcPr>
          <w:p w14:paraId="18C79E07"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44 819 513</w:t>
            </w:r>
          </w:p>
        </w:tc>
        <w:tc>
          <w:tcPr>
            <w:tcW w:w="1563" w:type="dxa"/>
            <w:tcBorders>
              <w:top w:val="nil"/>
              <w:left w:val="nil"/>
              <w:bottom w:val="single" w:sz="4" w:space="0" w:color="auto"/>
              <w:right w:val="single" w:sz="4" w:space="0" w:color="auto"/>
            </w:tcBorders>
            <w:shd w:val="clear" w:color="auto" w:fill="auto"/>
            <w:noWrap/>
            <w:vAlign w:val="center"/>
            <w:hideMark/>
          </w:tcPr>
          <w:p w14:paraId="3D0630E2"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31,25%</w:t>
            </w:r>
          </w:p>
        </w:tc>
        <w:tc>
          <w:tcPr>
            <w:tcW w:w="1843" w:type="dxa"/>
            <w:tcBorders>
              <w:top w:val="nil"/>
              <w:left w:val="nil"/>
              <w:bottom w:val="single" w:sz="4" w:space="0" w:color="auto"/>
              <w:right w:val="single" w:sz="4" w:space="0" w:color="auto"/>
            </w:tcBorders>
            <w:shd w:val="clear" w:color="auto" w:fill="auto"/>
            <w:noWrap/>
            <w:vAlign w:val="center"/>
            <w:hideMark/>
          </w:tcPr>
          <w:p w14:paraId="318E2CBD"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4,85%</w:t>
            </w:r>
          </w:p>
        </w:tc>
        <w:tc>
          <w:tcPr>
            <w:tcW w:w="1701" w:type="dxa"/>
            <w:tcBorders>
              <w:top w:val="nil"/>
              <w:left w:val="nil"/>
              <w:bottom w:val="single" w:sz="4" w:space="0" w:color="auto"/>
              <w:right w:val="single" w:sz="4" w:space="0" w:color="auto"/>
            </w:tcBorders>
            <w:shd w:val="clear" w:color="auto" w:fill="auto"/>
            <w:noWrap/>
            <w:vAlign w:val="center"/>
            <w:hideMark/>
          </w:tcPr>
          <w:p w14:paraId="365711F2"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45584F19" w14:textId="77777777" w:rsidR="00E8617E" w:rsidRPr="00BC513A" w:rsidRDefault="00E8617E" w:rsidP="00922731">
            <w:pPr>
              <w:spacing w:after="0"/>
              <w:jc w:val="center"/>
              <w:rPr>
                <w:rFonts w:ascii="Arial" w:hAnsi="Arial" w:cs="Arial"/>
                <w:color w:val="000000"/>
                <w:sz w:val="18"/>
                <w:szCs w:val="18"/>
              </w:rPr>
            </w:pPr>
            <w:r w:rsidRPr="00BC513A">
              <w:rPr>
                <w:rFonts w:ascii="Arial" w:hAnsi="Arial" w:cs="Arial"/>
                <w:color w:val="000000"/>
                <w:sz w:val="18"/>
                <w:szCs w:val="18"/>
              </w:rPr>
              <w:t>99,28%</w:t>
            </w:r>
          </w:p>
        </w:tc>
      </w:tr>
      <w:tr w:rsidR="00E8617E" w:rsidRPr="00BC513A" w14:paraId="0EA7EA3D"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7E4AB910"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142</w:t>
            </w:r>
          </w:p>
        </w:tc>
        <w:tc>
          <w:tcPr>
            <w:tcW w:w="2944" w:type="dxa"/>
            <w:tcBorders>
              <w:top w:val="nil"/>
              <w:left w:val="single" w:sz="4" w:space="0" w:color="auto"/>
              <w:bottom w:val="single" w:sz="4" w:space="0" w:color="auto"/>
              <w:right w:val="single" w:sz="4" w:space="0" w:color="auto"/>
            </w:tcBorders>
            <w:shd w:val="clear" w:color="auto" w:fill="auto"/>
            <w:vAlign w:val="center"/>
            <w:hideMark/>
          </w:tcPr>
          <w:p w14:paraId="13AAA522"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Създаване на организации на производители</w:t>
            </w:r>
          </w:p>
        </w:tc>
        <w:tc>
          <w:tcPr>
            <w:tcW w:w="1596" w:type="dxa"/>
            <w:tcBorders>
              <w:top w:val="nil"/>
              <w:left w:val="single" w:sz="4" w:space="0" w:color="auto"/>
              <w:bottom w:val="single" w:sz="4" w:space="0" w:color="auto"/>
              <w:right w:val="single" w:sz="4" w:space="0" w:color="auto"/>
            </w:tcBorders>
            <w:shd w:val="clear" w:color="auto" w:fill="auto"/>
            <w:noWrap/>
            <w:vAlign w:val="center"/>
            <w:hideMark/>
          </w:tcPr>
          <w:p w14:paraId="148DC8D2"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12 037 258</w:t>
            </w:r>
          </w:p>
        </w:tc>
        <w:tc>
          <w:tcPr>
            <w:tcW w:w="1560" w:type="dxa"/>
            <w:tcBorders>
              <w:top w:val="nil"/>
              <w:left w:val="nil"/>
              <w:bottom w:val="single" w:sz="4" w:space="0" w:color="auto"/>
              <w:right w:val="single" w:sz="4" w:space="0" w:color="auto"/>
            </w:tcBorders>
            <w:shd w:val="clear" w:color="auto" w:fill="auto"/>
            <w:vAlign w:val="center"/>
            <w:hideMark/>
          </w:tcPr>
          <w:p w14:paraId="1E5DCDF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245 000</w:t>
            </w:r>
          </w:p>
        </w:tc>
        <w:tc>
          <w:tcPr>
            <w:tcW w:w="1697" w:type="dxa"/>
            <w:tcBorders>
              <w:top w:val="nil"/>
              <w:left w:val="nil"/>
              <w:bottom w:val="single" w:sz="4" w:space="0" w:color="auto"/>
              <w:right w:val="single" w:sz="4" w:space="0" w:color="auto"/>
            </w:tcBorders>
            <w:shd w:val="clear" w:color="auto" w:fill="auto"/>
            <w:vAlign w:val="center"/>
            <w:hideMark/>
          </w:tcPr>
          <w:p w14:paraId="0FB481D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119 168</w:t>
            </w:r>
          </w:p>
        </w:tc>
        <w:tc>
          <w:tcPr>
            <w:tcW w:w="1563" w:type="dxa"/>
            <w:tcBorders>
              <w:top w:val="nil"/>
              <w:left w:val="nil"/>
              <w:bottom w:val="single" w:sz="4" w:space="0" w:color="auto"/>
              <w:right w:val="single" w:sz="4" w:space="0" w:color="auto"/>
            </w:tcBorders>
            <w:shd w:val="clear" w:color="auto" w:fill="auto"/>
            <w:noWrap/>
            <w:vAlign w:val="center"/>
            <w:hideMark/>
          </w:tcPr>
          <w:p w14:paraId="1AE5AC30"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2,04%</w:t>
            </w:r>
          </w:p>
        </w:tc>
        <w:tc>
          <w:tcPr>
            <w:tcW w:w="1843" w:type="dxa"/>
            <w:tcBorders>
              <w:top w:val="nil"/>
              <w:left w:val="nil"/>
              <w:bottom w:val="single" w:sz="4" w:space="0" w:color="auto"/>
              <w:right w:val="single" w:sz="4" w:space="0" w:color="auto"/>
            </w:tcBorders>
            <w:shd w:val="clear" w:color="auto" w:fill="auto"/>
            <w:noWrap/>
            <w:vAlign w:val="center"/>
            <w:hideMark/>
          </w:tcPr>
          <w:p w14:paraId="780B5ED0"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0,01%</w:t>
            </w:r>
          </w:p>
        </w:tc>
        <w:tc>
          <w:tcPr>
            <w:tcW w:w="1701" w:type="dxa"/>
            <w:tcBorders>
              <w:top w:val="nil"/>
              <w:left w:val="nil"/>
              <w:bottom w:val="single" w:sz="4" w:space="0" w:color="auto"/>
              <w:right w:val="single" w:sz="4" w:space="0" w:color="auto"/>
            </w:tcBorders>
            <w:shd w:val="clear" w:color="auto" w:fill="auto"/>
            <w:noWrap/>
            <w:vAlign w:val="center"/>
            <w:hideMark/>
          </w:tcPr>
          <w:p w14:paraId="6741464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4E32D1D0"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48,64%</w:t>
            </w:r>
          </w:p>
        </w:tc>
      </w:tr>
      <w:tr w:rsidR="00E8617E" w:rsidRPr="00BC513A" w14:paraId="2E896DC9" w14:textId="77777777" w:rsidTr="00D87D35">
        <w:trPr>
          <w:trHeight w:val="960"/>
        </w:trPr>
        <w:tc>
          <w:tcPr>
            <w:tcW w:w="900" w:type="dxa"/>
            <w:tcBorders>
              <w:top w:val="nil"/>
              <w:left w:val="single" w:sz="4" w:space="0" w:color="auto"/>
              <w:bottom w:val="nil"/>
              <w:right w:val="single" w:sz="4" w:space="0" w:color="auto"/>
            </w:tcBorders>
            <w:shd w:val="clear" w:color="auto" w:fill="auto"/>
            <w:vAlign w:val="center"/>
            <w:hideMark/>
          </w:tcPr>
          <w:p w14:paraId="5AD1D92F"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143</w:t>
            </w:r>
          </w:p>
        </w:tc>
        <w:tc>
          <w:tcPr>
            <w:tcW w:w="2944" w:type="dxa"/>
            <w:tcBorders>
              <w:top w:val="nil"/>
              <w:left w:val="single" w:sz="4" w:space="0" w:color="auto"/>
              <w:bottom w:val="nil"/>
              <w:right w:val="single" w:sz="4" w:space="0" w:color="auto"/>
            </w:tcBorders>
            <w:shd w:val="clear" w:color="auto" w:fill="auto"/>
            <w:vAlign w:val="center"/>
            <w:hideMark/>
          </w:tcPr>
          <w:p w14:paraId="3F85D4AA"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 xml:space="preserve">Предоставяне на съвети и консултиране в земеделието в България и Румъния </w:t>
            </w:r>
          </w:p>
        </w:tc>
        <w:tc>
          <w:tcPr>
            <w:tcW w:w="1596" w:type="dxa"/>
            <w:tcBorders>
              <w:top w:val="nil"/>
              <w:left w:val="single" w:sz="4" w:space="0" w:color="auto"/>
              <w:bottom w:val="nil"/>
              <w:right w:val="single" w:sz="4" w:space="0" w:color="auto"/>
            </w:tcBorders>
            <w:shd w:val="clear" w:color="auto" w:fill="auto"/>
            <w:noWrap/>
            <w:vAlign w:val="center"/>
            <w:hideMark/>
          </w:tcPr>
          <w:p w14:paraId="0C3C498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6 018 629</w:t>
            </w:r>
          </w:p>
        </w:tc>
        <w:tc>
          <w:tcPr>
            <w:tcW w:w="1560" w:type="dxa"/>
            <w:tcBorders>
              <w:top w:val="nil"/>
              <w:left w:val="nil"/>
              <w:bottom w:val="nil"/>
              <w:right w:val="single" w:sz="4" w:space="0" w:color="auto"/>
            </w:tcBorders>
            <w:shd w:val="clear" w:color="auto" w:fill="auto"/>
            <w:vAlign w:val="center"/>
            <w:hideMark/>
          </w:tcPr>
          <w:p w14:paraId="7FDCF290"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6 024 335</w:t>
            </w:r>
          </w:p>
        </w:tc>
        <w:tc>
          <w:tcPr>
            <w:tcW w:w="1697" w:type="dxa"/>
            <w:tcBorders>
              <w:top w:val="nil"/>
              <w:left w:val="nil"/>
              <w:bottom w:val="nil"/>
              <w:right w:val="single" w:sz="4" w:space="0" w:color="auto"/>
            </w:tcBorders>
            <w:shd w:val="clear" w:color="auto" w:fill="auto"/>
            <w:vAlign w:val="center"/>
            <w:hideMark/>
          </w:tcPr>
          <w:p w14:paraId="5A52858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6 038 735</w:t>
            </w:r>
          </w:p>
        </w:tc>
        <w:tc>
          <w:tcPr>
            <w:tcW w:w="1563" w:type="dxa"/>
            <w:tcBorders>
              <w:top w:val="nil"/>
              <w:left w:val="nil"/>
              <w:bottom w:val="nil"/>
              <w:right w:val="single" w:sz="4" w:space="0" w:color="auto"/>
            </w:tcBorders>
            <w:shd w:val="clear" w:color="auto" w:fill="auto"/>
            <w:noWrap/>
            <w:vAlign w:val="center"/>
            <w:hideMark/>
          </w:tcPr>
          <w:p w14:paraId="2ADA938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100,09%</w:t>
            </w:r>
          </w:p>
        </w:tc>
        <w:tc>
          <w:tcPr>
            <w:tcW w:w="1843" w:type="dxa"/>
            <w:tcBorders>
              <w:top w:val="nil"/>
              <w:left w:val="nil"/>
              <w:bottom w:val="nil"/>
              <w:right w:val="single" w:sz="4" w:space="0" w:color="auto"/>
            </w:tcBorders>
            <w:shd w:val="clear" w:color="auto" w:fill="auto"/>
            <w:noWrap/>
            <w:vAlign w:val="center"/>
            <w:hideMark/>
          </w:tcPr>
          <w:p w14:paraId="1E5B181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0,65%</w:t>
            </w:r>
          </w:p>
        </w:tc>
        <w:tc>
          <w:tcPr>
            <w:tcW w:w="1701" w:type="dxa"/>
            <w:tcBorders>
              <w:top w:val="nil"/>
              <w:left w:val="nil"/>
              <w:bottom w:val="nil"/>
              <w:right w:val="single" w:sz="4" w:space="0" w:color="auto"/>
            </w:tcBorders>
            <w:shd w:val="clear" w:color="auto" w:fill="auto"/>
            <w:noWrap/>
            <w:vAlign w:val="center"/>
            <w:hideMark/>
          </w:tcPr>
          <w:p w14:paraId="27B8B12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80,00%</w:t>
            </w:r>
          </w:p>
        </w:tc>
        <w:tc>
          <w:tcPr>
            <w:tcW w:w="1989" w:type="dxa"/>
            <w:tcBorders>
              <w:top w:val="nil"/>
              <w:left w:val="nil"/>
              <w:bottom w:val="nil"/>
              <w:right w:val="single" w:sz="4" w:space="0" w:color="auto"/>
            </w:tcBorders>
            <w:shd w:val="clear" w:color="auto" w:fill="auto"/>
            <w:noWrap/>
            <w:vAlign w:val="center"/>
            <w:hideMark/>
          </w:tcPr>
          <w:p w14:paraId="7370195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100,24%</w:t>
            </w:r>
          </w:p>
        </w:tc>
      </w:tr>
      <w:tr w:rsidR="00E8617E" w:rsidRPr="00BC513A" w14:paraId="1F14B95F" w14:textId="77777777" w:rsidTr="00D87D35">
        <w:trPr>
          <w:trHeight w:val="300"/>
        </w:trPr>
        <w:tc>
          <w:tcPr>
            <w:tcW w:w="3844" w:type="dxa"/>
            <w:gridSpan w:val="2"/>
            <w:tcBorders>
              <w:top w:val="single" w:sz="4" w:space="0" w:color="auto"/>
              <w:left w:val="single" w:sz="4" w:space="0" w:color="auto"/>
              <w:bottom w:val="single" w:sz="4" w:space="0" w:color="auto"/>
              <w:right w:val="single" w:sz="4" w:space="0" w:color="auto"/>
            </w:tcBorders>
            <w:shd w:val="clear" w:color="auto" w:fill="FBE4D5" w:themeFill="accent2" w:themeFillTint="33"/>
            <w:vAlign w:val="center"/>
            <w:hideMark/>
          </w:tcPr>
          <w:p w14:paraId="694574A2" w14:textId="023954DF" w:rsidR="00E8617E" w:rsidRPr="00BC513A" w:rsidRDefault="00E8617E" w:rsidP="00AB2B2B">
            <w:pPr>
              <w:spacing w:after="0" w:line="240" w:lineRule="auto"/>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ОБЩО О</w:t>
            </w:r>
            <w:r w:rsidR="00AB2B2B">
              <w:rPr>
                <w:rFonts w:ascii="Arial" w:eastAsia="Times New Roman" w:hAnsi="Arial" w:cs="Arial"/>
                <w:b/>
                <w:bCs/>
                <w:sz w:val="18"/>
                <w:szCs w:val="18"/>
                <w:lang w:eastAsia="bg-BG"/>
              </w:rPr>
              <w:t>с</w:t>
            </w:r>
            <w:r w:rsidRPr="00BC513A">
              <w:rPr>
                <w:rFonts w:ascii="Arial" w:eastAsia="Times New Roman" w:hAnsi="Arial" w:cs="Arial"/>
                <w:b/>
                <w:bCs/>
                <w:sz w:val="18"/>
                <w:szCs w:val="18"/>
                <w:lang w:eastAsia="bg-BG"/>
              </w:rPr>
              <w:t xml:space="preserve"> 1</w:t>
            </w:r>
          </w:p>
        </w:tc>
        <w:tc>
          <w:tcPr>
            <w:tcW w:w="1596"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28986908" w14:textId="77777777" w:rsidR="00E8617E" w:rsidRPr="00322CD4" w:rsidRDefault="00E8617E" w:rsidP="00322CD4">
            <w:pPr>
              <w:spacing w:after="0" w:line="240" w:lineRule="auto"/>
              <w:jc w:val="center"/>
              <w:rPr>
                <w:rFonts w:ascii="Arial" w:eastAsia="Times New Roman" w:hAnsi="Arial" w:cs="Arial"/>
                <w:b/>
                <w:bCs/>
                <w:sz w:val="18"/>
                <w:szCs w:val="18"/>
                <w:lang w:val="en-US" w:eastAsia="bg-BG"/>
              </w:rPr>
            </w:pPr>
            <w:r w:rsidRPr="00BC513A">
              <w:rPr>
                <w:rFonts w:ascii="Arial" w:eastAsia="Times New Roman" w:hAnsi="Arial" w:cs="Arial"/>
                <w:b/>
                <w:bCs/>
                <w:sz w:val="18"/>
                <w:szCs w:val="18"/>
                <w:lang w:eastAsia="bg-BG"/>
              </w:rPr>
              <w:t>1 214 075 31</w:t>
            </w:r>
            <w:r w:rsidR="00322CD4">
              <w:rPr>
                <w:rFonts w:ascii="Arial" w:eastAsia="Times New Roman" w:hAnsi="Arial" w:cs="Arial"/>
                <w:b/>
                <w:bCs/>
                <w:sz w:val="18"/>
                <w:szCs w:val="18"/>
                <w:lang w:val="en-US" w:eastAsia="bg-BG"/>
              </w:rPr>
              <w:t>5</w:t>
            </w:r>
          </w:p>
        </w:tc>
        <w:tc>
          <w:tcPr>
            <w:tcW w:w="1560"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7A022D3F" w14:textId="77777777" w:rsidR="00E8617E" w:rsidRPr="00322CD4" w:rsidRDefault="00E8617E" w:rsidP="00322CD4">
            <w:pPr>
              <w:spacing w:after="0" w:line="240" w:lineRule="auto"/>
              <w:jc w:val="center"/>
              <w:rPr>
                <w:rFonts w:ascii="Arial" w:eastAsia="Times New Roman" w:hAnsi="Arial" w:cs="Arial"/>
                <w:b/>
                <w:bCs/>
                <w:sz w:val="18"/>
                <w:szCs w:val="18"/>
                <w:lang w:val="en-US" w:eastAsia="bg-BG"/>
              </w:rPr>
            </w:pPr>
            <w:r w:rsidRPr="00BC513A">
              <w:rPr>
                <w:rFonts w:ascii="Arial" w:eastAsia="Times New Roman" w:hAnsi="Arial" w:cs="Arial"/>
                <w:b/>
                <w:bCs/>
                <w:sz w:val="18"/>
                <w:szCs w:val="18"/>
                <w:lang w:eastAsia="bg-BG"/>
              </w:rPr>
              <w:t>929 636 46</w:t>
            </w:r>
            <w:r w:rsidR="00322CD4">
              <w:rPr>
                <w:rFonts w:ascii="Arial" w:eastAsia="Times New Roman" w:hAnsi="Arial" w:cs="Arial"/>
                <w:b/>
                <w:bCs/>
                <w:sz w:val="18"/>
                <w:szCs w:val="18"/>
                <w:lang w:val="en-US" w:eastAsia="bg-BG"/>
              </w:rPr>
              <w:t>6</w:t>
            </w:r>
          </w:p>
        </w:tc>
        <w:tc>
          <w:tcPr>
            <w:tcW w:w="1697" w:type="dxa"/>
            <w:tcBorders>
              <w:top w:val="single" w:sz="4" w:space="0" w:color="auto"/>
              <w:left w:val="nil"/>
              <w:bottom w:val="single" w:sz="4" w:space="0" w:color="auto"/>
              <w:right w:val="single" w:sz="4" w:space="0" w:color="auto"/>
            </w:tcBorders>
            <w:shd w:val="clear" w:color="auto" w:fill="FBE4D5" w:themeFill="accent2" w:themeFillTint="33"/>
            <w:vAlign w:val="center"/>
            <w:hideMark/>
          </w:tcPr>
          <w:p w14:paraId="408EC5D2"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924 877 781</w:t>
            </w:r>
          </w:p>
        </w:tc>
        <w:tc>
          <w:tcPr>
            <w:tcW w:w="1563" w:type="dxa"/>
            <w:tcBorders>
              <w:top w:val="single" w:sz="4" w:space="0" w:color="auto"/>
              <w:left w:val="nil"/>
              <w:bottom w:val="single" w:sz="4" w:space="0" w:color="auto"/>
              <w:right w:val="single" w:sz="4" w:space="0" w:color="auto"/>
            </w:tcBorders>
            <w:shd w:val="clear" w:color="auto" w:fill="FBE4D5" w:themeFill="accent2" w:themeFillTint="33"/>
            <w:noWrap/>
            <w:vAlign w:val="center"/>
            <w:hideMark/>
          </w:tcPr>
          <w:p w14:paraId="4047CD8D"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76,57%</w:t>
            </w:r>
          </w:p>
        </w:tc>
        <w:tc>
          <w:tcPr>
            <w:tcW w:w="1843" w:type="dxa"/>
            <w:tcBorders>
              <w:top w:val="single" w:sz="4" w:space="0" w:color="auto"/>
              <w:left w:val="nil"/>
              <w:bottom w:val="single" w:sz="4" w:space="0" w:color="auto"/>
              <w:right w:val="single" w:sz="4" w:space="0" w:color="auto"/>
            </w:tcBorders>
            <w:shd w:val="clear" w:color="auto" w:fill="FBE4D5" w:themeFill="accent2" w:themeFillTint="33"/>
            <w:noWrap/>
            <w:vAlign w:val="center"/>
            <w:hideMark/>
          </w:tcPr>
          <w:p w14:paraId="1DA55FE9"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100,00%</w:t>
            </w:r>
          </w:p>
        </w:tc>
        <w:tc>
          <w:tcPr>
            <w:tcW w:w="1701" w:type="dxa"/>
            <w:tcBorders>
              <w:top w:val="single" w:sz="4" w:space="0" w:color="auto"/>
              <w:left w:val="nil"/>
              <w:bottom w:val="single" w:sz="4" w:space="0" w:color="auto"/>
              <w:right w:val="single" w:sz="4" w:space="0" w:color="auto"/>
            </w:tcBorders>
            <w:shd w:val="clear" w:color="auto" w:fill="FBE4D5" w:themeFill="accent2" w:themeFillTint="33"/>
            <w:noWrap/>
            <w:vAlign w:val="center"/>
            <w:hideMark/>
          </w:tcPr>
          <w:p w14:paraId="6C5D1E45"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80,05%</w:t>
            </w:r>
          </w:p>
        </w:tc>
        <w:tc>
          <w:tcPr>
            <w:tcW w:w="1989" w:type="dxa"/>
            <w:tcBorders>
              <w:top w:val="single" w:sz="4" w:space="0" w:color="auto"/>
              <w:left w:val="nil"/>
              <w:bottom w:val="single" w:sz="4" w:space="0" w:color="auto"/>
              <w:right w:val="single" w:sz="4" w:space="0" w:color="auto"/>
            </w:tcBorders>
            <w:shd w:val="clear" w:color="auto" w:fill="FBE4D5" w:themeFill="accent2" w:themeFillTint="33"/>
            <w:noWrap/>
            <w:vAlign w:val="center"/>
            <w:hideMark/>
          </w:tcPr>
          <w:p w14:paraId="4B5F38D9"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99,49%</w:t>
            </w:r>
          </w:p>
        </w:tc>
      </w:tr>
      <w:tr w:rsidR="00E8617E" w:rsidRPr="00BC513A" w14:paraId="7DEFAC99"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7918317F"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211</w:t>
            </w:r>
          </w:p>
        </w:tc>
        <w:tc>
          <w:tcPr>
            <w:tcW w:w="2944" w:type="dxa"/>
            <w:tcBorders>
              <w:top w:val="nil"/>
              <w:left w:val="nil"/>
              <w:bottom w:val="single" w:sz="4" w:space="0" w:color="auto"/>
              <w:right w:val="single" w:sz="4" w:space="0" w:color="auto"/>
            </w:tcBorders>
            <w:shd w:val="clear" w:color="auto" w:fill="auto"/>
            <w:vAlign w:val="center"/>
            <w:hideMark/>
          </w:tcPr>
          <w:p w14:paraId="302FD9FC"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Плащания за природни ограничения на фермери в планински райони</w:t>
            </w:r>
          </w:p>
        </w:tc>
        <w:tc>
          <w:tcPr>
            <w:tcW w:w="1596" w:type="dxa"/>
            <w:tcBorders>
              <w:top w:val="nil"/>
              <w:left w:val="nil"/>
              <w:bottom w:val="single" w:sz="4" w:space="0" w:color="auto"/>
              <w:right w:val="single" w:sz="4" w:space="0" w:color="auto"/>
            </w:tcBorders>
            <w:shd w:val="clear" w:color="auto" w:fill="auto"/>
            <w:noWrap/>
            <w:vAlign w:val="center"/>
            <w:hideMark/>
          </w:tcPr>
          <w:p w14:paraId="36CA745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233 218 233,00</w:t>
            </w:r>
          </w:p>
        </w:tc>
        <w:tc>
          <w:tcPr>
            <w:tcW w:w="1560" w:type="dxa"/>
            <w:tcBorders>
              <w:top w:val="nil"/>
              <w:left w:val="nil"/>
              <w:bottom w:val="single" w:sz="4" w:space="0" w:color="auto"/>
              <w:right w:val="single" w:sz="4" w:space="0" w:color="auto"/>
            </w:tcBorders>
            <w:shd w:val="clear" w:color="auto" w:fill="auto"/>
            <w:vAlign w:val="center"/>
            <w:hideMark/>
          </w:tcPr>
          <w:p w14:paraId="0FDDCE47" w14:textId="77777777" w:rsidR="00E8617E" w:rsidRPr="00BC513A" w:rsidRDefault="00812BFB" w:rsidP="00922731">
            <w:pPr>
              <w:spacing w:after="0"/>
              <w:jc w:val="center"/>
              <w:rPr>
                <w:rFonts w:ascii="Arial" w:hAnsi="Arial" w:cs="Arial"/>
                <w:color w:val="000000"/>
                <w:sz w:val="18"/>
                <w:szCs w:val="18"/>
                <w:lang w:eastAsia="bg-BG"/>
              </w:rPr>
            </w:pPr>
            <w:r>
              <w:rPr>
                <w:rFonts w:ascii="Arial" w:hAnsi="Arial" w:cs="Arial"/>
                <w:color w:val="000000"/>
                <w:sz w:val="18"/>
                <w:szCs w:val="18"/>
                <w:lang w:eastAsia="bg-BG"/>
              </w:rPr>
              <w:t>164 512 195</w:t>
            </w:r>
          </w:p>
        </w:tc>
        <w:tc>
          <w:tcPr>
            <w:tcW w:w="1697" w:type="dxa"/>
            <w:tcBorders>
              <w:top w:val="nil"/>
              <w:left w:val="nil"/>
              <w:bottom w:val="single" w:sz="4" w:space="0" w:color="auto"/>
              <w:right w:val="single" w:sz="4" w:space="0" w:color="auto"/>
            </w:tcBorders>
            <w:shd w:val="clear" w:color="auto" w:fill="auto"/>
            <w:vAlign w:val="center"/>
            <w:hideMark/>
          </w:tcPr>
          <w:p w14:paraId="4B3F34C3" w14:textId="77777777" w:rsidR="00E8617E" w:rsidRPr="00BC513A" w:rsidRDefault="00812BFB" w:rsidP="00812BFB">
            <w:pPr>
              <w:spacing w:after="0"/>
              <w:jc w:val="center"/>
              <w:rPr>
                <w:rFonts w:ascii="Arial" w:hAnsi="Arial" w:cs="Arial"/>
                <w:color w:val="000000"/>
                <w:sz w:val="18"/>
                <w:szCs w:val="18"/>
                <w:lang w:eastAsia="bg-BG"/>
              </w:rPr>
            </w:pPr>
            <w:r>
              <w:rPr>
                <w:rFonts w:ascii="Arial" w:hAnsi="Arial" w:cs="Arial"/>
                <w:color w:val="000000"/>
                <w:sz w:val="18"/>
                <w:szCs w:val="18"/>
                <w:lang w:eastAsia="bg-BG"/>
              </w:rPr>
              <w:t>164 414 168</w:t>
            </w:r>
          </w:p>
        </w:tc>
        <w:tc>
          <w:tcPr>
            <w:tcW w:w="1563" w:type="dxa"/>
            <w:tcBorders>
              <w:top w:val="nil"/>
              <w:left w:val="nil"/>
              <w:bottom w:val="single" w:sz="4" w:space="0" w:color="auto"/>
              <w:right w:val="single" w:sz="4" w:space="0" w:color="auto"/>
            </w:tcBorders>
            <w:shd w:val="clear" w:color="auto" w:fill="auto"/>
            <w:noWrap/>
            <w:vAlign w:val="center"/>
            <w:hideMark/>
          </w:tcPr>
          <w:p w14:paraId="52D7F4CE"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70,54%</w:t>
            </w:r>
          </w:p>
        </w:tc>
        <w:tc>
          <w:tcPr>
            <w:tcW w:w="1843" w:type="dxa"/>
            <w:tcBorders>
              <w:top w:val="nil"/>
              <w:left w:val="nil"/>
              <w:bottom w:val="single" w:sz="4" w:space="0" w:color="auto"/>
              <w:right w:val="single" w:sz="4" w:space="0" w:color="auto"/>
            </w:tcBorders>
            <w:shd w:val="clear" w:color="auto" w:fill="auto"/>
            <w:noWrap/>
            <w:vAlign w:val="center"/>
            <w:hideMark/>
          </w:tcPr>
          <w:p w14:paraId="41D7661E"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21,93%</w:t>
            </w:r>
          </w:p>
        </w:tc>
        <w:tc>
          <w:tcPr>
            <w:tcW w:w="1701" w:type="dxa"/>
            <w:tcBorders>
              <w:top w:val="nil"/>
              <w:left w:val="nil"/>
              <w:bottom w:val="single" w:sz="4" w:space="0" w:color="auto"/>
              <w:right w:val="single" w:sz="4" w:space="0" w:color="auto"/>
            </w:tcBorders>
            <w:shd w:val="clear" w:color="auto" w:fill="auto"/>
            <w:noWrap/>
            <w:vAlign w:val="center"/>
            <w:hideMark/>
          </w:tcPr>
          <w:p w14:paraId="7F755A3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82,00%</w:t>
            </w:r>
          </w:p>
        </w:tc>
        <w:tc>
          <w:tcPr>
            <w:tcW w:w="1989" w:type="dxa"/>
            <w:tcBorders>
              <w:top w:val="nil"/>
              <w:left w:val="nil"/>
              <w:bottom w:val="single" w:sz="4" w:space="0" w:color="auto"/>
              <w:right w:val="single" w:sz="4" w:space="0" w:color="auto"/>
            </w:tcBorders>
            <w:shd w:val="clear" w:color="auto" w:fill="auto"/>
            <w:noWrap/>
            <w:vAlign w:val="center"/>
            <w:hideMark/>
          </w:tcPr>
          <w:p w14:paraId="541327EE"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99,94%</w:t>
            </w:r>
          </w:p>
        </w:tc>
      </w:tr>
      <w:tr w:rsidR="00E8617E" w:rsidRPr="00BC513A" w14:paraId="1F024D27" w14:textId="77777777" w:rsidTr="00D87D35">
        <w:trPr>
          <w:trHeight w:val="76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6EBD734C"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212</w:t>
            </w:r>
          </w:p>
        </w:tc>
        <w:tc>
          <w:tcPr>
            <w:tcW w:w="2944" w:type="dxa"/>
            <w:tcBorders>
              <w:top w:val="nil"/>
              <w:left w:val="nil"/>
              <w:bottom w:val="single" w:sz="4" w:space="0" w:color="auto"/>
              <w:right w:val="single" w:sz="4" w:space="0" w:color="auto"/>
            </w:tcBorders>
            <w:shd w:val="clear" w:color="auto" w:fill="auto"/>
            <w:vAlign w:val="center"/>
            <w:hideMark/>
          </w:tcPr>
          <w:p w14:paraId="74FD256A"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Плащания за природни ограничения на фермери в райони, различни от планинските</w:t>
            </w:r>
          </w:p>
        </w:tc>
        <w:tc>
          <w:tcPr>
            <w:tcW w:w="1596" w:type="dxa"/>
            <w:tcBorders>
              <w:top w:val="nil"/>
              <w:left w:val="nil"/>
              <w:bottom w:val="single" w:sz="4" w:space="0" w:color="auto"/>
              <w:right w:val="single" w:sz="4" w:space="0" w:color="auto"/>
            </w:tcBorders>
            <w:shd w:val="clear" w:color="auto" w:fill="auto"/>
            <w:noWrap/>
            <w:vAlign w:val="center"/>
            <w:hideMark/>
          </w:tcPr>
          <w:p w14:paraId="2E91489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38 869 706,00</w:t>
            </w:r>
          </w:p>
        </w:tc>
        <w:tc>
          <w:tcPr>
            <w:tcW w:w="1560" w:type="dxa"/>
            <w:tcBorders>
              <w:top w:val="nil"/>
              <w:left w:val="nil"/>
              <w:bottom w:val="single" w:sz="4" w:space="0" w:color="auto"/>
              <w:right w:val="single" w:sz="4" w:space="0" w:color="auto"/>
            </w:tcBorders>
            <w:shd w:val="clear" w:color="auto" w:fill="auto"/>
            <w:vAlign w:val="center"/>
            <w:hideMark/>
          </w:tcPr>
          <w:p w14:paraId="169BD202" w14:textId="77777777" w:rsidR="00E8617E" w:rsidRPr="00BC513A" w:rsidRDefault="00E8617E" w:rsidP="00812BFB">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51 378 04</w:t>
            </w:r>
            <w:r w:rsidR="00812BFB">
              <w:rPr>
                <w:rFonts w:ascii="Arial" w:hAnsi="Arial" w:cs="Arial"/>
                <w:color w:val="000000"/>
                <w:sz w:val="18"/>
                <w:szCs w:val="18"/>
                <w:lang w:val="en-US" w:eastAsia="bg-BG"/>
              </w:rPr>
              <w:t>9</w:t>
            </w:r>
          </w:p>
        </w:tc>
        <w:tc>
          <w:tcPr>
            <w:tcW w:w="1697" w:type="dxa"/>
            <w:tcBorders>
              <w:top w:val="nil"/>
              <w:left w:val="nil"/>
              <w:bottom w:val="single" w:sz="4" w:space="0" w:color="auto"/>
              <w:right w:val="single" w:sz="4" w:space="0" w:color="auto"/>
            </w:tcBorders>
            <w:shd w:val="clear" w:color="auto" w:fill="auto"/>
            <w:vAlign w:val="center"/>
            <w:hideMark/>
          </w:tcPr>
          <w:p w14:paraId="72D44CD2" w14:textId="77777777" w:rsidR="00E8617E" w:rsidRPr="00BC513A" w:rsidRDefault="00E8617E" w:rsidP="00812BFB">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51 357 3</w:t>
            </w:r>
            <w:r w:rsidR="00812BFB">
              <w:rPr>
                <w:rFonts w:ascii="Arial" w:hAnsi="Arial" w:cs="Arial"/>
                <w:color w:val="000000"/>
                <w:sz w:val="18"/>
                <w:szCs w:val="18"/>
                <w:lang w:val="en-US" w:eastAsia="bg-BG"/>
              </w:rPr>
              <w:t>30</w:t>
            </w:r>
          </w:p>
        </w:tc>
        <w:tc>
          <w:tcPr>
            <w:tcW w:w="1563" w:type="dxa"/>
            <w:tcBorders>
              <w:top w:val="nil"/>
              <w:left w:val="nil"/>
              <w:bottom w:val="single" w:sz="4" w:space="0" w:color="auto"/>
              <w:right w:val="single" w:sz="4" w:space="0" w:color="auto"/>
            </w:tcBorders>
            <w:shd w:val="clear" w:color="auto" w:fill="auto"/>
            <w:noWrap/>
            <w:vAlign w:val="center"/>
            <w:hideMark/>
          </w:tcPr>
          <w:p w14:paraId="55941A0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132,18%</w:t>
            </w:r>
          </w:p>
        </w:tc>
        <w:tc>
          <w:tcPr>
            <w:tcW w:w="1843" w:type="dxa"/>
            <w:tcBorders>
              <w:top w:val="nil"/>
              <w:left w:val="nil"/>
              <w:bottom w:val="single" w:sz="4" w:space="0" w:color="auto"/>
              <w:right w:val="single" w:sz="4" w:space="0" w:color="auto"/>
            </w:tcBorders>
            <w:shd w:val="clear" w:color="auto" w:fill="auto"/>
            <w:noWrap/>
            <w:vAlign w:val="center"/>
            <w:hideMark/>
          </w:tcPr>
          <w:p w14:paraId="2DB7ADF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6,85%</w:t>
            </w:r>
          </w:p>
        </w:tc>
        <w:tc>
          <w:tcPr>
            <w:tcW w:w="1701" w:type="dxa"/>
            <w:tcBorders>
              <w:top w:val="nil"/>
              <w:left w:val="nil"/>
              <w:bottom w:val="single" w:sz="4" w:space="0" w:color="auto"/>
              <w:right w:val="single" w:sz="4" w:space="0" w:color="auto"/>
            </w:tcBorders>
            <w:shd w:val="clear" w:color="auto" w:fill="auto"/>
            <w:noWrap/>
            <w:vAlign w:val="center"/>
            <w:hideMark/>
          </w:tcPr>
          <w:p w14:paraId="7A99259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82,00%</w:t>
            </w:r>
          </w:p>
        </w:tc>
        <w:tc>
          <w:tcPr>
            <w:tcW w:w="1989" w:type="dxa"/>
            <w:tcBorders>
              <w:top w:val="nil"/>
              <w:left w:val="nil"/>
              <w:bottom w:val="single" w:sz="4" w:space="0" w:color="auto"/>
              <w:right w:val="single" w:sz="4" w:space="0" w:color="auto"/>
            </w:tcBorders>
            <w:shd w:val="clear" w:color="auto" w:fill="auto"/>
            <w:noWrap/>
            <w:vAlign w:val="center"/>
            <w:hideMark/>
          </w:tcPr>
          <w:p w14:paraId="6043AAF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99,96%</w:t>
            </w:r>
          </w:p>
        </w:tc>
      </w:tr>
      <w:tr w:rsidR="00E8617E" w:rsidRPr="00BC513A" w14:paraId="4EC9DFFB"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365683F8"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213</w:t>
            </w:r>
          </w:p>
        </w:tc>
        <w:tc>
          <w:tcPr>
            <w:tcW w:w="2944" w:type="dxa"/>
            <w:tcBorders>
              <w:top w:val="nil"/>
              <w:left w:val="nil"/>
              <w:bottom w:val="single" w:sz="4" w:space="0" w:color="auto"/>
              <w:right w:val="single" w:sz="4" w:space="0" w:color="auto"/>
            </w:tcBorders>
            <w:shd w:val="clear" w:color="auto" w:fill="auto"/>
            <w:vAlign w:val="center"/>
            <w:hideMark/>
          </w:tcPr>
          <w:p w14:paraId="3011A0C7"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Плащания по Натура 2000 и плащания, свързани с Директива 2000/60/EC (WFD)</w:t>
            </w:r>
          </w:p>
        </w:tc>
        <w:tc>
          <w:tcPr>
            <w:tcW w:w="1596" w:type="dxa"/>
            <w:tcBorders>
              <w:top w:val="nil"/>
              <w:left w:val="nil"/>
              <w:bottom w:val="single" w:sz="4" w:space="0" w:color="auto"/>
              <w:right w:val="single" w:sz="4" w:space="0" w:color="auto"/>
            </w:tcBorders>
            <w:shd w:val="clear" w:color="auto" w:fill="auto"/>
            <w:noWrap/>
            <w:vAlign w:val="center"/>
            <w:hideMark/>
          </w:tcPr>
          <w:p w14:paraId="2F51CA69" w14:textId="77777777" w:rsidR="00E8617E" w:rsidRPr="003E1B15" w:rsidRDefault="003E1B15" w:rsidP="00922731">
            <w:pPr>
              <w:spacing w:after="0"/>
              <w:jc w:val="center"/>
              <w:rPr>
                <w:rFonts w:ascii="Arial" w:hAnsi="Arial" w:cs="Arial"/>
                <w:color w:val="000000"/>
                <w:sz w:val="18"/>
                <w:szCs w:val="18"/>
                <w:lang w:val="en-US" w:eastAsia="bg-BG"/>
              </w:rPr>
            </w:pPr>
            <w:r>
              <w:rPr>
                <w:rFonts w:ascii="Arial" w:hAnsi="Arial" w:cs="Arial"/>
                <w:color w:val="000000"/>
                <w:sz w:val="18"/>
                <w:szCs w:val="18"/>
                <w:lang w:val="en-US" w:eastAsia="bg-BG"/>
              </w:rPr>
              <w:t>108 835 000</w:t>
            </w:r>
          </w:p>
        </w:tc>
        <w:tc>
          <w:tcPr>
            <w:tcW w:w="1560" w:type="dxa"/>
            <w:tcBorders>
              <w:top w:val="nil"/>
              <w:left w:val="nil"/>
              <w:bottom w:val="single" w:sz="4" w:space="0" w:color="auto"/>
              <w:right w:val="single" w:sz="4" w:space="0" w:color="auto"/>
            </w:tcBorders>
            <w:shd w:val="clear" w:color="auto" w:fill="auto"/>
            <w:vAlign w:val="center"/>
            <w:hideMark/>
          </w:tcPr>
          <w:p w14:paraId="6FCEE8FF" w14:textId="77777777" w:rsidR="00E8617E" w:rsidRPr="00BC513A" w:rsidRDefault="00812BFB" w:rsidP="00922731">
            <w:pPr>
              <w:spacing w:after="0"/>
              <w:jc w:val="center"/>
              <w:rPr>
                <w:rFonts w:ascii="Arial" w:hAnsi="Arial" w:cs="Arial"/>
                <w:color w:val="000000"/>
                <w:sz w:val="18"/>
                <w:szCs w:val="18"/>
                <w:lang w:eastAsia="bg-BG"/>
              </w:rPr>
            </w:pPr>
            <w:r>
              <w:rPr>
                <w:rFonts w:ascii="Arial" w:hAnsi="Arial" w:cs="Arial"/>
                <w:color w:val="000000"/>
                <w:sz w:val="18"/>
                <w:szCs w:val="18"/>
                <w:lang w:eastAsia="bg-BG"/>
              </w:rPr>
              <w:t>49 731 707</w:t>
            </w:r>
          </w:p>
        </w:tc>
        <w:tc>
          <w:tcPr>
            <w:tcW w:w="1697" w:type="dxa"/>
            <w:tcBorders>
              <w:top w:val="nil"/>
              <w:left w:val="nil"/>
              <w:bottom w:val="single" w:sz="4" w:space="0" w:color="auto"/>
              <w:right w:val="single" w:sz="4" w:space="0" w:color="auto"/>
            </w:tcBorders>
            <w:shd w:val="clear" w:color="auto" w:fill="auto"/>
            <w:vAlign w:val="center"/>
            <w:hideMark/>
          </w:tcPr>
          <w:p w14:paraId="6FCD6A15" w14:textId="77777777" w:rsidR="00E8617E" w:rsidRPr="00BC513A" w:rsidRDefault="00E8617E" w:rsidP="00812BFB">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49 671 391</w:t>
            </w:r>
          </w:p>
        </w:tc>
        <w:tc>
          <w:tcPr>
            <w:tcW w:w="1563" w:type="dxa"/>
            <w:tcBorders>
              <w:top w:val="nil"/>
              <w:left w:val="nil"/>
              <w:bottom w:val="single" w:sz="4" w:space="0" w:color="auto"/>
              <w:right w:val="single" w:sz="4" w:space="0" w:color="auto"/>
            </w:tcBorders>
            <w:shd w:val="clear" w:color="auto" w:fill="auto"/>
            <w:noWrap/>
            <w:vAlign w:val="center"/>
            <w:hideMark/>
          </w:tcPr>
          <w:p w14:paraId="366B93C0" w14:textId="77777777" w:rsidR="00E8617E" w:rsidRPr="00BC513A" w:rsidRDefault="00BC1A5E" w:rsidP="00BC1A5E">
            <w:pPr>
              <w:spacing w:after="0"/>
              <w:jc w:val="center"/>
              <w:rPr>
                <w:rFonts w:ascii="Arial" w:hAnsi="Arial" w:cs="Arial"/>
                <w:color w:val="000000"/>
                <w:sz w:val="18"/>
                <w:szCs w:val="18"/>
                <w:lang w:eastAsia="bg-BG"/>
              </w:rPr>
            </w:pPr>
            <w:r>
              <w:rPr>
                <w:rFonts w:ascii="Arial" w:hAnsi="Arial" w:cs="Arial"/>
                <w:color w:val="000000"/>
                <w:sz w:val="18"/>
                <w:szCs w:val="18"/>
                <w:lang w:eastAsia="bg-BG"/>
              </w:rPr>
              <w:t>45,69%</w:t>
            </w:r>
          </w:p>
        </w:tc>
        <w:tc>
          <w:tcPr>
            <w:tcW w:w="1843" w:type="dxa"/>
            <w:tcBorders>
              <w:top w:val="nil"/>
              <w:left w:val="nil"/>
              <w:bottom w:val="single" w:sz="4" w:space="0" w:color="auto"/>
              <w:right w:val="single" w:sz="4" w:space="0" w:color="auto"/>
            </w:tcBorders>
            <w:shd w:val="clear" w:color="auto" w:fill="auto"/>
            <w:noWrap/>
            <w:vAlign w:val="center"/>
            <w:hideMark/>
          </w:tcPr>
          <w:p w14:paraId="58100AC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6,63%</w:t>
            </w:r>
          </w:p>
        </w:tc>
        <w:tc>
          <w:tcPr>
            <w:tcW w:w="1701" w:type="dxa"/>
            <w:tcBorders>
              <w:top w:val="nil"/>
              <w:left w:val="nil"/>
              <w:bottom w:val="single" w:sz="4" w:space="0" w:color="auto"/>
              <w:right w:val="single" w:sz="4" w:space="0" w:color="auto"/>
            </w:tcBorders>
            <w:shd w:val="clear" w:color="auto" w:fill="auto"/>
            <w:noWrap/>
            <w:vAlign w:val="center"/>
            <w:hideMark/>
          </w:tcPr>
          <w:p w14:paraId="7A7A9948"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82,00%</w:t>
            </w:r>
          </w:p>
        </w:tc>
        <w:tc>
          <w:tcPr>
            <w:tcW w:w="1989" w:type="dxa"/>
            <w:tcBorders>
              <w:top w:val="nil"/>
              <w:left w:val="nil"/>
              <w:bottom w:val="single" w:sz="4" w:space="0" w:color="auto"/>
              <w:right w:val="single" w:sz="4" w:space="0" w:color="auto"/>
            </w:tcBorders>
            <w:shd w:val="clear" w:color="auto" w:fill="auto"/>
            <w:noWrap/>
            <w:vAlign w:val="center"/>
            <w:hideMark/>
          </w:tcPr>
          <w:p w14:paraId="4C575E4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99,88%</w:t>
            </w:r>
          </w:p>
        </w:tc>
      </w:tr>
      <w:tr w:rsidR="00E8617E" w:rsidRPr="00BC513A" w14:paraId="664E307D"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31A26D83"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214</w:t>
            </w:r>
          </w:p>
        </w:tc>
        <w:tc>
          <w:tcPr>
            <w:tcW w:w="2944" w:type="dxa"/>
            <w:tcBorders>
              <w:top w:val="nil"/>
              <w:left w:val="nil"/>
              <w:bottom w:val="single" w:sz="4" w:space="0" w:color="auto"/>
              <w:right w:val="single" w:sz="4" w:space="0" w:color="auto"/>
            </w:tcBorders>
            <w:shd w:val="clear" w:color="auto" w:fill="auto"/>
            <w:vAlign w:val="center"/>
            <w:hideMark/>
          </w:tcPr>
          <w:p w14:paraId="3F4FFF73"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 xml:space="preserve">Агро-екологични плащания </w:t>
            </w:r>
          </w:p>
        </w:tc>
        <w:tc>
          <w:tcPr>
            <w:tcW w:w="1596" w:type="dxa"/>
            <w:tcBorders>
              <w:top w:val="nil"/>
              <w:left w:val="nil"/>
              <w:bottom w:val="single" w:sz="4" w:space="0" w:color="auto"/>
              <w:right w:val="single" w:sz="4" w:space="0" w:color="auto"/>
            </w:tcBorders>
            <w:shd w:val="clear" w:color="auto" w:fill="auto"/>
            <w:noWrap/>
            <w:vAlign w:val="center"/>
            <w:hideMark/>
          </w:tcPr>
          <w:p w14:paraId="7B07B5D7" w14:textId="77777777" w:rsidR="00E8617E" w:rsidRPr="00BC513A" w:rsidRDefault="00812BFB" w:rsidP="00D87D35">
            <w:pPr>
              <w:spacing w:after="0"/>
              <w:jc w:val="center"/>
              <w:rPr>
                <w:rFonts w:ascii="Arial" w:hAnsi="Arial" w:cs="Arial"/>
                <w:color w:val="000000"/>
                <w:sz w:val="18"/>
                <w:szCs w:val="18"/>
                <w:lang w:eastAsia="bg-BG"/>
              </w:rPr>
            </w:pPr>
            <w:r>
              <w:rPr>
                <w:rFonts w:ascii="Arial" w:hAnsi="Arial" w:cs="Arial"/>
                <w:color w:val="000000"/>
                <w:sz w:val="18"/>
                <w:szCs w:val="18"/>
                <w:lang w:val="en-US" w:eastAsia="bg-BG"/>
              </w:rPr>
              <w:t>310 957 701</w:t>
            </w:r>
          </w:p>
        </w:tc>
        <w:tc>
          <w:tcPr>
            <w:tcW w:w="1560" w:type="dxa"/>
            <w:tcBorders>
              <w:top w:val="nil"/>
              <w:left w:val="nil"/>
              <w:bottom w:val="single" w:sz="4" w:space="0" w:color="auto"/>
              <w:right w:val="single" w:sz="4" w:space="0" w:color="auto"/>
            </w:tcBorders>
            <w:shd w:val="clear" w:color="auto" w:fill="auto"/>
            <w:vAlign w:val="center"/>
            <w:hideMark/>
          </w:tcPr>
          <w:p w14:paraId="71D7FBDA" w14:textId="77777777" w:rsidR="00E8617E" w:rsidRPr="00BC513A" w:rsidRDefault="00E8617E" w:rsidP="00812BFB">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462 560 97</w:t>
            </w:r>
            <w:r w:rsidR="00812BFB">
              <w:rPr>
                <w:rFonts w:ascii="Arial" w:hAnsi="Arial" w:cs="Arial"/>
                <w:color w:val="000000"/>
                <w:sz w:val="18"/>
                <w:szCs w:val="18"/>
                <w:lang w:val="en-US" w:eastAsia="bg-BG"/>
              </w:rPr>
              <w:t>6</w:t>
            </w:r>
          </w:p>
        </w:tc>
        <w:tc>
          <w:tcPr>
            <w:tcW w:w="1697" w:type="dxa"/>
            <w:tcBorders>
              <w:top w:val="nil"/>
              <w:left w:val="nil"/>
              <w:bottom w:val="single" w:sz="4" w:space="0" w:color="auto"/>
              <w:right w:val="single" w:sz="4" w:space="0" w:color="auto"/>
            </w:tcBorders>
            <w:shd w:val="clear" w:color="auto" w:fill="auto"/>
            <w:vAlign w:val="center"/>
            <w:hideMark/>
          </w:tcPr>
          <w:p w14:paraId="05E5D90E" w14:textId="77777777" w:rsidR="00E8617E" w:rsidRPr="00BC513A" w:rsidRDefault="00E8617E" w:rsidP="00812BFB">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462 744 5</w:t>
            </w:r>
            <w:r w:rsidR="00812BFB">
              <w:rPr>
                <w:rFonts w:ascii="Arial" w:hAnsi="Arial" w:cs="Arial"/>
                <w:color w:val="000000"/>
                <w:sz w:val="18"/>
                <w:szCs w:val="18"/>
                <w:lang w:val="en-US" w:eastAsia="bg-BG"/>
              </w:rPr>
              <w:t>20</w:t>
            </w:r>
          </w:p>
        </w:tc>
        <w:tc>
          <w:tcPr>
            <w:tcW w:w="1563" w:type="dxa"/>
            <w:tcBorders>
              <w:top w:val="nil"/>
              <w:left w:val="nil"/>
              <w:bottom w:val="single" w:sz="4" w:space="0" w:color="auto"/>
              <w:right w:val="single" w:sz="4" w:space="0" w:color="auto"/>
            </w:tcBorders>
            <w:shd w:val="clear" w:color="auto" w:fill="auto"/>
            <w:noWrap/>
            <w:vAlign w:val="center"/>
            <w:hideMark/>
          </w:tcPr>
          <w:p w14:paraId="5DC48F21" w14:textId="77777777" w:rsidR="00E8617E" w:rsidRPr="00BC513A" w:rsidRDefault="00E8617E" w:rsidP="00D87D35">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w:t>
            </w:r>
            <w:r w:rsidR="00D87D35">
              <w:rPr>
                <w:rFonts w:ascii="Arial" w:hAnsi="Arial" w:cs="Arial"/>
                <w:color w:val="000000"/>
                <w:sz w:val="18"/>
                <w:szCs w:val="18"/>
                <w:lang w:val="en-US" w:eastAsia="bg-BG"/>
              </w:rPr>
              <w:t>48</w:t>
            </w:r>
            <w:r w:rsidRPr="00BC513A">
              <w:rPr>
                <w:rFonts w:ascii="Arial" w:hAnsi="Arial" w:cs="Arial"/>
                <w:color w:val="000000"/>
                <w:sz w:val="18"/>
                <w:szCs w:val="18"/>
                <w:lang w:eastAsia="bg-BG"/>
              </w:rPr>
              <w:t>,</w:t>
            </w:r>
            <w:r w:rsidR="00D87D35">
              <w:rPr>
                <w:rFonts w:ascii="Arial" w:hAnsi="Arial" w:cs="Arial"/>
                <w:color w:val="000000"/>
                <w:sz w:val="18"/>
                <w:szCs w:val="18"/>
                <w:lang w:val="en-US" w:eastAsia="bg-BG"/>
              </w:rPr>
              <w:t>7</w:t>
            </w:r>
            <w:r w:rsidRPr="00BC513A">
              <w:rPr>
                <w:rFonts w:ascii="Arial" w:hAnsi="Arial" w:cs="Arial"/>
                <w:color w:val="000000"/>
                <w:sz w:val="18"/>
                <w:szCs w:val="18"/>
                <w:lang w:eastAsia="bg-BG"/>
              </w:rPr>
              <w:t>5%</w:t>
            </w:r>
          </w:p>
        </w:tc>
        <w:tc>
          <w:tcPr>
            <w:tcW w:w="1843" w:type="dxa"/>
            <w:tcBorders>
              <w:top w:val="nil"/>
              <w:left w:val="nil"/>
              <w:bottom w:val="single" w:sz="4" w:space="0" w:color="auto"/>
              <w:right w:val="single" w:sz="4" w:space="0" w:color="auto"/>
            </w:tcBorders>
            <w:shd w:val="clear" w:color="auto" w:fill="auto"/>
            <w:noWrap/>
            <w:vAlign w:val="center"/>
            <w:hideMark/>
          </w:tcPr>
          <w:p w14:paraId="58B3C2C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61,73%</w:t>
            </w:r>
          </w:p>
        </w:tc>
        <w:tc>
          <w:tcPr>
            <w:tcW w:w="1701" w:type="dxa"/>
            <w:tcBorders>
              <w:top w:val="nil"/>
              <w:left w:val="nil"/>
              <w:bottom w:val="single" w:sz="4" w:space="0" w:color="auto"/>
              <w:right w:val="single" w:sz="4" w:space="0" w:color="auto"/>
            </w:tcBorders>
            <w:shd w:val="clear" w:color="auto" w:fill="auto"/>
            <w:noWrap/>
            <w:vAlign w:val="center"/>
            <w:hideMark/>
          </w:tcPr>
          <w:p w14:paraId="0344F5D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82,00%</w:t>
            </w:r>
          </w:p>
        </w:tc>
        <w:tc>
          <w:tcPr>
            <w:tcW w:w="1989" w:type="dxa"/>
            <w:tcBorders>
              <w:top w:val="nil"/>
              <w:left w:val="nil"/>
              <w:bottom w:val="single" w:sz="4" w:space="0" w:color="auto"/>
              <w:right w:val="single" w:sz="4" w:space="0" w:color="auto"/>
            </w:tcBorders>
            <w:shd w:val="clear" w:color="auto" w:fill="auto"/>
            <w:noWrap/>
            <w:vAlign w:val="center"/>
            <w:hideMark/>
          </w:tcPr>
          <w:p w14:paraId="0797D18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100,04%</w:t>
            </w:r>
          </w:p>
        </w:tc>
      </w:tr>
      <w:tr w:rsidR="00E8617E" w:rsidRPr="00BC513A" w14:paraId="72F695F0"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60A71353"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223</w:t>
            </w:r>
          </w:p>
        </w:tc>
        <w:tc>
          <w:tcPr>
            <w:tcW w:w="2944" w:type="dxa"/>
            <w:tcBorders>
              <w:top w:val="nil"/>
              <w:left w:val="nil"/>
              <w:bottom w:val="single" w:sz="4" w:space="0" w:color="auto"/>
              <w:right w:val="single" w:sz="4" w:space="0" w:color="auto"/>
            </w:tcBorders>
            <w:shd w:val="clear" w:color="auto" w:fill="auto"/>
            <w:vAlign w:val="center"/>
            <w:hideMark/>
          </w:tcPr>
          <w:p w14:paraId="049D459A"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Първоначално залесяване на неземеделски земи</w:t>
            </w:r>
          </w:p>
        </w:tc>
        <w:tc>
          <w:tcPr>
            <w:tcW w:w="1596" w:type="dxa"/>
            <w:tcBorders>
              <w:top w:val="nil"/>
              <w:left w:val="nil"/>
              <w:bottom w:val="single" w:sz="4" w:space="0" w:color="auto"/>
              <w:right w:val="single" w:sz="4" w:space="0" w:color="auto"/>
            </w:tcBorders>
            <w:shd w:val="clear" w:color="auto" w:fill="auto"/>
            <w:noWrap/>
            <w:vAlign w:val="center"/>
            <w:hideMark/>
          </w:tcPr>
          <w:p w14:paraId="2083CE62" w14:textId="77777777" w:rsidR="00E8617E" w:rsidRPr="00BC513A" w:rsidRDefault="00812BFB" w:rsidP="00922731">
            <w:pPr>
              <w:spacing w:after="0"/>
              <w:jc w:val="center"/>
              <w:rPr>
                <w:rFonts w:ascii="Arial" w:hAnsi="Arial" w:cs="Arial"/>
                <w:color w:val="000000"/>
                <w:sz w:val="18"/>
                <w:szCs w:val="18"/>
                <w:lang w:eastAsia="bg-BG"/>
              </w:rPr>
            </w:pPr>
            <w:r>
              <w:rPr>
                <w:rFonts w:ascii="Arial" w:hAnsi="Arial" w:cs="Arial"/>
                <w:color w:val="000000"/>
                <w:sz w:val="18"/>
                <w:szCs w:val="18"/>
                <w:lang w:eastAsia="bg-BG"/>
              </w:rPr>
              <w:t>40 424 494</w:t>
            </w:r>
          </w:p>
        </w:tc>
        <w:tc>
          <w:tcPr>
            <w:tcW w:w="1560" w:type="dxa"/>
            <w:tcBorders>
              <w:top w:val="nil"/>
              <w:left w:val="nil"/>
              <w:bottom w:val="single" w:sz="4" w:space="0" w:color="auto"/>
              <w:right w:val="single" w:sz="4" w:space="0" w:color="auto"/>
            </w:tcBorders>
            <w:shd w:val="clear" w:color="auto" w:fill="auto"/>
            <w:vAlign w:val="center"/>
            <w:hideMark/>
          </w:tcPr>
          <w:p w14:paraId="7B914A3C" w14:textId="77777777" w:rsidR="00E8617E" w:rsidRPr="00BC513A" w:rsidRDefault="00E8617E" w:rsidP="00812BFB">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7 865 85</w:t>
            </w:r>
            <w:r w:rsidR="00812BFB">
              <w:rPr>
                <w:rFonts w:ascii="Arial" w:hAnsi="Arial" w:cs="Arial"/>
                <w:color w:val="000000"/>
                <w:sz w:val="18"/>
                <w:szCs w:val="18"/>
                <w:lang w:val="en-US" w:eastAsia="bg-BG"/>
              </w:rPr>
              <w:t>4</w:t>
            </w:r>
          </w:p>
        </w:tc>
        <w:tc>
          <w:tcPr>
            <w:tcW w:w="1697" w:type="dxa"/>
            <w:tcBorders>
              <w:top w:val="nil"/>
              <w:left w:val="nil"/>
              <w:bottom w:val="single" w:sz="4" w:space="0" w:color="auto"/>
              <w:right w:val="single" w:sz="4" w:space="0" w:color="auto"/>
            </w:tcBorders>
            <w:shd w:val="clear" w:color="auto" w:fill="auto"/>
            <w:vAlign w:val="center"/>
            <w:hideMark/>
          </w:tcPr>
          <w:p w14:paraId="0FD9C853" w14:textId="77777777" w:rsidR="00E8617E" w:rsidRPr="00BC513A" w:rsidRDefault="00E8617E" w:rsidP="00812BFB">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6 094 42</w:t>
            </w:r>
            <w:r w:rsidR="00812BFB">
              <w:rPr>
                <w:rFonts w:ascii="Arial" w:hAnsi="Arial" w:cs="Arial"/>
                <w:color w:val="000000"/>
                <w:sz w:val="18"/>
                <w:szCs w:val="18"/>
                <w:lang w:val="en-US" w:eastAsia="bg-BG"/>
              </w:rPr>
              <w:t>8</w:t>
            </w:r>
          </w:p>
        </w:tc>
        <w:tc>
          <w:tcPr>
            <w:tcW w:w="1563" w:type="dxa"/>
            <w:tcBorders>
              <w:top w:val="nil"/>
              <w:left w:val="nil"/>
              <w:bottom w:val="single" w:sz="4" w:space="0" w:color="auto"/>
              <w:right w:val="single" w:sz="4" w:space="0" w:color="auto"/>
            </w:tcBorders>
            <w:shd w:val="clear" w:color="auto" w:fill="auto"/>
            <w:noWrap/>
            <w:vAlign w:val="center"/>
            <w:hideMark/>
          </w:tcPr>
          <w:p w14:paraId="30E6DA9D"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19,46%</w:t>
            </w:r>
          </w:p>
        </w:tc>
        <w:tc>
          <w:tcPr>
            <w:tcW w:w="1843" w:type="dxa"/>
            <w:tcBorders>
              <w:top w:val="nil"/>
              <w:left w:val="nil"/>
              <w:bottom w:val="single" w:sz="4" w:space="0" w:color="auto"/>
              <w:right w:val="single" w:sz="4" w:space="0" w:color="auto"/>
            </w:tcBorders>
            <w:shd w:val="clear" w:color="auto" w:fill="auto"/>
            <w:noWrap/>
            <w:vAlign w:val="center"/>
            <w:hideMark/>
          </w:tcPr>
          <w:p w14:paraId="235D974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0,81%</w:t>
            </w:r>
          </w:p>
        </w:tc>
        <w:tc>
          <w:tcPr>
            <w:tcW w:w="1701" w:type="dxa"/>
            <w:tcBorders>
              <w:top w:val="nil"/>
              <w:left w:val="nil"/>
              <w:bottom w:val="single" w:sz="4" w:space="0" w:color="auto"/>
              <w:right w:val="single" w:sz="4" w:space="0" w:color="auto"/>
            </w:tcBorders>
            <w:shd w:val="clear" w:color="auto" w:fill="auto"/>
            <w:noWrap/>
            <w:vAlign w:val="center"/>
            <w:hideMark/>
          </w:tcPr>
          <w:p w14:paraId="5882056A"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82,00%</w:t>
            </w:r>
          </w:p>
        </w:tc>
        <w:tc>
          <w:tcPr>
            <w:tcW w:w="1989" w:type="dxa"/>
            <w:tcBorders>
              <w:top w:val="nil"/>
              <w:left w:val="nil"/>
              <w:bottom w:val="single" w:sz="4" w:space="0" w:color="auto"/>
              <w:right w:val="single" w:sz="4" w:space="0" w:color="auto"/>
            </w:tcBorders>
            <w:shd w:val="clear" w:color="auto" w:fill="auto"/>
            <w:noWrap/>
            <w:vAlign w:val="center"/>
            <w:hideMark/>
          </w:tcPr>
          <w:p w14:paraId="0F16A64D"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77,48%</w:t>
            </w:r>
          </w:p>
        </w:tc>
      </w:tr>
      <w:tr w:rsidR="00D87D35" w:rsidRPr="00BC513A" w14:paraId="61F923AA"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tcPr>
          <w:p w14:paraId="78E2FA57" w14:textId="77777777" w:rsidR="00D87D35" w:rsidRPr="00D87D35" w:rsidRDefault="00D87D35" w:rsidP="00922731">
            <w:pPr>
              <w:rPr>
                <w:rFonts w:ascii="Arial" w:hAnsi="Arial" w:cs="Arial"/>
                <w:sz w:val="18"/>
                <w:szCs w:val="18"/>
                <w:lang w:val="en-US" w:eastAsia="bg-BG"/>
              </w:rPr>
            </w:pPr>
            <w:r>
              <w:rPr>
                <w:rFonts w:ascii="Arial" w:hAnsi="Arial" w:cs="Arial"/>
                <w:sz w:val="18"/>
                <w:szCs w:val="18"/>
                <w:lang w:val="en-US" w:eastAsia="bg-BG"/>
              </w:rPr>
              <w:t>224</w:t>
            </w:r>
          </w:p>
        </w:tc>
        <w:tc>
          <w:tcPr>
            <w:tcW w:w="2944" w:type="dxa"/>
            <w:tcBorders>
              <w:top w:val="nil"/>
              <w:left w:val="nil"/>
              <w:bottom w:val="single" w:sz="4" w:space="0" w:color="auto"/>
              <w:right w:val="single" w:sz="4" w:space="0" w:color="auto"/>
            </w:tcBorders>
            <w:shd w:val="clear" w:color="auto" w:fill="auto"/>
            <w:vAlign w:val="center"/>
          </w:tcPr>
          <w:p w14:paraId="36AADA03" w14:textId="77777777" w:rsidR="00D87D35" w:rsidRPr="00BC513A" w:rsidRDefault="00D87D35" w:rsidP="00922731">
            <w:pPr>
              <w:spacing w:after="0"/>
              <w:rPr>
                <w:rFonts w:ascii="Arial" w:hAnsi="Arial" w:cs="Arial"/>
                <w:sz w:val="18"/>
                <w:szCs w:val="18"/>
                <w:lang w:eastAsia="bg-BG"/>
              </w:rPr>
            </w:pPr>
            <w:r w:rsidRPr="00D87D35">
              <w:rPr>
                <w:rFonts w:ascii="Arial" w:hAnsi="Arial" w:cs="Arial"/>
                <w:sz w:val="18"/>
                <w:szCs w:val="18"/>
                <w:lang w:eastAsia="bg-BG"/>
              </w:rPr>
              <w:t>Плащания по Натура 2000 - за гори</w:t>
            </w:r>
          </w:p>
        </w:tc>
        <w:tc>
          <w:tcPr>
            <w:tcW w:w="1596" w:type="dxa"/>
            <w:tcBorders>
              <w:top w:val="nil"/>
              <w:left w:val="nil"/>
              <w:bottom w:val="single" w:sz="4" w:space="0" w:color="auto"/>
              <w:right w:val="single" w:sz="4" w:space="0" w:color="auto"/>
            </w:tcBorders>
            <w:shd w:val="clear" w:color="auto" w:fill="auto"/>
            <w:noWrap/>
            <w:vAlign w:val="center"/>
          </w:tcPr>
          <w:p w14:paraId="537A690D" w14:textId="77777777" w:rsidR="00D87D35" w:rsidRPr="00D87D35" w:rsidRDefault="00D87D35" w:rsidP="00D87D35">
            <w:pPr>
              <w:spacing w:after="0"/>
              <w:jc w:val="center"/>
              <w:rPr>
                <w:rFonts w:ascii="Arial" w:hAnsi="Arial" w:cs="Arial"/>
                <w:color w:val="000000"/>
                <w:sz w:val="18"/>
                <w:szCs w:val="18"/>
                <w:lang w:val="en-US" w:eastAsia="bg-BG"/>
              </w:rPr>
            </w:pPr>
            <w:r>
              <w:rPr>
                <w:rFonts w:ascii="Arial" w:hAnsi="Arial" w:cs="Arial"/>
                <w:color w:val="000000"/>
                <w:sz w:val="18"/>
                <w:szCs w:val="18"/>
                <w:lang w:val="en-US" w:eastAsia="bg-BG"/>
              </w:rPr>
              <w:t>15 548 000</w:t>
            </w:r>
          </w:p>
        </w:tc>
        <w:tc>
          <w:tcPr>
            <w:tcW w:w="10353" w:type="dxa"/>
            <w:gridSpan w:val="6"/>
            <w:tcBorders>
              <w:top w:val="nil"/>
              <w:left w:val="nil"/>
              <w:bottom w:val="single" w:sz="4" w:space="0" w:color="auto"/>
              <w:right w:val="single" w:sz="4" w:space="0" w:color="auto"/>
            </w:tcBorders>
            <w:shd w:val="clear" w:color="auto" w:fill="auto"/>
            <w:vAlign w:val="center"/>
          </w:tcPr>
          <w:p w14:paraId="1A1CE7E6" w14:textId="77777777" w:rsidR="00D87D35" w:rsidRPr="00BC513A" w:rsidRDefault="00D87D35" w:rsidP="00922731">
            <w:pPr>
              <w:spacing w:after="0"/>
              <w:jc w:val="center"/>
              <w:rPr>
                <w:rFonts w:ascii="Arial" w:hAnsi="Arial" w:cs="Arial"/>
                <w:color w:val="000000"/>
                <w:sz w:val="18"/>
                <w:szCs w:val="18"/>
                <w:lang w:eastAsia="bg-BG"/>
              </w:rPr>
            </w:pPr>
            <w:r w:rsidRPr="00F92E10">
              <w:rPr>
                <w:rFonts w:ascii="Arial" w:hAnsi="Arial" w:cs="Arial"/>
                <w:color w:val="000000"/>
                <w:sz w:val="18"/>
                <w:szCs w:val="18"/>
              </w:rPr>
              <w:t>не стартира и не е изпълнена</w:t>
            </w:r>
          </w:p>
        </w:tc>
      </w:tr>
      <w:tr w:rsidR="00E8617E" w:rsidRPr="00BC513A" w14:paraId="188AED55"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2DDA2B0B"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226</w:t>
            </w:r>
          </w:p>
        </w:tc>
        <w:tc>
          <w:tcPr>
            <w:tcW w:w="2944" w:type="dxa"/>
            <w:tcBorders>
              <w:top w:val="nil"/>
              <w:left w:val="nil"/>
              <w:bottom w:val="single" w:sz="4" w:space="0" w:color="auto"/>
              <w:right w:val="single" w:sz="4" w:space="0" w:color="auto"/>
            </w:tcBorders>
            <w:shd w:val="clear" w:color="auto" w:fill="auto"/>
            <w:vAlign w:val="center"/>
            <w:hideMark/>
          </w:tcPr>
          <w:p w14:paraId="25B20942"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Възстановяване на горския потенциал и въвеждане на превантивни дейности</w:t>
            </w:r>
          </w:p>
        </w:tc>
        <w:tc>
          <w:tcPr>
            <w:tcW w:w="1596" w:type="dxa"/>
            <w:tcBorders>
              <w:top w:val="nil"/>
              <w:left w:val="nil"/>
              <w:bottom w:val="single" w:sz="4" w:space="0" w:color="auto"/>
              <w:right w:val="single" w:sz="4" w:space="0" w:color="auto"/>
            </w:tcBorders>
            <w:shd w:val="clear" w:color="auto" w:fill="auto"/>
            <w:noWrap/>
            <w:vAlign w:val="center"/>
            <w:hideMark/>
          </w:tcPr>
          <w:p w14:paraId="3A19EEA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29 540 976,00</w:t>
            </w:r>
          </w:p>
        </w:tc>
        <w:tc>
          <w:tcPr>
            <w:tcW w:w="1560" w:type="dxa"/>
            <w:tcBorders>
              <w:top w:val="nil"/>
              <w:left w:val="nil"/>
              <w:bottom w:val="single" w:sz="4" w:space="0" w:color="auto"/>
              <w:right w:val="single" w:sz="4" w:space="0" w:color="auto"/>
            </w:tcBorders>
            <w:shd w:val="clear" w:color="auto" w:fill="auto"/>
            <w:vAlign w:val="center"/>
            <w:hideMark/>
          </w:tcPr>
          <w:p w14:paraId="0FE5A064" w14:textId="77777777" w:rsidR="00E8617E" w:rsidRPr="00BC513A" w:rsidRDefault="00E8617E" w:rsidP="00812BFB">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15 085 36</w:t>
            </w:r>
            <w:r w:rsidR="00812BFB">
              <w:rPr>
                <w:rFonts w:ascii="Arial" w:hAnsi="Arial" w:cs="Arial"/>
                <w:color w:val="000000"/>
                <w:sz w:val="18"/>
                <w:szCs w:val="18"/>
                <w:lang w:val="en-US" w:eastAsia="bg-BG"/>
              </w:rPr>
              <w:t>6</w:t>
            </w:r>
          </w:p>
        </w:tc>
        <w:tc>
          <w:tcPr>
            <w:tcW w:w="1697" w:type="dxa"/>
            <w:tcBorders>
              <w:top w:val="nil"/>
              <w:left w:val="nil"/>
              <w:bottom w:val="single" w:sz="4" w:space="0" w:color="auto"/>
              <w:right w:val="single" w:sz="4" w:space="0" w:color="auto"/>
            </w:tcBorders>
            <w:shd w:val="clear" w:color="auto" w:fill="auto"/>
            <w:vAlign w:val="center"/>
            <w:hideMark/>
          </w:tcPr>
          <w:p w14:paraId="7746CB61" w14:textId="77777777" w:rsidR="00E8617E" w:rsidRPr="00BC513A" w:rsidRDefault="00E8617E" w:rsidP="00812BFB">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15 324 235</w:t>
            </w:r>
          </w:p>
        </w:tc>
        <w:tc>
          <w:tcPr>
            <w:tcW w:w="1563" w:type="dxa"/>
            <w:tcBorders>
              <w:top w:val="nil"/>
              <w:left w:val="nil"/>
              <w:bottom w:val="single" w:sz="4" w:space="0" w:color="auto"/>
              <w:right w:val="single" w:sz="4" w:space="0" w:color="auto"/>
            </w:tcBorders>
            <w:shd w:val="clear" w:color="auto" w:fill="auto"/>
            <w:noWrap/>
            <w:vAlign w:val="center"/>
            <w:hideMark/>
          </w:tcPr>
          <w:p w14:paraId="71F54B23"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51,07%</w:t>
            </w:r>
          </w:p>
        </w:tc>
        <w:tc>
          <w:tcPr>
            <w:tcW w:w="1843" w:type="dxa"/>
            <w:tcBorders>
              <w:top w:val="nil"/>
              <w:left w:val="nil"/>
              <w:bottom w:val="single" w:sz="4" w:space="0" w:color="auto"/>
              <w:right w:val="single" w:sz="4" w:space="0" w:color="auto"/>
            </w:tcBorders>
            <w:shd w:val="clear" w:color="auto" w:fill="auto"/>
            <w:noWrap/>
            <w:vAlign w:val="center"/>
            <w:hideMark/>
          </w:tcPr>
          <w:p w14:paraId="6A50642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2,04%</w:t>
            </w:r>
          </w:p>
        </w:tc>
        <w:tc>
          <w:tcPr>
            <w:tcW w:w="1701" w:type="dxa"/>
            <w:tcBorders>
              <w:top w:val="nil"/>
              <w:left w:val="nil"/>
              <w:bottom w:val="single" w:sz="4" w:space="0" w:color="auto"/>
              <w:right w:val="single" w:sz="4" w:space="0" w:color="auto"/>
            </w:tcBorders>
            <w:shd w:val="clear" w:color="auto" w:fill="auto"/>
            <w:noWrap/>
            <w:vAlign w:val="center"/>
            <w:hideMark/>
          </w:tcPr>
          <w:p w14:paraId="291E9E9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82,00%</w:t>
            </w:r>
          </w:p>
        </w:tc>
        <w:tc>
          <w:tcPr>
            <w:tcW w:w="1989" w:type="dxa"/>
            <w:tcBorders>
              <w:top w:val="nil"/>
              <w:left w:val="nil"/>
              <w:bottom w:val="single" w:sz="4" w:space="0" w:color="auto"/>
              <w:right w:val="single" w:sz="4" w:space="0" w:color="auto"/>
            </w:tcBorders>
            <w:shd w:val="clear" w:color="auto" w:fill="auto"/>
            <w:noWrap/>
            <w:vAlign w:val="center"/>
            <w:hideMark/>
          </w:tcPr>
          <w:p w14:paraId="16B77ED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101,58%</w:t>
            </w:r>
          </w:p>
        </w:tc>
      </w:tr>
      <w:tr w:rsidR="00E8617E" w:rsidRPr="00BC513A" w14:paraId="1B52A793" w14:textId="77777777" w:rsidTr="00D87D35">
        <w:trPr>
          <w:trHeight w:val="255"/>
        </w:trPr>
        <w:tc>
          <w:tcPr>
            <w:tcW w:w="3844" w:type="dxa"/>
            <w:gridSpan w:val="2"/>
            <w:tcBorders>
              <w:top w:val="nil"/>
              <w:left w:val="single" w:sz="4" w:space="0" w:color="auto"/>
              <w:bottom w:val="single" w:sz="4" w:space="0" w:color="auto"/>
              <w:right w:val="single" w:sz="4" w:space="0" w:color="auto"/>
            </w:tcBorders>
            <w:shd w:val="clear" w:color="auto" w:fill="D9E2F3" w:themeFill="accent5" w:themeFillTint="33"/>
            <w:vAlign w:val="center"/>
            <w:hideMark/>
          </w:tcPr>
          <w:p w14:paraId="24BF91D3" w14:textId="10671215" w:rsidR="00E8617E" w:rsidRPr="00BC513A" w:rsidRDefault="00E8617E" w:rsidP="00AB2B2B">
            <w:pPr>
              <w:spacing w:after="0" w:line="240" w:lineRule="auto"/>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ОБЩО О</w:t>
            </w:r>
            <w:r w:rsidR="00AB2B2B">
              <w:rPr>
                <w:rFonts w:ascii="Arial" w:eastAsia="Times New Roman" w:hAnsi="Arial" w:cs="Arial"/>
                <w:b/>
                <w:bCs/>
                <w:sz w:val="18"/>
                <w:szCs w:val="18"/>
                <w:lang w:eastAsia="bg-BG"/>
              </w:rPr>
              <w:t>с</w:t>
            </w:r>
            <w:r w:rsidRPr="00BC513A">
              <w:rPr>
                <w:rFonts w:ascii="Arial" w:eastAsia="Times New Roman" w:hAnsi="Arial" w:cs="Arial"/>
                <w:b/>
                <w:bCs/>
                <w:sz w:val="18"/>
                <w:szCs w:val="18"/>
                <w:lang w:eastAsia="bg-BG"/>
              </w:rPr>
              <w:t xml:space="preserve"> 2</w:t>
            </w:r>
          </w:p>
        </w:tc>
        <w:tc>
          <w:tcPr>
            <w:tcW w:w="1596" w:type="dxa"/>
            <w:tcBorders>
              <w:top w:val="nil"/>
              <w:left w:val="nil"/>
              <w:bottom w:val="single" w:sz="4" w:space="0" w:color="auto"/>
              <w:right w:val="single" w:sz="4" w:space="0" w:color="auto"/>
            </w:tcBorders>
            <w:shd w:val="clear" w:color="auto" w:fill="D9E2F3" w:themeFill="accent5" w:themeFillTint="33"/>
            <w:noWrap/>
            <w:vAlign w:val="center"/>
            <w:hideMark/>
          </w:tcPr>
          <w:p w14:paraId="644A0B1D"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777 394 110</w:t>
            </w:r>
          </w:p>
        </w:tc>
        <w:tc>
          <w:tcPr>
            <w:tcW w:w="1560" w:type="dxa"/>
            <w:tcBorders>
              <w:top w:val="nil"/>
              <w:left w:val="nil"/>
              <w:bottom w:val="single" w:sz="4" w:space="0" w:color="auto"/>
              <w:right w:val="single" w:sz="4" w:space="0" w:color="auto"/>
            </w:tcBorders>
            <w:shd w:val="clear" w:color="auto" w:fill="D9E2F3" w:themeFill="accent5" w:themeFillTint="33"/>
            <w:noWrap/>
            <w:vAlign w:val="center"/>
            <w:hideMark/>
          </w:tcPr>
          <w:p w14:paraId="079951F9"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751 134 146</w:t>
            </w:r>
          </w:p>
        </w:tc>
        <w:tc>
          <w:tcPr>
            <w:tcW w:w="1697" w:type="dxa"/>
            <w:tcBorders>
              <w:top w:val="nil"/>
              <w:left w:val="nil"/>
              <w:bottom w:val="single" w:sz="4" w:space="0" w:color="auto"/>
              <w:right w:val="single" w:sz="4" w:space="0" w:color="auto"/>
            </w:tcBorders>
            <w:shd w:val="clear" w:color="auto" w:fill="D9E2F3" w:themeFill="accent5" w:themeFillTint="33"/>
            <w:noWrap/>
            <w:vAlign w:val="center"/>
            <w:hideMark/>
          </w:tcPr>
          <w:p w14:paraId="1FEA694B"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749 606 072</w:t>
            </w:r>
          </w:p>
        </w:tc>
        <w:tc>
          <w:tcPr>
            <w:tcW w:w="1563" w:type="dxa"/>
            <w:tcBorders>
              <w:top w:val="nil"/>
              <w:left w:val="nil"/>
              <w:bottom w:val="single" w:sz="4" w:space="0" w:color="auto"/>
              <w:right w:val="single" w:sz="4" w:space="0" w:color="auto"/>
            </w:tcBorders>
            <w:shd w:val="clear" w:color="auto" w:fill="D9E2F3" w:themeFill="accent5" w:themeFillTint="33"/>
            <w:noWrap/>
            <w:vAlign w:val="center"/>
            <w:hideMark/>
          </w:tcPr>
          <w:p w14:paraId="7ED61FAF"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96,62%</w:t>
            </w:r>
          </w:p>
        </w:tc>
        <w:tc>
          <w:tcPr>
            <w:tcW w:w="1843" w:type="dxa"/>
            <w:tcBorders>
              <w:top w:val="nil"/>
              <w:left w:val="nil"/>
              <w:bottom w:val="single" w:sz="4" w:space="0" w:color="auto"/>
              <w:right w:val="single" w:sz="4" w:space="0" w:color="auto"/>
            </w:tcBorders>
            <w:shd w:val="clear" w:color="auto" w:fill="D9E2F3" w:themeFill="accent5" w:themeFillTint="33"/>
            <w:noWrap/>
            <w:vAlign w:val="center"/>
            <w:hideMark/>
          </w:tcPr>
          <w:p w14:paraId="778A7AAD"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100,00%</w:t>
            </w:r>
          </w:p>
        </w:tc>
        <w:tc>
          <w:tcPr>
            <w:tcW w:w="1701" w:type="dxa"/>
            <w:tcBorders>
              <w:top w:val="nil"/>
              <w:left w:val="nil"/>
              <w:bottom w:val="single" w:sz="4" w:space="0" w:color="auto"/>
              <w:right w:val="single" w:sz="4" w:space="0" w:color="auto"/>
            </w:tcBorders>
            <w:shd w:val="clear" w:color="auto" w:fill="D9E2F3" w:themeFill="accent5" w:themeFillTint="33"/>
            <w:noWrap/>
            <w:vAlign w:val="center"/>
            <w:hideMark/>
          </w:tcPr>
          <w:p w14:paraId="169133AA"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82,00%</w:t>
            </w:r>
          </w:p>
        </w:tc>
        <w:tc>
          <w:tcPr>
            <w:tcW w:w="1989" w:type="dxa"/>
            <w:tcBorders>
              <w:top w:val="nil"/>
              <w:left w:val="nil"/>
              <w:bottom w:val="single" w:sz="4" w:space="0" w:color="auto"/>
              <w:right w:val="single" w:sz="4" w:space="0" w:color="auto"/>
            </w:tcBorders>
            <w:shd w:val="clear" w:color="auto" w:fill="D9E2F3" w:themeFill="accent5" w:themeFillTint="33"/>
            <w:noWrap/>
            <w:vAlign w:val="center"/>
            <w:hideMark/>
          </w:tcPr>
          <w:p w14:paraId="5B77BB20"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99,80%</w:t>
            </w:r>
          </w:p>
        </w:tc>
      </w:tr>
      <w:tr w:rsidR="00E8617E" w:rsidRPr="00BC513A" w14:paraId="3133736E" w14:textId="77777777" w:rsidTr="00D87D35">
        <w:trPr>
          <w:trHeight w:val="66"/>
        </w:trPr>
        <w:tc>
          <w:tcPr>
            <w:tcW w:w="15793" w:type="dxa"/>
            <w:gridSpan w:val="9"/>
            <w:tcBorders>
              <w:top w:val="nil"/>
              <w:left w:val="single" w:sz="4" w:space="0" w:color="auto"/>
              <w:bottom w:val="single" w:sz="4" w:space="0" w:color="auto"/>
              <w:right w:val="single" w:sz="4" w:space="0" w:color="auto"/>
            </w:tcBorders>
            <w:shd w:val="clear" w:color="000000" w:fill="FFFFFF"/>
            <w:vAlign w:val="center"/>
            <w:hideMark/>
          </w:tcPr>
          <w:p w14:paraId="4CF369EC"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513A" w14:paraId="12AC8E3F"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DDFFDA2"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311</w:t>
            </w:r>
          </w:p>
        </w:tc>
        <w:tc>
          <w:tcPr>
            <w:tcW w:w="2944" w:type="dxa"/>
            <w:tcBorders>
              <w:top w:val="nil"/>
              <w:left w:val="nil"/>
              <w:bottom w:val="single" w:sz="4" w:space="0" w:color="auto"/>
              <w:right w:val="single" w:sz="4" w:space="0" w:color="auto"/>
            </w:tcBorders>
            <w:shd w:val="clear" w:color="auto" w:fill="auto"/>
            <w:vAlign w:val="center"/>
            <w:hideMark/>
          </w:tcPr>
          <w:p w14:paraId="3511EBF2"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Разнообразяване към неземеделски дейности</w:t>
            </w:r>
          </w:p>
        </w:tc>
        <w:tc>
          <w:tcPr>
            <w:tcW w:w="1596" w:type="dxa"/>
            <w:tcBorders>
              <w:top w:val="nil"/>
              <w:left w:val="nil"/>
              <w:bottom w:val="single" w:sz="4" w:space="0" w:color="auto"/>
              <w:right w:val="single" w:sz="4" w:space="0" w:color="auto"/>
            </w:tcBorders>
            <w:shd w:val="clear" w:color="auto" w:fill="auto"/>
            <w:noWrap/>
            <w:vAlign w:val="center"/>
            <w:hideMark/>
          </w:tcPr>
          <w:p w14:paraId="0B957052"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141 957 067,00</w:t>
            </w:r>
          </w:p>
        </w:tc>
        <w:tc>
          <w:tcPr>
            <w:tcW w:w="1560" w:type="dxa"/>
            <w:tcBorders>
              <w:top w:val="nil"/>
              <w:left w:val="nil"/>
              <w:bottom w:val="single" w:sz="4" w:space="0" w:color="auto"/>
              <w:right w:val="single" w:sz="4" w:space="0" w:color="auto"/>
            </w:tcBorders>
            <w:shd w:val="clear" w:color="auto" w:fill="auto"/>
            <w:vAlign w:val="center"/>
            <w:hideMark/>
          </w:tcPr>
          <w:p w14:paraId="7F029F40"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74 954 167</w:t>
            </w:r>
          </w:p>
        </w:tc>
        <w:tc>
          <w:tcPr>
            <w:tcW w:w="1697" w:type="dxa"/>
            <w:tcBorders>
              <w:top w:val="nil"/>
              <w:left w:val="nil"/>
              <w:bottom w:val="single" w:sz="4" w:space="0" w:color="auto"/>
              <w:right w:val="single" w:sz="4" w:space="0" w:color="auto"/>
            </w:tcBorders>
            <w:shd w:val="clear" w:color="auto" w:fill="auto"/>
            <w:vAlign w:val="center"/>
            <w:hideMark/>
          </w:tcPr>
          <w:p w14:paraId="22A45390"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73 494 406</w:t>
            </w:r>
          </w:p>
        </w:tc>
        <w:tc>
          <w:tcPr>
            <w:tcW w:w="1563" w:type="dxa"/>
            <w:tcBorders>
              <w:top w:val="nil"/>
              <w:left w:val="nil"/>
              <w:bottom w:val="single" w:sz="4" w:space="0" w:color="auto"/>
              <w:right w:val="single" w:sz="4" w:space="0" w:color="auto"/>
            </w:tcBorders>
            <w:shd w:val="clear" w:color="auto" w:fill="auto"/>
            <w:noWrap/>
            <w:vAlign w:val="center"/>
            <w:hideMark/>
          </w:tcPr>
          <w:p w14:paraId="152671CA"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52,80%</w:t>
            </w:r>
          </w:p>
        </w:tc>
        <w:tc>
          <w:tcPr>
            <w:tcW w:w="1843" w:type="dxa"/>
            <w:tcBorders>
              <w:top w:val="nil"/>
              <w:left w:val="nil"/>
              <w:bottom w:val="single" w:sz="4" w:space="0" w:color="auto"/>
              <w:right w:val="single" w:sz="4" w:space="0" w:color="auto"/>
            </w:tcBorders>
            <w:shd w:val="clear" w:color="auto" w:fill="auto"/>
            <w:noWrap/>
            <w:vAlign w:val="center"/>
            <w:hideMark/>
          </w:tcPr>
          <w:p w14:paraId="7EE807E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6,37%</w:t>
            </w:r>
          </w:p>
        </w:tc>
        <w:tc>
          <w:tcPr>
            <w:tcW w:w="1701" w:type="dxa"/>
            <w:tcBorders>
              <w:top w:val="nil"/>
              <w:left w:val="nil"/>
              <w:bottom w:val="single" w:sz="4" w:space="0" w:color="auto"/>
              <w:right w:val="single" w:sz="4" w:space="0" w:color="auto"/>
            </w:tcBorders>
            <w:shd w:val="clear" w:color="auto" w:fill="auto"/>
            <w:noWrap/>
            <w:vAlign w:val="center"/>
            <w:hideMark/>
          </w:tcPr>
          <w:p w14:paraId="2683371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80,20%</w:t>
            </w:r>
          </w:p>
        </w:tc>
        <w:tc>
          <w:tcPr>
            <w:tcW w:w="1989" w:type="dxa"/>
            <w:tcBorders>
              <w:top w:val="nil"/>
              <w:left w:val="nil"/>
              <w:bottom w:val="single" w:sz="4" w:space="0" w:color="auto"/>
              <w:right w:val="single" w:sz="4" w:space="0" w:color="auto"/>
            </w:tcBorders>
            <w:shd w:val="clear" w:color="auto" w:fill="auto"/>
            <w:noWrap/>
            <w:vAlign w:val="center"/>
            <w:hideMark/>
          </w:tcPr>
          <w:p w14:paraId="12E5BDB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98,05%</w:t>
            </w:r>
          </w:p>
        </w:tc>
      </w:tr>
      <w:tr w:rsidR="00E8617E" w:rsidRPr="00BC513A" w14:paraId="103CD20A"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00D9BC2A"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lastRenderedPageBreak/>
              <w:t>312</w:t>
            </w:r>
          </w:p>
        </w:tc>
        <w:tc>
          <w:tcPr>
            <w:tcW w:w="2944" w:type="dxa"/>
            <w:tcBorders>
              <w:top w:val="nil"/>
              <w:left w:val="nil"/>
              <w:bottom w:val="single" w:sz="4" w:space="0" w:color="auto"/>
              <w:right w:val="single" w:sz="4" w:space="0" w:color="auto"/>
            </w:tcBorders>
            <w:shd w:val="clear" w:color="auto" w:fill="auto"/>
            <w:vAlign w:val="center"/>
            <w:hideMark/>
          </w:tcPr>
          <w:p w14:paraId="3C14505B"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Подкрепа за създаване и развитие на микро-предприятия</w:t>
            </w:r>
          </w:p>
        </w:tc>
        <w:tc>
          <w:tcPr>
            <w:tcW w:w="1596" w:type="dxa"/>
            <w:tcBorders>
              <w:top w:val="nil"/>
              <w:left w:val="nil"/>
              <w:bottom w:val="single" w:sz="4" w:space="0" w:color="auto"/>
              <w:right w:val="single" w:sz="4" w:space="0" w:color="auto"/>
            </w:tcBorders>
            <w:shd w:val="clear" w:color="auto" w:fill="auto"/>
            <w:noWrap/>
            <w:vAlign w:val="center"/>
            <w:hideMark/>
          </w:tcPr>
          <w:p w14:paraId="725B7645"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135 034 098,00</w:t>
            </w:r>
          </w:p>
        </w:tc>
        <w:tc>
          <w:tcPr>
            <w:tcW w:w="1560" w:type="dxa"/>
            <w:tcBorders>
              <w:top w:val="nil"/>
              <w:left w:val="nil"/>
              <w:bottom w:val="single" w:sz="4" w:space="0" w:color="auto"/>
              <w:right w:val="single" w:sz="4" w:space="0" w:color="auto"/>
            </w:tcBorders>
            <w:shd w:val="clear" w:color="auto" w:fill="auto"/>
            <w:vAlign w:val="center"/>
            <w:hideMark/>
          </w:tcPr>
          <w:p w14:paraId="39D517B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109 866 666</w:t>
            </w:r>
          </w:p>
        </w:tc>
        <w:tc>
          <w:tcPr>
            <w:tcW w:w="1697" w:type="dxa"/>
            <w:tcBorders>
              <w:top w:val="nil"/>
              <w:left w:val="nil"/>
              <w:bottom w:val="single" w:sz="4" w:space="0" w:color="auto"/>
              <w:right w:val="single" w:sz="4" w:space="0" w:color="auto"/>
            </w:tcBorders>
            <w:shd w:val="clear" w:color="auto" w:fill="auto"/>
            <w:vAlign w:val="center"/>
            <w:hideMark/>
          </w:tcPr>
          <w:p w14:paraId="3EFCDCC5"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107 536 951</w:t>
            </w:r>
          </w:p>
        </w:tc>
        <w:tc>
          <w:tcPr>
            <w:tcW w:w="1563" w:type="dxa"/>
            <w:tcBorders>
              <w:top w:val="nil"/>
              <w:left w:val="nil"/>
              <w:bottom w:val="single" w:sz="4" w:space="0" w:color="auto"/>
              <w:right w:val="single" w:sz="4" w:space="0" w:color="auto"/>
            </w:tcBorders>
            <w:shd w:val="clear" w:color="auto" w:fill="auto"/>
            <w:noWrap/>
            <w:vAlign w:val="center"/>
            <w:hideMark/>
          </w:tcPr>
          <w:p w14:paraId="05AE380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81,36%</w:t>
            </w:r>
          </w:p>
        </w:tc>
        <w:tc>
          <w:tcPr>
            <w:tcW w:w="1843" w:type="dxa"/>
            <w:tcBorders>
              <w:top w:val="nil"/>
              <w:left w:val="nil"/>
              <w:bottom w:val="single" w:sz="4" w:space="0" w:color="auto"/>
              <w:right w:val="single" w:sz="4" w:space="0" w:color="auto"/>
            </w:tcBorders>
            <w:shd w:val="clear" w:color="auto" w:fill="auto"/>
            <w:noWrap/>
            <w:vAlign w:val="center"/>
            <w:hideMark/>
          </w:tcPr>
          <w:p w14:paraId="07A727F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9,32%</w:t>
            </w:r>
          </w:p>
        </w:tc>
        <w:tc>
          <w:tcPr>
            <w:tcW w:w="1701" w:type="dxa"/>
            <w:tcBorders>
              <w:top w:val="nil"/>
              <w:left w:val="nil"/>
              <w:bottom w:val="single" w:sz="4" w:space="0" w:color="auto"/>
              <w:right w:val="single" w:sz="4" w:space="0" w:color="auto"/>
            </w:tcBorders>
            <w:shd w:val="clear" w:color="auto" w:fill="auto"/>
            <w:noWrap/>
            <w:vAlign w:val="center"/>
            <w:hideMark/>
          </w:tcPr>
          <w:p w14:paraId="32B467D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80,57%</w:t>
            </w:r>
          </w:p>
        </w:tc>
        <w:tc>
          <w:tcPr>
            <w:tcW w:w="1989" w:type="dxa"/>
            <w:tcBorders>
              <w:top w:val="nil"/>
              <w:left w:val="nil"/>
              <w:bottom w:val="single" w:sz="4" w:space="0" w:color="auto"/>
              <w:right w:val="single" w:sz="4" w:space="0" w:color="auto"/>
            </w:tcBorders>
            <w:shd w:val="clear" w:color="auto" w:fill="auto"/>
            <w:noWrap/>
            <w:vAlign w:val="center"/>
            <w:hideMark/>
          </w:tcPr>
          <w:p w14:paraId="4E00D01D"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97,88%</w:t>
            </w:r>
          </w:p>
        </w:tc>
      </w:tr>
      <w:tr w:rsidR="00E8617E" w:rsidRPr="00BC513A" w14:paraId="3BFBCE92" w14:textId="77777777" w:rsidTr="00D87D35">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08527385"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313</w:t>
            </w:r>
          </w:p>
        </w:tc>
        <w:tc>
          <w:tcPr>
            <w:tcW w:w="2944" w:type="dxa"/>
            <w:tcBorders>
              <w:top w:val="nil"/>
              <w:left w:val="nil"/>
              <w:bottom w:val="single" w:sz="4" w:space="0" w:color="auto"/>
              <w:right w:val="single" w:sz="4" w:space="0" w:color="auto"/>
            </w:tcBorders>
            <w:shd w:val="clear" w:color="auto" w:fill="auto"/>
            <w:vAlign w:val="center"/>
            <w:hideMark/>
          </w:tcPr>
          <w:p w14:paraId="5E267D65"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Насърчаване на туристическите дейности</w:t>
            </w:r>
          </w:p>
        </w:tc>
        <w:tc>
          <w:tcPr>
            <w:tcW w:w="1596" w:type="dxa"/>
            <w:tcBorders>
              <w:top w:val="nil"/>
              <w:left w:val="nil"/>
              <w:bottom w:val="single" w:sz="4" w:space="0" w:color="auto"/>
              <w:right w:val="single" w:sz="4" w:space="0" w:color="auto"/>
            </w:tcBorders>
            <w:shd w:val="clear" w:color="auto" w:fill="auto"/>
            <w:noWrap/>
            <w:vAlign w:val="center"/>
            <w:hideMark/>
          </w:tcPr>
          <w:p w14:paraId="05A581D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30 601 608,00</w:t>
            </w:r>
          </w:p>
        </w:tc>
        <w:tc>
          <w:tcPr>
            <w:tcW w:w="1560" w:type="dxa"/>
            <w:tcBorders>
              <w:top w:val="nil"/>
              <w:left w:val="nil"/>
              <w:bottom w:val="single" w:sz="4" w:space="0" w:color="auto"/>
              <w:right w:val="single" w:sz="4" w:space="0" w:color="auto"/>
            </w:tcBorders>
            <w:shd w:val="clear" w:color="auto" w:fill="auto"/>
            <w:vAlign w:val="center"/>
            <w:hideMark/>
          </w:tcPr>
          <w:p w14:paraId="39737332"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23 937 500</w:t>
            </w:r>
          </w:p>
        </w:tc>
        <w:tc>
          <w:tcPr>
            <w:tcW w:w="1697" w:type="dxa"/>
            <w:tcBorders>
              <w:top w:val="nil"/>
              <w:left w:val="nil"/>
              <w:bottom w:val="single" w:sz="4" w:space="0" w:color="auto"/>
              <w:right w:val="single" w:sz="4" w:space="0" w:color="auto"/>
            </w:tcBorders>
            <w:shd w:val="clear" w:color="auto" w:fill="auto"/>
            <w:vAlign w:val="center"/>
            <w:hideMark/>
          </w:tcPr>
          <w:p w14:paraId="1D17075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23 232 091</w:t>
            </w:r>
          </w:p>
        </w:tc>
        <w:tc>
          <w:tcPr>
            <w:tcW w:w="1563" w:type="dxa"/>
            <w:tcBorders>
              <w:top w:val="nil"/>
              <w:left w:val="nil"/>
              <w:bottom w:val="single" w:sz="4" w:space="0" w:color="auto"/>
              <w:right w:val="single" w:sz="4" w:space="0" w:color="auto"/>
            </w:tcBorders>
            <w:shd w:val="clear" w:color="auto" w:fill="auto"/>
            <w:noWrap/>
            <w:vAlign w:val="center"/>
            <w:hideMark/>
          </w:tcPr>
          <w:p w14:paraId="1780E3E8"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78,22%</w:t>
            </w:r>
          </w:p>
        </w:tc>
        <w:tc>
          <w:tcPr>
            <w:tcW w:w="1843" w:type="dxa"/>
            <w:tcBorders>
              <w:top w:val="nil"/>
              <w:left w:val="nil"/>
              <w:bottom w:val="single" w:sz="4" w:space="0" w:color="auto"/>
              <w:right w:val="single" w:sz="4" w:space="0" w:color="auto"/>
            </w:tcBorders>
            <w:shd w:val="clear" w:color="auto" w:fill="auto"/>
            <w:noWrap/>
            <w:vAlign w:val="center"/>
            <w:hideMark/>
          </w:tcPr>
          <w:p w14:paraId="46B3EC3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2,01%</w:t>
            </w:r>
          </w:p>
        </w:tc>
        <w:tc>
          <w:tcPr>
            <w:tcW w:w="1701" w:type="dxa"/>
            <w:tcBorders>
              <w:top w:val="nil"/>
              <w:left w:val="nil"/>
              <w:bottom w:val="single" w:sz="4" w:space="0" w:color="auto"/>
              <w:right w:val="single" w:sz="4" w:space="0" w:color="auto"/>
            </w:tcBorders>
            <w:shd w:val="clear" w:color="auto" w:fill="auto"/>
            <w:noWrap/>
            <w:vAlign w:val="center"/>
            <w:hideMark/>
          </w:tcPr>
          <w:p w14:paraId="7F799E8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77C42CE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97,05%</w:t>
            </w:r>
          </w:p>
        </w:tc>
      </w:tr>
      <w:tr w:rsidR="00E8617E" w:rsidRPr="00BC513A" w14:paraId="0197165F"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46308E7B"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321</w:t>
            </w:r>
          </w:p>
        </w:tc>
        <w:tc>
          <w:tcPr>
            <w:tcW w:w="2944" w:type="dxa"/>
            <w:tcBorders>
              <w:top w:val="nil"/>
              <w:left w:val="nil"/>
              <w:bottom w:val="single" w:sz="4" w:space="0" w:color="auto"/>
              <w:right w:val="single" w:sz="4" w:space="0" w:color="auto"/>
            </w:tcBorders>
            <w:shd w:val="clear" w:color="auto" w:fill="auto"/>
            <w:vAlign w:val="center"/>
            <w:hideMark/>
          </w:tcPr>
          <w:p w14:paraId="4FD6DD8C"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Основни услуги за икономиката и населението в селските райони след</w:t>
            </w:r>
          </w:p>
        </w:tc>
        <w:tc>
          <w:tcPr>
            <w:tcW w:w="1596" w:type="dxa"/>
            <w:tcBorders>
              <w:top w:val="nil"/>
              <w:left w:val="nil"/>
              <w:bottom w:val="single" w:sz="4" w:space="0" w:color="auto"/>
              <w:right w:val="single" w:sz="4" w:space="0" w:color="auto"/>
            </w:tcBorders>
            <w:shd w:val="clear" w:color="auto" w:fill="auto"/>
            <w:noWrap/>
            <w:vAlign w:val="center"/>
            <w:hideMark/>
          </w:tcPr>
          <w:p w14:paraId="00FE2E09" w14:textId="77777777" w:rsidR="00E8617E" w:rsidRPr="00BC513A" w:rsidRDefault="00D87D35" w:rsidP="00D87D35">
            <w:pPr>
              <w:spacing w:after="0"/>
              <w:jc w:val="center"/>
              <w:rPr>
                <w:rFonts w:ascii="Arial" w:hAnsi="Arial" w:cs="Arial"/>
                <w:color w:val="000000"/>
                <w:sz w:val="18"/>
                <w:szCs w:val="18"/>
                <w:lang w:eastAsia="bg-BG"/>
              </w:rPr>
            </w:pPr>
            <w:r>
              <w:rPr>
                <w:rFonts w:ascii="Arial" w:hAnsi="Arial" w:cs="Arial"/>
                <w:color w:val="000000"/>
                <w:sz w:val="18"/>
                <w:szCs w:val="18"/>
                <w:lang w:eastAsia="bg-BG"/>
              </w:rPr>
              <w:t>370 138 897,00</w:t>
            </w:r>
          </w:p>
        </w:tc>
        <w:tc>
          <w:tcPr>
            <w:tcW w:w="1560" w:type="dxa"/>
            <w:tcBorders>
              <w:top w:val="nil"/>
              <w:left w:val="nil"/>
              <w:bottom w:val="single" w:sz="4" w:space="0" w:color="auto"/>
              <w:right w:val="single" w:sz="4" w:space="0" w:color="auto"/>
            </w:tcBorders>
            <w:shd w:val="clear" w:color="auto" w:fill="auto"/>
            <w:vAlign w:val="center"/>
            <w:hideMark/>
          </w:tcPr>
          <w:p w14:paraId="3238D182"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761 389 998</w:t>
            </w:r>
          </w:p>
        </w:tc>
        <w:tc>
          <w:tcPr>
            <w:tcW w:w="1697" w:type="dxa"/>
            <w:tcBorders>
              <w:top w:val="nil"/>
              <w:left w:val="nil"/>
              <w:bottom w:val="single" w:sz="4" w:space="0" w:color="auto"/>
              <w:right w:val="single" w:sz="4" w:space="0" w:color="auto"/>
            </w:tcBorders>
            <w:shd w:val="clear" w:color="auto" w:fill="auto"/>
            <w:vAlign w:val="center"/>
            <w:hideMark/>
          </w:tcPr>
          <w:p w14:paraId="48CA3195"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746 821 723</w:t>
            </w:r>
          </w:p>
        </w:tc>
        <w:tc>
          <w:tcPr>
            <w:tcW w:w="1563" w:type="dxa"/>
            <w:tcBorders>
              <w:top w:val="nil"/>
              <w:left w:val="nil"/>
              <w:bottom w:val="single" w:sz="4" w:space="0" w:color="auto"/>
              <w:right w:val="single" w:sz="4" w:space="0" w:color="auto"/>
            </w:tcBorders>
            <w:shd w:val="clear" w:color="auto" w:fill="auto"/>
            <w:noWrap/>
            <w:vAlign w:val="center"/>
            <w:hideMark/>
          </w:tcPr>
          <w:p w14:paraId="0FDCFFCE" w14:textId="77777777" w:rsidR="00E8617E" w:rsidRPr="00BC513A" w:rsidRDefault="00D87D35" w:rsidP="00D87D35">
            <w:pPr>
              <w:spacing w:after="0"/>
              <w:jc w:val="center"/>
              <w:rPr>
                <w:rFonts w:ascii="Arial" w:hAnsi="Arial" w:cs="Arial"/>
                <w:color w:val="000000"/>
                <w:sz w:val="18"/>
                <w:szCs w:val="18"/>
                <w:lang w:eastAsia="bg-BG"/>
              </w:rPr>
            </w:pPr>
            <w:r w:rsidRPr="00D87D35">
              <w:rPr>
                <w:rFonts w:ascii="Arial" w:hAnsi="Arial" w:cs="Arial"/>
                <w:color w:val="000000"/>
                <w:sz w:val="18"/>
                <w:szCs w:val="18"/>
                <w:lang w:eastAsia="bg-BG"/>
              </w:rPr>
              <w:t>205,70%</w:t>
            </w:r>
          </w:p>
        </w:tc>
        <w:tc>
          <w:tcPr>
            <w:tcW w:w="1843" w:type="dxa"/>
            <w:tcBorders>
              <w:top w:val="nil"/>
              <w:left w:val="nil"/>
              <w:bottom w:val="single" w:sz="4" w:space="0" w:color="auto"/>
              <w:right w:val="single" w:sz="4" w:space="0" w:color="auto"/>
            </w:tcBorders>
            <w:shd w:val="clear" w:color="auto" w:fill="auto"/>
            <w:noWrap/>
            <w:vAlign w:val="center"/>
            <w:hideMark/>
          </w:tcPr>
          <w:p w14:paraId="2C4E3563"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64,76%</w:t>
            </w:r>
          </w:p>
        </w:tc>
        <w:tc>
          <w:tcPr>
            <w:tcW w:w="1701" w:type="dxa"/>
            <w:tcBorders>
              <w:top w:val="nil"/>
              <w:left w:val="nil"/>
              <w:bottom w:val="single" w:sz="4" w:space="0" w:color="auto"/>
              <w:right w:val="single" w:sz="4" w:space="0" w:color="auto"/>
            </w:tcBorders>
            <w:shd w:val="clear" w:color="auto" w:fill="auto"/>
            <w:noWrap/>
            <w:vAlign w:val="center"/>
            <w:hideMark/>
          </w:tcPr>
          <w:p w14:paraId="4F62EF9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80,20%</w:t>
            </w:r>
          </w:p>
        </w:tc>
        <w:tc>
          <w:tcPr>
            <w:tcW w:w="1989" w:type="dxa"/>
            <w:tcBorders>
              <w:top w:val="nil"/>
              <w:left w:val="nil"/>
              <w:bottom w:val="single" w:sz="4" w:space="0" w:color="auto"/>
              <w:right w:val="single" w:sz="4" w:space="0" w:color="auto"/>
            </w:tcBorders>
            <w:shd w:val="clear" w:color="auto" w:fill="auto"/>
            <w:noWrap/>
            <w:vAlign w:val="center"/>
            <w:hideMark/>
          </w:tcPr>
          <w:p w14:paraId="218EE29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98,09%</w:t>
            </w:r>
          </w:p>
        </w:tc>
      </w:tr>
      <w:tr w:rsidR="00E8617E" w:rsidRPr="00BC513A" w14:paraId="6FF7A18B"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C41DC62"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322</w:t>
            </w:r>
          </w:p>
        </w:tc>
        <w:tc>
          <w:tcPr>
            <w:tcW w:w="2944" w:type="dxa"/>
            <w:tcBorders>
              <w:top w:val="nil"/>
              <w:left w:val="nil"/>
              <w:bottom w:val="single" w:sz="4" w:space="0" w:color="auto"/>
              <w:right w:val="single" w:sz="4" w:space="0" w:color="auto"/>
            </w:tcBorders>
            <w:shd w:val="clear" w:color="auto" w:fill="auto"/>
            <w:vAlign w:val="center"/>
            <w:hideMark/>
          </w:tcPr>
          <w:p w14:paraId="25B052FA"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Обновяване и развитие на населените места</w:t>
            </w:r>
          </w:p>
        </w:tc>
        <w:tc>
          <w:tcPr>
            <w:tcW w:w="1596" w:type="dxa"/>
            <w:tcBorders>
              <w:top w:val="nil"/>
              <w:left w:val="nil"/>
              <w:bottom w:val="single" w:sz="4" w:space="0" w:color="auto"/>
              <w:right w:val="single" w:sz="4" w:space="0" w:color="auto"/>
            </w:tcBorders>
            <w:shd w:val="clear" w:color="auto" w:fill="auto"/>
            <w:noWrap/>
            <w:vAlign w:val="center"/>
            <w:hideMark/>
          </w:tcPr>
          <w:p w14:paraId="786C08B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166 123 014,00</w:t>
            </w:r>
          </w:p>
        </w:tc>
        <w:tc>
          <w:tcPr>
            <w:tcW w:w="1560" w:type="dxa"/>
            <w:tcBorders>
              <w:top w:val="nil"/>
              <w:left w:val="nil"/>
              <w:bottom w:val="single" w:sz="4" w:space="0" w:color="auto"/>
              <w:right w:val="single" w:sz="4" w:space="0" w:color="auto"/>
            </w:tcBorders>
            <w:shd w:val="clear" w:color="auto" w:fill="auto"/>
            <w:vAlign w:val="center"/>
            <w:hideMark/>
          </w:tcPr>
          <w:p w14:paraId="6397260A"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205 000 000</w:t>
            </w:r>
          </w:p>
        </w:tc>
        <w:tc>
          <w:tcPr>
            <w:tcW w:w="1697" w:type="dxa"/>
            <w:tcBorders>
              <w:top w:val="nil"/>
              <w:left w:val="nil"/>
              <w:bottom w:val="single" w:sz="4" w:space="0" w:color="auto"/>
              <w:right w:val="single" w:sz="4" w:space="0" w:color="auto"/>
            </w:tcBorders>
            <w:shd w:val="clear" w:color="auto" w:fill="auto"/>
            <w:vAlign w:val="center"/>
            <w:hideMark/>
          </w:tcPr>
          <w:p w14:paraId="389B2FDD"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202 179 167</w:t>
            </w:r>
          </w:p>
        </w:tc>
        <w:tc>
          <w:tcPr>
            <w:tcW w:w="1563" w:type="dxa"/>
            <w:tcBorders>
              <w:top w:val="nil"/>
              <w:left w:val="nil"/>
              <w:bottom w:val="single" w:sz="4" w:space="0" w:color="auto"/>
              <w:right w:val="single" w:sz="4" w:space="0" w:color="auto"/>
            </w:tcBorders>
            <w:shd w:val="clear" w:color="auto" w:fill="auto"/>
            <w:noWrap/>
            <w:vAlign w:val="center"/>
            <w:hideMark/>
          </w:tcPr>
          <w:p w14:paraId="34881025"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123,40%</w:t>
            </w:r>
          </w:p>
        </w:tc>
        <w:tc>
          <w:tcPr>
            <w:tcW w:w="1843" w:type="dxa"/>
            <w:tcBorders>
              <w:top w:val="nil"/>
              <w:left w:val="nil"/>
              <w:bottom w:val="single" w:sz="4" w:space="0" w:color="auto"/>
              <w:right w:val="single" w:sz="4" w:space="0" w:color="auto"/>
            </w:tcBorders>
            <w:shd w:val="clear" w:color="auto" w:fill="auto"/>
            <w:noWrap/>
            <w:vAlign w:val="center"/>
            <w:hideMark/>
          </w:tcPr>
          <w:p w14:paraId="62E033A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17,53%</w:t>
            </w:r>
          </w:p>
        </w:tc>
        <w:tc>
          <w:tcPr>
            <w:tcW w:w="1701" w:type="dxa"/>
            <w:tcBorders>
              <w:top w:val="nil"/>
              <w:left w:val="nil"/>
              <w:bottom w:val="single" w:sz="4" w:space="0" w:color="auto"/>
              <w:right w:val="single" w:sz="4" w:space="0" w:color="auto"/>
            </w:tcBorders>
            <w:shd w:val="clear" w:color="auto" w:fill="auto"/>
            <w:noWrap/>
            <w:vAlign w:val="center"/>
            <w:hideMark/>
          </w:tcPr>
          <w:p w14:paraId="4E299FA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2DDF70D0"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98,62%</w:t>
            </w:r>
          </w:p>
        </w:tc>
      </w:tr>
      <w:tr w:rsidR="00D87D35" w:rsidRPr="00BC513A" w14:paraId="7359976E" w14:textId="77777777" w:rsidTr="00176810">
        <w:trPr>
          <w:trHeight w:val="510"/>
        </w:trPr>
        <w:tc>
          <w:tcPr>
            <w:tcW w:w="900" w:type="dxa"/>
            <w:tcBorders>
              <w:top w:val="nil"/>
              <w:left w:val="single" w:sz="4" w:space="0" w:color="auto"/>
              <w:bottom w:val="single" w:sz="4" w:space="0" w:color="auto"/>
              <w:right w:val="single" w:sz="4" w:space="0" w:color="auto"/>
            </w:tcBorders>
            <w:shd w:val="clear" w:color="auto" w:fill="auto"/>
            <w:vAlign w:val="center"/>
          </w:tcPr>
          <w:p w14:paraId="09FD445D" w14:textId="77777777" w:rsidR="00D87D35" w:rsidRPr="00D87D35" w:rsidRDefault="00D87D35" w:rsidP="00922731">
            <w:pPr>
              <w:rPr>
                <w:rFonts w:ascii="Arial" w:hAnsi="Arial" w:cs="Arial"/>
                <w:sz w:val="18"/>
                <w:szCs w:val="18"/>
                <w:lang w:val="en-US" w:eastAsia="bg-BG"/>
              </w:rPr>
            </w:pPr>
            <w:r>
              <w:rPr>
                <w:rFonts w:ascii="Arial" w:hAnsi="Arial" w:cs="Arial"/>
                <w:sz w:val="18"/>
                <w:szCs w:val="18"/>
                <w:lang w:val="en-US" w:eastAsia="bg-BG"/>
              </w:rPr>
              <w:t>341</w:t>
            </w:r>
          </w:p>
        </w:tc>
        <w:tc>
          <w:tcPr>
            <w:tcW w:w="2944" w:type="dxa"/>
            <w:tcBorders>
              <w:top w:val="nil"/>
              <w:left w:val="nil"/>
              <w:bottom w:val="single" w:sz="4" w:space="0" w:color="auto"/>
              <w:right w:val="single" w:sz="4" w:space="0" w:color="auto"/>
            </w:tcBorders>
            <w:shd w:val="clear" w:color="auto" w:fill="auto"/>
            <w:vAlign w:val="center"/>
          </w:tcPr>
          <w:p w14:paraId="543468CB" w14:textId="77777777" w:rsidR="00D87D35" w:rsidRPr="00BC513A" w:rsidRDefault="00D87D35" w:rsidP="00D87D35">
            <w:pPr>
              <w:rPr>
                <w:rFonts w:ascii="Arial" w:hAnsi="Arial" w:cs="Arial"/>
                <w:sz w:val="18"/>
                <w:szCs w:val="18"/>
                <w:lang w:eastAsia="bg-BG"/>
              </w:rPr>
            </w:pPr>
            <w:r w:rsidRPr="00D87D35">
              <w:rPr>
                <w:rFonts w:ascii="Arial" w:hAnsi="Arial" w:cs="Arial"/>
                <w:sz w:val="18"/>
                <w:szCs w:val="18"/>
                <w:lang w:eastAsia="bg-BG"/>
              </w:rPr>
              <w:t>Придобиване на умения и постигане на обществена активност с оглед на подготовката и прилагането на стратегии за местно развитие</w:t>
            </w:r>
          </w:p>
        </w:tc>
        <w:tc>
          <w:tcPr>
            <w:tcW w:w="1596" w:type="dxa"/>
            <w:tcBorders>
              <w:top w:val="nil"/>
              <w:left w:val="nil"/>
              <w:bottom w:val="single" w:sz="4" w:space="0" w:color="auto"/>
              <w:right w:val="single" w:sz="4" w:space="0" w:color="auto"/>
            </w:tcBorders>
            <w:shd w:val="clear" w:color="auto" w:fill="auto"/>
            <w:noWrap/>
            <w:vAlign w:val="center"/>
          </w:tcPr>
          <w:p w14:paraId="79A518BF" w14:textId="77777777" w:rsidR="00D87D35" w:rsidRPr="00D87D35" w:rsidRDefault="00D87D35" w:rsidP="00922731">
            <w:pPr>
              <w:spacing w:after="0"/>
              <w:jc w:val="center"/>
              <w:rPr>
                <w:rFonts w:ascii="Arial" w:hAnsi="Arial" w:cs="Arial"/>
                <w:color w:val="000000"/>
                <w:sz w:val="18"/>
                <w:szCs w:val="18"/>
                <w:lang w:val="en-US" w:eastAsia="bg-BG"/>
              </w:rPr>
            </w:pPr>
            <w:r>
              <w:rPr>
                <w:rFonts w:ascii="Arial" w:hAnsi="Arial" w:cs="Arial"/>
                <w:color w:val="000000"/>
                <w:sz w:val="18"/>
                <w:szCs w:val="18"/>
                <w:lang w:val="en-US" w:eastAsia="bg-BG"/>
              </w:rPr>
              <w:t>61 437 000</w:t>
            </w:r>
          </w:p>
        </w:tc>
        <w:tc>
          <w:tcPr>
            <w:tcW w:w="10353" w:type="dxa"/>
            <w:gridSpan w:val="6"/>
            <w:tcBorders>
              <w:top w:val="nil"/>
              <w:left w:val="nil"/>
              <w:bottom w:val="single" w:sz="4" w:space="0" w:color="auto"/>
              <w:right w:val="single" w:sz="4" w:space="0" w:color="auto"/>
            </w:tcBorders>
            <w:shd w:val="clear" w:color="auto" w:fill="auto"/>
            <w:vAlign w:val="center"/>
          </w:tcPr>
          <w:p w14:paraId="4DB351E5" w14:textId="77777777" w:rsidR="00D87D35" w:rsidRPr="00BC513A" w:rsidRDefault="00D87D35" w:rsidP="00922731">
            <w:pPr>
              <w:spacing w:after="0"/>
              <w:jc w:val="center"/>
              <w:rPr>
                <w:rFonts w:ascii="Arial" w:hAnsi="Arial" w:cs="Arial"/>
                <w:color w:val="000000"/>
                <w:sz w:val="18"/>
                <w:szCs w:val="18"/>
                <w:lang w:eastAsia="bg-BG"/>
              </w:rPr>
            </w:pPr>
            <w:r w:rsidRPr="00F92E10">
              <w:rPr>
                <w:rFonts w:ascii="Arial" w:hAnsi="Arial" w:cs="Arial"/>
                <w:color w:val="000000"/>
                <w:sz w:val="18"/>
                <w:szCs w:val="18"/>
              </w:rPr>
              <w:t>не стартира и не е изпълнена</w:t>
            </w:r>
          </w:p>
        </w:tc>
      </w:tr>
      <w:tr w:rsidR="00E8617E" w:rsidRPr="00BC513A" w14:paraId="00BB46B4" w14:textId="77777777" w:rsidTr="00D87D35">
        <w:trPr>
          <w:trHeight w:val="255"/>
        </w:trPr>
        <w:tc>
          <w:tcPr>
            <w:tcW w:w="3844" w:type="dxa"/>
            <w:gridSpan w:val="2"/>
            <w:tcBorders>
              <w:top w:val="nil"/>
              <w:left w:val="single" w:sz="4" w:space="0" w:color="auto"/>
              <w:bottom w:val="single" w:sz="4" w:space="0" w:color="auto"/>
              <w:right w:val="single" w:sz="4" w:space="0" w:color="auto"/>
            </w:tcBorders>
            <w:shd w:val="clear" w:color="auto" w:fill="E2EFD9" w:themeFill="accent6" w:themeFillTint="33"/>
            <w:vAlign w:val="center"/>
            <w:hideMark/>
          </w:tcPr>
          <w:p w14:paraId="4F133D9D" w14:textId="2FA1E71B" w:rsidR="00E8617E" w:rsidRPr="00BC513A" w:rsidRDefault="00E8617E" w:rsidP="00AB2B2B">
            <w:pPr>
              <w:spacing w:after="0" w:line="240" w:lineRule="auto"/>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ОБЩО О</w:t>
            </w:r>
            <w:r w:rsidR="00AB2B2B">
              <w:rPr>
                <w:rFonts w:ascii="Arial" w:eastAsia="Times New Roman" w:hAnsi="Arial" w:cs="Arial"/>
                <w:b/>
                <w:bCs/>
                <w:sz w:val="18"/>
                <w:szCs w:val="18"/>
                <w:lang w:eastAsia="bg-BG"/>
              </w:rPr>
              <w:t>с</w:t>
            </w:r>
            <w:r w:rsidRPr="00BC513A">
              <w:rPr>
                <w:rFonts w:ascii="Arial" w:eastAsia="Times New Roman" w:hAnsi="Arial" w:cs="Arial"/>
                <w:b/>
                <w:bCs/>
                <w:sz w:val="18"/>
                <w:szCs w:val="18"/>
                <w:lang w:eastAsia="bg-BG"/>
              </w:rPr>
              <w:t xml:space="preserve"> 3</w:t>
            </w:r>
          </w:p>
        </w:tc>
        <w:tc>
          <w:tcPr>
            <w:tcW w:w="1596" w:type="dxa"/>
            <w:tcBorders>
              <w:top w:val="nil"/>
              <w:left w:val="nil"/>
              <w:bottom w:val="single" w:sz="4" w:space="0" w:color="auto"/>
              <w:right w:val="single" w:sz="4" w:space="0" w:color="auto"/>
            </w:tcBorders>
            <w:shd w:val="clear" w:color="auto" w:fill="E2EFD9" w:themeFill="accent6" w:themeFillTint="33"/>
            <w:noWrap/>
            <w:vAlign w:val="center"/>
            <w:hideMark/>
          </w:tcPr>
          <w:p w14:paraId="302F842E" w14:textId="77777777" w:rsidR="00E8617E" w:rsidRPr="00176810" w:rsidRDefault="00176810" w:rsidP="00922731">
            <w:pPr>
              <w:spacing w:after="0" w:line="240" w:lineRule="auto"/>
              <w:jc w:val="center"/>
              <w:rPr>
                <w:rFonts w:ascii="Arial" w:eastAsia="Times New Roman" w:hAnsi="Arial" w:cs="Arial"/>
                <w:b/>
                <w:bCs/>
                <w:sz w:val="18"/>
                <w:szCs w:val="18"/>
                <w:lang w:val="en-US" w:eastAsia="bg-BG"/>
              </w:rPr>
            </w:pPr>
            <w:r>
              <w:rPr>
                <w:rFonts w:ascii="Arial" w:eastAsia="Times New Roman" w:hAnsi="Arial" w:cs="Arial"/>
                <w:b/>
                <w:bCs/>
                <w:sz w:val="18"/>
                <w:szCs w:val="18"/>
                <w:lang w:val="en-US" w:eastAsia="bg-BG"/>
              </w:rPr>
              <w:t>905 291 684</w:t>
            </w:r>
          </w:p>
        </w:tc>
        <w:tc>
          <w:tcPr>
            <w:tcW w:w="1560" w:type="dxa"/>
            <w:tcBorders>
              <w:top w:val="nil"/>
              <w:left w:val="nil"/>
              <w:bottom w:val="single" w:sz="4" w:space="0" w:color="auto"/>
              <w:right w:val="single" w:sz="4" w:space="0" w:color="auto"/>
            </w:tcBorders>
            <w:shd w:val="clear" w:color="auto" w:fill="E2EFD9" w:themeFill="accent6" w:themeFillTint="33"/>
            <w:noWrap/>
            <w:vAlign w:val="center"/>
            <w:hideMark/>
          </w:tcPr>
          <w:p w14:paraId="29EEB1E1"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1 175 148 331</w:t>
            </w:r>
          </w:p>
        </w:tc>
        <w:tc>
          <w:tcPr>
            <w:tcW w:w="1697" w:type="dxa"/>
            <w:tcBorders>
              <w:top w:val="nil"/>
              <w:left w:val="nil"/>
              <w:bottom w:val="single" w:sz="4" w:space="0" w:color="auto"/>
              <w:right w:val="single" w:sz="4" w:space="0" w:color="auto"/>
            </w:tcBorders>
            <w:shd w:val="clear" w:color="auto" w:fill="E2EFD9" w:themeFill="accent6" w:themeFillTint="33"/>
            <w:noWrap/>
            <w:vAlign w:val="center"/>
            <w:hideMark/>
          </w:tcPr>
          <w:p w14:paraId="452ABE0F"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1 153 264 338</w:t>
            </w:r>
          </w:p>
        </w:tc>
        <w:tc>
          <w:tcPr>
            <w:tcW w:w="1563" w:type="dxa"/>
            <w:tcBorders>
              <w:top w:val="nil"/>
              <w:left w:val="nil"/>
              <w:bottom w:val="single" w:sz="4" w:space="0" w:color="auto"/>
              <w:right w:val="single" w:sz="4" w:space="0" w:color="auto"/>
            </w:tcBorders>
            <w:shd w:val="clear" w:color="auto" w:fill="E2EFD9" w:themeFill="accent6" w:themeFillTint="33"/>
            <w:noWrap/>
            <w:vAlign w:val="center"/>
            <w:hideMark/>
          </w:tcPr>
          <w:p w14:paraId="13CA1D91"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133,89%</w:t>
            </w:r>
          </w:p>
        </w:tc>
        <w:tc>
          <w:tcPr>
            <w:tcW w:w="1843" w:type="dxa"/>
            <w:tcBorders>
              <w:top w:val="nil"/>
              <w:left w:val="nil"/>
              <w:bottom w:val="single" w:sz="4" w:space="0" w:color="auto"/>
              <w:right w:val="single" w:sz="4" w:space="0" w:color="auto"/>
            </w:tcBorders>
            <w:shd w:val="clear" w:color="auto" w:fill="E2EFD9" w:themeFill="accent6" w:themeFillTint="33"/>
            <w:noWrap/>
            <w:vAlign w:val="center"/>
            <w:hideMark/>
          </w:tcPr>
          <w:p w14:paraId="4BDD0E87"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100,00%</w:t>
            </w:r>
          </w:p>
        </w:tc>
        <w:tc>
          <w:tcPr>
            <w:tcW w:w="1701" w:type="dxa"/>
            <w:tcBorders>
              <w:top w:val="nil"/>
              <w:left w:val="nil"/>
              <w:bottom w:val="single" w:sz="4" w:space="0" w:color="auto"/>
              <w:right w:val="single" w:sz="4" w:space="0" w:color="auto"/>
            </w:tcBorders>
            <w:shd w:val="clear" w:color="auto" w:fill="E2EFD9" w:themeFill="accent6" w:themeFillTint="33"/>
            <w:noWrap/>
            <w:vAlign w:val="center"/>
            <w:hideMark/>
          </w:tcPr>
          <w:p w14:paraId="7A833C7D"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80,19%</w:t>
            </w:r>
          </w:p>
        </w:tc>
        <w:tc>
          <w:tcPr>
            <w:tcW w:w="1989" w:type="dxa"/>
            <w:tcBorders>
              <w:top w:val="nil"/>
              <w:left w:val="nil"/>
              <w:bottom w:val="single" w:sz="4" w:space="0" w:color="auto"/>
              <w:right w:val="single" w:sz="4" w:space="0" w:color="auto"/>
            </w:tcBorders>
            <w:shd w:val="clear" w:color="auto" w:fill="E2EFD9" w:themeFill="accent6" w:themeFillTint="33"/>
            <w:noWrap/>
            <w:vAlign w:val="center"/>
            <w:hideMark/>
          </w:tcPr>
          <w:p w14:paraId="17B47362"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98,14%</w:t>
            </w:r>
          </w:p>
        </w:tc>
      </w:tr>
      <w:tr w:rsidR="00E8617E" w:rsidRPr="00BC513A" w14:paraId="1847E92A"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2B942189"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41</w:t>
            </w:r>
          </w:p>
        </w:tc>
        <w:tc>
          <w:tcPr>
            <w:tcW w:w="2944" w:type="dxa"/>
            <w:tcBorders>
              <w:top w:val="nil"/>
              <w:left w:val="nil"/>
              <w:bottom w:val="single" w:sz="4" w:space="0" w:color="auto"/>
              <w:right w:val="single" w:sz="4" w:space="0" w:color="auto"/>
            </w:tcBorders>
            <w:shd w:val="clear" w:color="auto" w:fill="auto"/>
            <w:vAlign w:val="center"/>
            <w:hideMark/>
          </w:tcPr>
          <w:p w14:paraId="6CD75CCF" w14:textId="77777777" w:rsidR="00E8617E" w:rsidRPr="00BC513A" w:rsidRDefault="00E8617E" w:rsidP="00922731">
            <w:pPr>
              <w:spacing w:after="0"/>
              <w:rPr>
                <w:rFonts w:ascii="Arial" w:hAnsi="Arial" w:cs="Arial"/>
                <w:b/>
                <w:sz w:val="18"/>
                <w:szCs w:val="18"/>
                <w:lang w:eastAsia="bg-BG"/>
              </w:rPr>
            </w:pPr>
            <w:r w:rsidRPr="00BC513A">
              <w:rPr>
                <w:rFonts w:ascii="Arial" w:hAnsi="Arial" w:cs="Arial"/>
                <w:b/>
                <w:sz w:val="18"/>
                <w:szCs w:val="18"/>
                <w:lang w:eastAsia="bg-BG"/>
              </w:rPr>
              <w:t>Прилагане на стратегиите за местно развитие</w:t>
            </w:r>
          </w:p>
        </w:tc>
        <w:tc>
          <w:tcPr>
            <w:tcW w:w="1596" w:type="dxa"/>
            <w:tcBorders>
              <w:top w:val="nil"/>
              <w:left w:val="nil"/>
              <w:bottom w:val="single" w:sz="4" w:space="0" w:color="auto"/>
              <w:right w:val="single" w:sz="4" w:space="0" w:color="auto"/>
            </w:tcBorders>
            <w:shd w:val="clear" w:color="auto" w:fill="auto"/>
            <w:noWrap/>
            <w:vAlign w:val="center"/>
            <w:hideMark/>
          </w:tcPr>
          <w:p w14:paraId="1D1066F4"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53 891 814,00</w:t>
            </w:r>
          </w:p>
        </w:tc>
        <w:tc>
          <w:tcPr>
            <w:tcW w:w="1560" w:type="dxa"/>
            <w:tcBorders>
              <w:top w:val="nil"/>
              <w:left w:val="nil"/>
              <w:bottom w:val="single" w:sz="4" w:space="0" w:color="auto"/>
              <w:right w:val="single" w:sz="4" w:space="0" w:color="auto"/>
            </w:tcBorders>
            <w:shd w:val="clear" w:color="auto" w:fill="auto"/>
            <w:noWrap/>
            <w:vAlign w:val="center"/>
            <w:hideMark/>
          </w:tcPr>
          <w:p w14:paraId="194A502C"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39 750 000,00</w:t>
            </w:r>
          </w:p>
        </w:tc>
        <w:tc>
          <w:tcPr>
            <w:tcW w:w="1697" w:type="dxa"/>
            <w:tcBorders>
              <w:top w:val="nil"/>
              <w:left w:val="nil"/>
              <w:bottom w:val="single" w:sz="4" w:space="0" w:color="auto"/>
              <w:right w:val="single" w:sz="4" w:space="0" w:color="auto"/>
            </w:tcBorders>
            <w:shd w:val="clear" w:color="auto" w:fill="auto"/>
            <w:noWrap/>
            <w:vAlign w:val="center"/>
            <w:hideMark/>
          </w:tcPr>
          <w:p w14:paraId="52F25DEF"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39 248 127,41</w:t>
            </w:r>
          </w:p>
        </w:tc>
        <w:tc>
          <w:tcPr>
            <w:tcW w:w="1563" w:type="dxa"/>
            <w:tcBorders>
              <w:top w:val="nil"/>
              <w:left w:val="nil"/>
              <w:bottom w:val="single" w:sz="4" w:space="0" w:color="auto"/>
              <w:right w:val="single" w:sz="4" w:space="0" w:color="auto"/>
            </w:tcBorders>
            <w:shd w:val="clear" w:color="auto" w:fill="auto"/>
            <w:noWrap/>
            <w:vAlign w:val="center"/>
            <w:hideMark/>
          </w:tcPr>
          <w:p w14:paraId="370A6B46"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73,76%</w:t>
            </w:r>
          </w:p>
        </w:tc>
        <w:tc>
          <w:tcPr>
            <w:tcW w:w="1843" w:type="dxa"/>
            <w:tcBorders>
              <w:top w:val="nil"/>
              <w:left w:val="nil"/>
              <w:bottom w:val="single" w:sz="4" w:space="0" w:color="auto"/>
              <w:right w:val="single" w:sz="4" w:space="0" w:color="auto"/>
            </w:tcBorders>
            <w:shd w:val="clear" w:color="auto" w:fill="auto"/>
            <w:noWrap/>
            <w:vAlign w:val="center"/>
            <w:hideMark/>
          </w:tcPr>
          <w:p w14:paraId="25C220EB"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74,26%</w:t>
            </w:r>
          </w:p>
        </w:tc>
        <w:tc>
          <w:tcPr>
            <w:tcW w:w="1701" w:type="dxa"/>
            <w:tcBorders>
              <w:top w:val="nil"/>
              <w:left w:val="nil"/>
              <w:bottom w:val="single" w:sz="4" w:space="0" w:color="auto"/>
              <w:right w:val="single" w:sz="4" w:space="0" w:color="auto"/>
            </w:tcBorders>
            <w:shd w:val="clear" w:color="auto" w:fill="auto"/>
            <w:noWrap/>
            <w:vAlign w:val="center"/>
            <w:hideMark/>
          </w:tcPr>
          <w:p w14:paraId="23758B99"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6F793735"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98,74%</w:t>
            </w:r>
          </w:p>
        </w:tc>
      </w:tr>
      <w:tr w:rsidR="00E8617E" w:rsidRPr="00BC513A" w14:paraId="0716D609"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9C89BF2"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411</w:t>
            </w:r>
          </w:p>
        </w:tc>
        <w:tc>
          <w:tcPr>
            <w:tcW w:w="2944" w:type="dxa"/>
            <w:tcBorders>
              <w:top w:val="nil"/>
              <w:left w:val="nil"/>
              <w:bottom w:val="single" w:sz="4" w:space="0" w:color="auto"/>
              <w:right w:val="single" w:sz="4" w:space="0" w:color="auto"/>
            </w:tcBorders>
            <w:shd w:val="clear" w:color="auto" w:fill="auto"/>
            <w:vAlign w:val="center"/>
            <w:hideMark/>
          </w:tcPr>
          <w:p w14:paraId="4013426B"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 в т.ч. ОС 1 - Подобряване на конкурентно способността</w:t>
            </w:r>
          </w:p>
        </w:tc>
        <w:tc>
          <w:tcPr>
            <w:tcW w:w="1596" w:type="dxa"/>
            <w:tcBorders>
              <w:top w:val="nil"/>
              <w:left w:val="nil"/>
              <w:bottom w:val="single" w:sz="4" w:space="0" w:color="auto"/>
              <w:right w:val="single" w:sz="4" w:space="0" w:color="auto"/>
            </w:tcBorders>
            <w:shd w:val="clear" w:color="auto" w:fill="auto"/>
            <w:noWrap/>
            <w:vAlign w:val="center"/>
            <w:hideMark/>
          </w:tcPr>
          <w:p w14:paraId="3DE7E2D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18 862 135</w:t>
            </w:r>
          </w:p>
        </w:tc>
        <w:tc>
          <w:tcPr>
            <w:tcW w:w="1560" w:type="dxa"/>
            <w:tcBorders>
              <w:top w:val="nil"/>
              <w:left w:val="nil"/>
              <w:bottom w:val="single" w:sz="4" w:space="0" w:color="auto"/>
              <w:right w:val="single" w:sz="4" w:space="0" w:color="auto"/>
            </w:tcBorders>
            <w:shd w:val="clear" w:color="auto" w:fill="auto"/>
            <w:vAlign w:val="center"/>
            <w:hideMark/>
          </w:tcPr>
          <w:p w14:paraId="03F6B930"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10 706 418</w:t>
            </w:r>
          </w:p>
        </w:tc>
        <w:tc>
          <w:tcPr>
            <w:tcW w:w="1697" w:type="dxa"/>
            <w:tcBorders>
              <w:top w:val="nil"/>
              <w:left w:val="nil"/>
              <w:bottom w:val="single" w:sz="4" w:space="0" w:color="auto"/>
              <w:right w:val="single" w:sz="4" w:space="0" w:color="auto"/>
            </w:tcBorders>
            <w:shd w:val="clear" w:color="auto" w:fill="auto"/>
            <w:noWrap/>
            <w:vAlign w:val="center"/>
            <w:hideMark/>
          </w:tcPr>
          <w:p w14:paraId="2B2B20C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10 635 891</w:t>
            </w:r>
          </w:p>
        </w:tc>
        <w:tc>
          <w:tcPr>
            <w:tcW w:w="1563" w:type="dxa"/>
            <w:tcBorders>
              <w:top w:val="nil"/>
              <w:left w:val="nil"/>
              <w:bottom w:val="single" w:sz="4" w:space="0" w:color="auto"/>
              <w:right w:val="single" w:sz="4" w:space="0" w:color="auto"/>
            </w:tcBorders>
            <w:shd w:val="clear" w:color="auto" w:fill="auto"/>
            <w:noWrap/>
            <w:vAlign w:val="center"/>
            <w:hideMark/>
          </w:tcPr>
          <w:p w14:paraId="30966BC8"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56,76%</w:t>
            </w:r>
          </w:p>
        </w:tc>
        <w:tc>
          <w:tcPr>
            <w:tcW w:w="1843" w:type="dxa"/>
            <w:tcBorders>
              <w:top w:val="nil"/>
              <w:left w:val="nil"/>
              <w:bottom w:val="single" w:sz="4" w:space="0" w:color="auto"/>
              <w:right w:val="single" w:sz="4" w:space="0" w:color="auto"/>
            </w:tcBorders>
            <w:shd w:val="clear" w:color="auto" w:fill="auto"/>
            <w:noWrap/>
            <w:vAlign w:val="center"/>
            <w:hideMark/>
          </w:tcPr>
          <w:p w14:paraId="15B1B58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20,12%</w:t>
            </w:r>
          </w:p>
        </w:tc>
        <w:tc>
          <w:tcPr>
            <w:tcW w:w="1701" w:type="dxa"/>
            <w:tcBorders>
              <w:top w:val="nil"/>
              <w:left w:val="nil"/>
              <w:bottom w:val="single" w:sz="4" w:space="0" w:color="auto"/>
              <w:right w:val="single" w:sz="4" w:space="0" w:color="auto"/>
            </w:tcBorders>
            <w:shd w:val="clear" w:color="auto" w:fill="auto"/>
            <w:noWrap/>
            <w:vAlign w:val="center"/>
            <w:hideMark/>
          </w:tcPr>
          <w:p w14:paraId="5D8E5FD3"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39FF02A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99,34%</w:t>
            </w:r>
          </w:p>
        </w:tc>
      </w:tr>
      <w:tr w:rsidR="00E8617E" w:rsidRPr="00BC513A" w14:paraId="42FA2505" w14:textId="77777777" w:rsidTr="00D87D35">
        <w:trPr>
          <w:trHeight w:val="510"/>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21DBE4F"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412</w:t>
            </w:r>
          </w:p>
        </w:tc>
        <w:tc>
          <w:tcPr>
            <w:tcW w:w="2944" w:type="dxa"/>
            <w:tcBorders>
              <w:top w:val="nil"/>
              <w:left w:val="nil"/>
              <w:bottom w:val="single" w:sz="4" w:space="0" w:color="auto"/>
              <w:right w:val="single" w:sz="4" w:space="0" w:color="auto"/>
            </w:tcBorders>
            <w:shd w:val="clear" w:color="auto" w:fill="auto"/>
            <w:vAlign w:val="center"/>
            <w:hideMark/>
          </w:tcPr>
          <w:p w14:paraId="1A1AA887"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 в т.ч. ОС 2 - Подобряване на околната среда и природата</w:t>
            </w:r>
          </w:p>
        </w:tc>
        <w:tc>
          <w:tcPr>
            <w:tcW w:w="1596" w:type="dxa"/>
            <w:tcBorders>
              <w:top w:val="nil"/>
              <w:left w:val="nil"/>
              <w:bottom w:val="single" w:sz="4" w:space="0" w:color="auto"/>
              <w:right w:val="single" w:sz="4" w:space="0" w:color="auto"/>
            </w:tcBorders>
            <w:shd w:val="clear" w:color="auto" w:fill="auto"/>
            <w:noWrap/>
            <w:vAlign w:val="center"/>
            <w:hideMark/>
          </w:tcPr>
          <w:p w14:paraId="0BC015FE"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2 694 591</w:t>
            </w:r>
          </w:p>
        </w:tc>
        <w:tc>
          <w:tcPr>
            <w:tcW w:w="1560" w:type="dxa"/>
            <w:tcBorders>
              <w:top w:val="nil"/>
              <w:left w:val="nil"/>
              <w:bottom w:val="single" w:sz="4" w:space="0" w:color="auto"/>
              <w:right w:val="single" w:sz="4" w:space="0" w:color="auto"/>
            </w:tcBorders>
            <w:shd w:val="clear" w:color="auto" w:fill="auto"/>
            <w:vAlign w:val="center"/>
            <w:hideMark/>
          </w:tcPr>
          <w:p w14:paraId="631867A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502 477</w:t>
            </w:r>
          </w:p>
        </w:tc>
        <w:tc>
          <w:tcPr>
            <w:tcW w:w="1697" w:type="dxa"/>
            <w:tcBorders>
              <w:top w:val="nil"/>
              <w:left w:val="nil"/>
              <w:bottom w:val="single" w:sz="4" w:space="0" w:color="auto"/>
              <w:right w:val="single" w:sz="4" w:space="0" w:color="auto"/>
            </w:tcBorders>
            <w:shd w:val="clear" w:color="auto" w:fill="auto"/>
            <w:vAlign w:val="center"/>
            <w:hideMark/>
          </w:tcPr>
          <w:p w14:paraId="3A4E066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506 284</w:t>
            </w:r>
          </w:p>
        </w:tc>
        <w:tc>
          <w:tcPr>
            <w:tcW w:w="1563" w:type="dxa"/>
            <w:tcBorders>
              <w:top w:val="nil"/>
              <w:left w:val="nil"/>
              <w:bottom w:val="single" w:sz="4" w:space="0" w:color="auto"/>
              <w:right w:val="single" w:sz="4" w:space="0" w:color="auto"/>
            </w:tcBorders>
            <w:shd w:val="clear" w:color="auto" w:fill="auto"/>
            <w:noWrap/>
            <w:vAlign w:val="center"/>
            <w:hideMark/>
          </w:tcPr>
          <w:p w14:paraId="5E57895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18,65%</w:t>
            </w:r>
          </w:p>
        </w:tc>
        <w:tc>
          <w:tcPr>
            <w:tcW w:w="1843" w:type="dxa"/>
            <w:tcBorders>
              <w:top w:val="nil"/>
              <w:left w:val="nil"/>
              <w:bottom w:val="single" w:sz="4" w:space="0" w:color="auto"/>
              <w:right w:val="single" w:sz="4" w:space="0" w:color="auto"/>
            </w:tcBorders>
            <w:shd w:val="clear" w:color="auto" w:fill="auto"/>
            <w:noWrap/>
            <w:vAlign w:val="center"/>
            <w:hideMark/>
          </w:tcPr>
          <w:p w14:paraId="5F3D6B42"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0,96%</w:t>
            </w:r>
          </w:p>
        </w:tc>
        <w:tc>
          <w:tcPr>
            <w:tcW w:w="1701" w:type="dxa"/>
            <w:tcBorders>
              <w:top w:val="nil"/>
              <w:left w:val="nil"/>
              <w:bottom w:val="single" w:sz="4" w:space="0" w:color="auto"/>
              <w:right w:val="single" w:sz="4" w:space="0" w:color="auto"/>
            </w:tcBorders>
            <w:shd w:val="clear" w:color="auto" w:fill="auto"/>
            <w:noWrap/>
            <w:vAlign w:val="center"/>
            <w:hideMark/>
          </w:tcPr>
          <w:p w14:paraId="52489ED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79,96%</w:t>
            </w:r>
          </w:p>
        </w:tc>
        <w:tc>
          <w:tcPr>
            <w:tcW w:w="1989" w:type="dxa"/>
            <w:tcBorders>
              <w:top w:val="nil"/>
              <w:left w:val="nil"/>
              <w:bottom w:val="single" w:sz="4" w:space="0" w:color="auto"/>
              <w:right w:val="single" w:sz="4" w:space="0" w:color="auto"/>
            </w:tcBorders>
            <w:shd w:val="clear" w:color="auto" w:fill="auto"/>
            <w:noWrap/>
            <w:vAlign w:val="center"/>
            <w:hideMark/>
          </w:tcPr>
          <w:p w14:paraId="47026C1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100,76%</w:t>
            </w:r>
          </w:p>
        </w:tc>
      </w:tr>
      <w:tr w:rsidR="00E8617E" w:rsidRPr="00BC513A" w14:paraId="4BC24F33" w14:textId="77777777" w:rsidTr="00D87D35">
        <w:trPr>
          <w:trHeight w:val="76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16B0929"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413</w:t>
            </w:r>
          </w:p>
        </w:tc>
        <w:tc>
          <w:tcPr>
            <w:tcW w:w="2944" w:type="dxa"/>
            <w:tcBorders>
              <w:top w:val="nil"/>
              <w:left w:val="nil"/>
              <w:bottom w:val="single" w:sz="4" w:space="0" w:color="auto"/>
              <w:right w:val="single" w:sz="4" w:space="0" w:color="auto"/>
            </w:tcBorders>
            <w:shd w:val="clear" w:color="auto" w:fill="auto"/>
            <w:vAlign w:val="center"/>
            <w:hideMark/>
          </w:tcPr>
          <w:p w14:paraId="524B234A"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 в т.ч. ОС 3 -Подобряване качеството на живот в селските райони и насърчаване на диверсификацията</w:t>
            </w:r>
          </w:p>
        </w:tc>
        <w:tc>
          <w:tcPr>
            <w:tcW w:w="1596" w:type="dxa"/>
            <w:tcBorders>
              <w:top w:val="nil"/>
              <w:left w:val="nil"/>
              <w:bottom w:val="single" w:sz="4" w:space="0" w:color="auto"/>
              <w:right w:val="single" w:sz="4" w:space="0" w:color="auto"/>
            </w:tcBorders>
            <w:shd w:val="clear" w:color="auto" w:fill="auto"/>
            <w:noWrap/>
            <w:vAlign w:val="center"/>
            <w:hideMark/>
          </w:tcPr>
          <w:p w14:paraId="2795ACF8"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32 335 088</w:t>
            </w:r>
          </w:p>
        </w:tc>
        <w:tc>
          <w:tcPr>
            <w:tcW w:w="1560" w:type="dxa"/>
            <w:tcBorders>
              <w:top w:val="nil"/>
              <w:left w:val="nil"/>
              <w:bottom w:val="single" w:sz="4" w:space="0" w:color="auto"/>
              <w:right w:val="single" w:sz="4" w:space="0" w:color="auto"/>
            </w:tcBorders>
            <w:shd w:val="clear" w:color="auto" w:fill="auto"/>
            <w:vAlign w:val="center"/>
            <w:hideMark/>
          </w:tcPr>
          <w:p w14:paraId="34196CD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28 541 105</w:t>
            </w:r>
          </w:p>
        </w:tc>
        <w:tc>
          <w:tcPr>
            <w:tcW w:w="1697" w:type="dxa"/>
            <w:tcBorders>
              <w:top w:val="nil"/>
              <w:left w:val="nil"/>
              <w:bottom w:val="single" w:sz="4" w:space="0" w:color="auto"/>
              <w:right w:val="single" w:sz="4" w:space="0" w:color="auto"/>
            </w:tcBorders>
            <w:shd w:val="clear" w:color="auto" w:fill="auto"/>
            <w:vAlign w:val="center"/>
            <w:hideMark/>
          </w:tcPr>
          <w:p w14:paraId="4E70C67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28 105 952</w:t>
            </w:r>
          </w:p>
        </w:tc>
        <w:tc>
          <w:tcPr>
            <w:tcW w:w="1563" w:type="dxa"/>
            <w:tcBorders>
              <w:top w:val="nil"/>
              <w:left w:val="nil"/>
              <w:bottom w:val="single" w:sz="4" w:space="0" w:color="auto"/>
              <w:right w:val="single" w:sz="4" w:space="0" w:color="auto"/>
            </w:tcBorders>
            <w:shd w:val="clear" w:color="auto" w:fill="auto"/>
            <w:noWrap/>
            <w:vAlign w:val="center"/>
            <w:hideMark/>
          </w:tcPr>
          <w:p w14:paraId="577AF868"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88,27%</w:t>
            </w:r>
          </w:p>
        </w:tc>
        <w:tc>
          <w:tcPr>
            <w:tcW w:w="1843" w:type="dxa"/>
            <w:tcBorders>
              <w:top w:val="nil"/>
              <w:left w:val="nil"/>
              <w:bottom w:val="single" w:sz="4" w:space="0" w:color="auto"/>
              <w:right w:val="single" w:sz="4" w:space="0" w:color="auto"/>
            </w:tcBorders>
            <w:shd w:val="clear" w:color="auto" w:fill="auto"/>
            <w:noWrap/>
            <w:vAlign w:val="center"/>
            <w:hideMark/>
          </w:tcPr>
          <w:p w14:paraId="23988F9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53,18%</w:t>
            </w:r>
          </w:p>
        </w:tc>
        <w:tc>
          <w:tcPr>
            <w:tcW w:w="1701" w:type="dxa"/>
            <w:tcBorders>
              <w:top w:val="nil"/>
              <w:left w:val="nil"/>
              <w:bottom w:val="single" w:sz="4" w:space="0" w:color="auto"/>
              <w:right w:val="single" w:sz="4" w:space="0" w:color="auto"/>
            </w:tcBorders>
            <w:shd w:val="clear" w:color="auto" w:fill="auto"/>
            <w:noWrap/>
            <w:vAlign w:val="center"/>
            <w:hideMark/>
          </w:tcPr>
          <w:p w14:paraId="2EC862BA"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5880441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98,48%</w:t>
            </w:r>
          </w:p>
        </w:tc>
      </w:tr>
      <w:tr w:rsidR="00E8617E" w:rsidRPr="00BC513A" w14:paraId="64156CDB" w14:textId="77777777" w:rsidTr="00D87D35">
        <w:trPr>
          <w:trHeight w:val="510"/>
        </w:trPr>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78652D9E"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421</w:t>
            </w:r>
          </w:p>
        </w:tc>
        <w:tc>
          <w:tcPr>
            <w:tcW w:w="2944" w:type="dxa"/>
            <w:tcBorders>
              <w:top w:val="nil"/>
              <w:left w:val="nil"/>
              <w:bottom w:val="single" w:sz="4" w:space="0" w:color="auto"/>
              <w:right w:val="single" w:sz="4" w:space="0" w:color="auto"/>
            </w:tcBorders>
            <w:shd w:val="clear" w:color="auto" w:fill="auto"/>
            <w:vAlign w:val="center"/>
            <w:hideMark/>
          </w:tcPr>
          <w:p w14:paraId="5C93FB49" w14:textId="77777777" w:rsidR="00E8617E" w:rsidRPr="00BC513A" w:rsidRDefault="00E8617E" w:rsidP="00922731">
            <w:pPr>
              <w:spacing w:after="0"/>
              <w:rPr>
                <w:rFonts w:ascii="Arial" w:hAnsi="Arial" w:cs="Arial"/>
                <w:b/>
                <w:sz w:val="18"/>
                <w:szCs w:val="18"/>
                <w:lang w:eastAsia="bg-BG"/>
              </w:rPr>
            </w:pPr>
            <w:r w:rsidRPr="00BC513A">
              <w:rPr>
                <w:rFonts w:ascii="Arial" w:hAnsi="Arial" w:cs="Arial"/>
                <w:b/>
                <w:sz w:val="18"/>
                <w:szCs w:val="18"/>
                <w:lang w:eastAsia="bg-BG"/>
              </w:rPr>
              <w:t>Между-териториално и транс-национално сътрудничество</w:t>
            </w:r>
          </w:p>
        </w:tc>
        <w:tc>
          <w:tcPr>
            <w:tcW w:w="1596" w:type="dxa"/>
            <w:tcBorders>
              <w:top w:val="nil"/>
              <w:left w:val="nil"/>
              <w:bottom w:val="single" w:sz="4" w:space="0" w:color="auto"/>
              <w:right w:val="single" w:sz="4" w:space="0" w:color="auto"/>
            </w:tcBorders>
            <w:shd w:val="clear" w:color="auto" w:fill="auto"/>
            <w:noWrap/>
            <w:vAlign w:val="center"/>
            <w:hideMark/>
          </w:tcPr>
          <w:p w14:paraId="341C0725"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5 132 554</w:t>
            </w:r>
          </w:p>
        </w:tc>
        <w:tc>
          <w:tcPr>
            <w:tcW w:w="1560" w:type="dxa"/>
            <w:tcBorders>
              <w:top w:val="nil"/>
              <w:left w:val="nil"/>
              <w:bottom w:val="single" w:sz="4" w:space="0" w:color="auto"/>
              <w:right w:val="single" w:sz="4" w:space="0" w:color="auto"/>
            </w:tcBorders>
            <w:shd w:val="clear" w:color="auto" w:fill="auto"/>
            <w:vAlign w:val="center"/>
            <w:hideMark/>
          </w:tcPr>
          <w:p w14:paraId="324AF84D"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337 500</w:t>
            </w:r>
          </w:p>
        </w:tc>
        <w:tc>
          <w:tcPr>
            <w:tcW w:w="1697" w:type="dxa"/>
            <w:tcBorders>
              <w:top w:val="nil"/>
              <w:left w:val="nil"/>
              <w:bottom w:val="single" w:sz="4" w:space="0" w:color="auto"/>
              <w:right w:val="single" w:sz="4" w:space="0" w:color="auto"/>
            </w:tcBorders>
            <w:shd w:val="clear" w:color="auto" w:fill="auto"/>
            <w:noWrap/>
            <w:vAlign w:val="center"/>
            <w:hideMark/>
          </w:tcPr>
          <w:p w14:paraId="01245DFF"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305 853</w:t>
            </w:r>
          </w:p>
        </w:tc>
        <w:tc>
          <w:tcPr>
            <w:tcW w:w="1563" w:type="dxa"/>
            <w:tcBorders>
              <w:top w:val="nil"/>
              <w:left w:val="nil"/>
              <w:bottom w:val="single" w:sz="4" w:space="0" w:color="auto"/>
              <w:right w:val="single" w:sz="4" w:space="0" w:color="auto"/>
            </w:tcBorders>
            <w:shd w:val="clear" w:color="auto" w:fill="auto"/>
            <w:noWrap/>
            <w:vAlign w:val="center"/>
            <w:hideMark/>
          </w:tcPr>
          <w:p w14:paraId="6B369FB4"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6,58%</w:t>
            </w:r>
          </w:p>
        </w:tc>
        <w:tc>
          <w:tcPr>
            <w:tcW w:w="1843" w:type="dxa"/>
            <w:tcBorders>
              <w:top w:val="nil"/>
              <w:left w:val="nil"/>
              <w:bottom w:val="single" w:sz="4" w:space="0" w:color="auto"/>
              <w:right w:val="single" w:sz="4" w:space="0" w:color="auto"/>
            </w:tcBorders>
            <w:shd w:val="clear" w:color="auto" w:fill="auto"/>
            <w:noWrap/>
            <w:vAlign w:val="center"/>
            <w:hideMark/>
          </w:tcPr>
          <w:p w14:paraId="2999B2B5"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0,58%</w:t>
            </w:r>
          </w:p>
        </w:tc>
        <w:tc>
          <w:tcPr>
            <w:tcW w:w="1701" w:type="dxa"/>
            <w:tcBorders>
              <w:top w:val="nil"/>
              <w:left w:val="nil"/>
              <w:bottom w:val="single" w:sz="4" w:space="0" w:color="auto"/>
              <w:right w:val="single" w:sz="4" w:space="0" w:color="auto"/>
            </w:tcBorders>
            <w:shd w:val="clear" w:color="auto" w:fill="auto"/>
            <w:noWrap/>
            <w:vAlign w:val="center"/>
            <w:hideMark/>
          </w:tcPr>
          <w:p w14:paraId="08698194"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529CCA9B"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90,62%</w:t>
            </w:r>
          </w:p>
        </w:tc>
      </w:tr>
      <w:tr w:rsidR="00E8617E" w:rsidRPr="00BC513A" w14:paraId="1C4A9589" w14:textId="77777777" w:rsidTr="00D87D35">
        <w:trPr>
          <w:trHeight w:val="510"/>
        </w:trPr>
        <w:tc>
          <w:tcPr>
            <w:tcW w:w="900" w:type="dxa"/>
            <w:vMerge/>
            <w:tcBorders>
              <w:top w:val="nil"/>
              <w:left w:val="single" w:sz="4" w:space="0" w:color="auto"/>
              <w:bottom w:val="single" w:sz="4" w:space="0" w:color="auto"/>
              <w:right w:val="single" w:sz="4" w:space="0" w:color="auto"/>
            </w:tcBorders>
            <w:vAlign w:val="center"/>
            <w:hideMark/>
          </w:tcPr>
          <w:p w14:paraId="24FDF184" w14:textId="77777777" w:rsidR="00E8617E" w:rsidRPr="00BC513A" w:rsidRDefault="00E8617E" w:rsidP="00922731">
            <w:pPr>
              <w:rPr>
                <w:rFonts w:ascii="Arial" w:hAnsi="Arial" w:cs="Arial"/>
                <w:sz w:val="18"/>
                <w:szCs w:val="18"/>
                <w:lang w:eastAsia="bg-BG"/>
              </w:rPr>
            </w:pPr>
          </w:p>
        </w:tc>
        <w:tc>
          <w:tcPr>
            <w:tcW w:w="2944" w:type="dxa"/>
            <w:tcBorders>
              <w:top w:val="nil"/>
              <w:left w:val="nil"/>
              <w:bottom w:val="single" w:sz="4" w:space="0" w:color="auto"/>
              <w:right w:val="single" w:sz="4" w:space="0" w:color="auto"/>
            </w:tcBorders>
            <w:shd w:val="clear" w:color="auto" w:fill="auto"/>
            <w:vAlign w:val="center"/>
            <w:hideMark/>
          </w:tcPr>
          <w:p w14:paraId="3D271445"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в т.ч. за дейности преди разработването на съвместни проекти</w:t>
            </w:r>
          </w:p>
        </w:tc>
        <w:tc>
          <w:tcPr>
            <w:tcW w:w="1596" w:type="dxa"/>
            <w:tcBorders>
              <w:top w:val="nil"/>
              <w:left w:val="nil"/>
              <w:bottom w:val="single" w:sz="4" w:space="0" w:color="auto"/>
              <w:right w:val="single" w:sz="4" w:space="0" w:color="auto"/>
            </w:tcBorders>
            <w:shd w:val="clear" w:color="auto" w:fill="auto"/>
            <w:noWrap/>
            <w:vAlign w:val="center"/>
            <w:hideMark/>
          </w:tcPr>
          <w:p w14:paraId="1F41613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1 026 511</w:t>
            </w:r>
          </w:p>
        </w:tc>
        <w:tc>
          <w:tcPr>
            <w:tcW w:w="1560" w:type="dxa"/>
            <w:tcBorders>
              <w:top w:val="nil"/>
              <w:left w:val="nil"/>
              <w:bottom w:val="single" w:sz="4" w:space="0" w:color="auto"/>
              <w:right w:val="single" w:sz="4" w:space="0" w:color="auto"/>
            </w:tcBorders>
            <w:shd w:val="clear" w:color="auto" w:fill="auto"/>
            <w:vAlign w:val="center"/>
            <w:hideMark/>
          </w:tcPr>
          <w:p w14:paraId="2A3ABBF8"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67 500</w:t>
            </w:r>
          </w:p>
        </w:tc>
        <w:tc>
          <w:tcPr>
            <w:tcW w:w="1697" w:type="dxa"/>
            <w:tcBorders>
              <w:top w:val="nil"/>
              <w:left w:val="nil"/>
              <w:bottom w:val="single" w:sz="4" w:space="0" w:color="auto"/>
              <w:right w:val="single" w:sz="4" w:space="0" w:color="auto"/>
            </w:tcBorders>
            <w:shd w:val="clear" w:color="auto" w:fill="auto"/>
            <w:vAlign w:val="center"/>
            <w:hideMark/>
          </w:tcPr>
          <w:p w14:paraId="2A49D5CA"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w:t>
            </w:r>
          </w:p>
        </w:tc>
        <w:tc>
          <w:tcPr>
            <w:tcW w:w="1563" w:type="dxa"/>
            <w:tcBorders>
              <w:top w:val="nil"/>
              <w:left w:val="nil"/>
              <w:bottom w:val="single" w:sz="4" w:space="0" w:color="auto"/>
              <w:right w:val="single" w:sz="4" w:space="0" w:color="auto"/>
            </w:tcBorders>
            <w:shd w:val="clear" w:color="auto" w:fill="auto"/>
            <w:noWrap/>
            <w:vAlign w:val="center"/>
            <w:hideMark/>
          </w:tcPr>
          <w:p w14:paraId="6D9B5ECD"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6,58%</w:t>
            </w:r>
          </w:p>
        </w:tc>
        <w:tc>
          <w:tcPr>
            <w:tcW w:w="1843" w:type="dxa"/>
            <w:tcBorders>
              <w:top w:val="nil"/>
              <w:left w:val="nil"/>
              <w:bottom w:val="single" w:sz="4" w:space="0" w:color="auto"/>
              <w:right w:val="single" w:sz="4" w:space="0" w:color="auto"/>
            </w:tcBorders>
            <w:shd w:val="clear" w:color="auto" w:fill="auto"/>
            <w:noWrap/>
            <w:vAlign w:val="center"/>
            <w:hideMark/>
          </w:tcPr>
          <w:p w14:paraId="7C90D60E"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0,00%</w:t>
            </w:r>
          </w:p>
        </w:tc>
        <w:tc>
          <w:tcPr>
            <w:tcW w:w="1701" w:type="dxa"/>
            <w:tcBorders>
              <w:top w:val="nil"/>
              <w:left w:val="nil"/>
              <w:bottom w:val="single" w:sz="4" w:space="0" w:color="auto"/>
              <w:right w:val="single" w:sz="4" w:space="0" w:color="auto"/>
            </w:tcBorders>
            <w:shd w:val="clear" w:color="auto" w:fill="auto"/>
            <w:noWrap/>
            <w:vAlign w:val="center"/>
            <w:hideMark/>
          </w:tcPr>
          <w:p w14:paraId="5B70D364" w14:textId="77777777" w:rsidR="00E8617E" w:rsidRPr="00BC513A" w:rsidRDefault="00E8617E" w:rsidP="00922731">
            <w:pPr>
              <w:spacing w:after="0"/>
              <w:jc w:val="center"/>
              <w:rPr>
                <w:rFonts w:ascii="Arial" w:hAnsi="Arial" w:cs="Arial"/>
                <w:color w:val="000000"/>
                <w:sz w:val="18"/>
                <w:szCs w:val="18"/>
                <w:lang w:eastAsia="bg-BG"/>
              </w:rPr>
            </w:pPr>
          </w:p>
        </w:tc>
        <w:tc>
          <w:tcPr>
            <w:tcW w:w="1989" w:type="dxa"/>
            <w:tcBorders>
              <w:top w:val="nil"/>
              <w:left w:val="nil"/>
              <w:bottom w:val="single" w:sz="4" w:space="0" w:color="auto"/>
              <w:right w:val="single" w:sz="4" w:space="0" w:color="auto"/>
            </w:tcBorders>
            <w:shd w:val="clear" w:color="auto" w:fill="auto"/>
            <w:noWrap/>
            <w:vAlign w:val="center"/>
            <w:hideMark/>
          </w:tcPr>
          <w:p w14:paraId="126A8A5C" w14:textId="77777777" w:rsidR="00E8617E" w:rsidRPr="00BC513A" w:rsidRDefault="00E8617E" w:rsidP="00922731">
            <w:pPr>
              <w:spacing w:after="0"/>
              <w:jc w:val="center"/>
              <w:rPr>
                <w:rFonts w:ascii="Arial" w:hAnsi="Arial" w:cs="Arial"/>
                <w:color w:val="000000"/>
                <w:sz w:val="18"/>
                <w:szCs w:val="18"/>
                <w:lang w:eastAsia="bg-BG"/>
              </w:rPr>
            </w:pPr>
          </w:p>
        </w:tc>
      </w:tr>
      <w:tr w:rsidR="00E8617E" w:rsidRPr="00BC513A" w14:paraId="6A905367" w14:textId="77777777" w:rsidTr="00D87D35">
        <w:trPr>
          <w:trHeight w:val="510"/>
        </w:trPr>
        <w:tc>
          <w:tcPr>
            <w:tcW w:w="900" w:type="dxa"/>
            <w:vMerge/>
            <w:tcBorders>
              <w:top w:val="nil"/>
              <w:left w:val="single" w:sz="4" w:space="0" w:color="auto"/>
              <w:bottom w:val="single" w:sz="4" w:space="0" w:color="auto"/>
              <w:right w:val="single" w:sz="4" w:space="0" w:color="auto"/>
            </w:tcBorders>
            <w:vAlign w:val="center"/>
            <w:hideMark/>
          </w:tcPr>
          <w:p w14:paraId="74575F64" w14:textId="77777777" w:rsidR="00E8617E" w:rsidRPr="00BC513A" w:rsidRDefault="00E8617E" w:rsidP="00922731">
            <w:pPr>
              <w:rPr>
                <w:rFonts w:ascii="Arial" w:hAnsi="Arial" w:cs="Arial"/>
                <w:sz w:val="18"/>
                <w:szCs w:val="18"/>
                <w:lang w:eastAsia="bg-BG"/>
              </w:rPr>
            </w:pPr>
          </w:p>
        </w:tc>
        <w:tc>
          <w:tcPr>
            <w:tcW w:w="2944" w:type="dxa"/>
            <w:tcBorders>
              <w:top w:val="nil"/>
              <w:left w:val="nil"/>
              <w:bottom w:val="single" w:sz="4" w:space="0" w:color="auto"/>
              <w:right w:val="single" w:sz="4" w:space="0" w:color="auto"/>
            </w:tcBorders>
            <w:shd w:val="clear" w:color="auto" w:fill="auto"/>
            <w:vAlign w:val="center"/>
            <w:hideMark/>
          </w:tcPr>
          <w:p w14:paraId="56F36920"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в т.ч. за изготвяне и прилагане на общо действие/проект</w:t>
            </w:r>
          </w:p>
        </w:tc>
        <w:tc>
          <w:tcPr>
            <w:tcW w:w="1596" w:type="dxa"/>
            <w:tcBorders>
              <w:top w:val="nil"/>
              <w:left w:val="nil"/>
              <w:bottom w:val="single" w:sz="4" w:space="0" w:color="auto"/>
              <w:right w:val="single" w:sz="4" w:space="0" w:color="auto"/>
            </w:tcBorders>
            <w:shd w:val="clear" w:color="auto" w:fill="auto"/>
            <w:noWrap/>
            <w:vAlign w:val="center"/>
            <w:hideMark/>
          </w:tcPr>
          <w:p w14:paraId="5314DCB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4 106 043</w:t>
            </w:r>
          </w:p>
        </w:tc>
        <w:tc>
          <w:tcPr>
            <w:tcW w:w="1560" w:type="dxa"/>
            <w:tcBorders>
              <w:top w:val="nil"/>
              <w:left w:val="nil"/>
              <w:bottom w:val="single" w:sz="4" w:space="0" w:color="auto"/>
              <w:right w:val="single" w:sz="4" w:space="0" w:color="auto"/>
            </w:tcBorders>
            <w:shd w:val="clear" w:color="auto" w:fill="auto"/>
            <w:vAlign w:val="center"/>
            <w:hideMark/>
          </w:tcPr>
          <w:p w14:paraId="62656958"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270 000</w:t>
            </w:r>
          </w:p>
        </w:tc>
        <w:tc>
          <w:tcPr>
            <w:tcW w:w="1697" w:type="dxa"/>
            <w:tcBorders>
              <w:top w:val="nil"/>
              <w:left w:val="nil"/>
              <w:bottom w:val="single" w:sz="4" w:space="0" w:color="auto"/>
              <w:right w:val="single" w:sz="4" w:space="0" w:color="auto"/>
            </w:tcBorders>
            <w:shd w:val="clear" w:color="auto" w:fill="auto"/>
            <w:vAlign w:val="center"/>
            <w:hideMark/>
          </w:tcPr>
          <w:p w14:paraId="67874CA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w:t>
            </w:r>
          </w:p>
        </w:tc>
        <w:tc>
          <w:tcPr>
            <w:tcW w:w="1563" w:type="dxa"/>
            <w:tcBorders>
              <w:top w:val="nil"/>
              <w:left w:val="nil"/>
              <w:bottom w:val="single" w:sz="4" w:space="0" w:color="auto"/>
              <w:right w:val="single" w:sz="4" w:space="0" w:color="auto"/>
            </w:tcBorders>
            <w:shd w:val="clear" w:color="auto" w:fill="auto"/>
            <w:noWrap/>
            <w:vAlign w:val="center"/>
            <w:hideMark/>
          </w:tcPr>
          <w:p w14:paraId="4C93996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6,58%</w:t>
            </w:r>
          </w:p>
        </w:tc>
        <w:tc>
          <w:tcPr>
            <w:tcW w:w="1843" w:type="dxa"/>
            <w:tcBorders>
              <w:top w:val="nil"/>
              <w:left w:val="nil"/>
              <w:bottom w:val="single" w:sz="4" w:space="0" w:color="auto"/>
              <w:right w:val="single" w:sz="4" w:space="0" w:color="auto"/>
            </w:tcBorders>
            <w:shd w:val="clear" w:color="auto" w:fill="auto"/>
            <w:noWrap/>
            <w:vAlign w:val="center"/>
            <w:hideMark/>
          </w:tcPr>
          <w:p w14:paraId="5570C0E2"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0,00%</w:t>
            </w:r>
          </w:p>
        </w:tc>
        <w:tc>
          <w:tcPr>
            <w:tcW w:w="1701" w:type="dxa"/>
            <w:tcBorders>
              <w:top w:val="nil"/>
              <w:left w:val="nil"/>
              <w:bottom w:val="single" w:sz="4" w:space="0" w:color="auto"/>
              <w:right w:val="single" w:sz="4" w:space="0" w:color="auto"/>
            </w:tcBorders>
            <w:shd w:val="clear" w:color="auto" w:fill="auto"/>
            <w:noWrap/>
            <w:vAlign w:val="center"/>
            <w:hideMark/>
          </w:tcPr>
          <w:p w14:paraId="61A48E58" w14:textId="77777777" w:rsidR="00E8617E" w:rsidRPr="00BC513A" w:rsidRDefault="00E8617E" w:rsidP="00922731">
            <w:pPr>
              <w:spacing w:after="0"/>
              <w:jc w:val="center"/>
              <w:rPr>
                <w:rFonts w:ascii="Arial" w:hAnsi="Arial" w:cs="Arial"/>
                <w:color w:val="000000"/>
                <w:sz w:val="18"/>
                <w:szCs w:val="18"/>
                <w:lang w:eastAsia="bg-BG"/>
              </w:rPr>
            </w:pPr>
          </w:p>
        </w:tc>
        <w:tc>
          <w:tcPr>
            <w:tcW w:w="1989" w:type="dxa"/>
            <w:tcBorders>
              <w:top w:val="nil"/>
              <w:left w:val="nil"/>
              <w:bottom w:val="single" w:sz="4" w:space="0" w:color="auto"/>
              <w:right w:val="single" w:sz="4" w:space="0" w:color="auto"/>
            </w:tcBorders>
            <w:shd w:val="clear" w:color="auto" w:fill="auto"/>
            <w:noWrap/>
            <w:vAlign w:val="center"/>
            <w:hideMark/>
          </w:tcPr>
          <w:p w14:paraId="00F5A38F" w14:textId="77777777" w:rsidR="00E8617E" w:rsidRPr="00BC513A" w:rsidRDefault="00E8617E" w:rsidP="00922731">
            <w:pPr>
              <w:spacing w:after="0"/>
              <w:jc w:val="center"/>
              <w:rPr>
                <w:rFonts w:ascii="Arial" w:hAnsi="Arial" w:cs="Arial"/>
                <w:color w:val="000000"/>
                <w:sz w:val="18"/>
                <w:szCs w:val="18"/>
                <w:lang w:eastAsia="bg-BG"/>
              </w:rPr>
            </w:pPr>
          </w:p>
        </w:tc>
      </w:tr>
      <w:tr w:rsidR="00E8617E" w:rsidRPr="00BC513A" w14:paraId="4E96F212" w14:textId="77777777" w:rsidTr="00D87D35">
        <w:trPr>
          <w:trHeight w:val="765"/>
        </w:trPr>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3DDC87F0"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431</w:t>
            </w:r>
          </w:p>
        </w:tc>
        <w:tc>
          <w:tcPr>
            <w:tcW w:w="2944" w:type="dxa"/>
            <w:tcBorders>
              <w:top w:val="nil"/>
              <w:left w:val="nil"/>
              <w:bottom w:val="single" w:sz="4" w:space="0" w:color="auto"/>
              <w:right w:val="single" w:sz="4" w:space="0" w:color="auto"/>
            </w:tcBorders>
            <w:shd w:val="clear" w:color="auto" w:fill="auto"/>
            <w:vAlign w:val="center"/>
            <w:hideMark/>
          </w:tcPr>
          <w:p w14:paraId="5057C83F" w14:textId="77777777" w:rsidR="00E8617E" w:rsidRPr="00BC513A" w:rsidRDefault="00E8617E" w:rsidP="00922731">
            <w:pPr>
              <w:spacing w:after="0"/>
              <w:rPr>
                <w:rFonts w:ascii="Arial" w:hAnsi="Arial" w:cs="Arial"/>
                <w:b/>
                <w:sz w:val="18"/>
                <w:szCs w:val="18"/>
                <w:lang w:eastAsia="bg-BG"/>
              </w:rPr>
            </w:pPr>
            <w:r w:rsidRPr="00BC513A">
              <w:rPr>
                <w:rFonts w:ascii="Arial" w:hAnsi="Arial" w:cs="Arial"/>
                <w:b/>
                <w:sz w:val="18"/>
                <w:szCs w:val="18"/>
                <w:lang w:eastAsia="bg-BG"/>
              </w:rPr>
              <w:t>Управление на МИГ, придобиване на умения и постигане на обществена активност на съответната територия</w:t>
            </w:r>
          </w:p>
        </w:tc>
        <w:tc>
          <w:tcPr>
            <w:tcW w:w="1596" w:type="dxa"/>
            <w:tcBorders>
              <w:top w:val="nil"/>
              <w:left w:val="nil"/>
              <w:bottom w:val="single" w:sz="4" w:space="0" w:color="auto"/>
              <w:right w:val="single" w:sz="4" w:space="0" w:color="auto"/>
            </w:tcBorders>
            <w:shd w:val="clear" w:color="auto" w:fill="auto"/>
            <w:noWrap/>
            <w:vAlign w:val="center"/>
            <w:hideMark/>
          </w:tcPr>
          <w:p w14:paraId="52A9EC5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17 963 939</w:t>
            </w:r>
          </w:p>
        </w:tc>
        <w:tc>
          <w:tcPr>
            <w:tcW w:w="1560" w:type="dxa"/>
            <w:tcBorders>
              <w:top w:val="nil"/>
              <w:left w:val="nil"/>
              <w:bottom w:val="single" w:sz="4" w:space="0" w:color="auto"/>
              <w:right w:val="single" w:sz="4" w:space="0" w:color="auto"/>
            </w:tcBorders>
            <w:shd w:val="clear" w:color="auto" w:fill="auto"/>
            <w:vAlign w:val="center"/>
            <w:hideMark/>
          </w:tcPr>
          <w:p w14:paraId="5BDD463C"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13 300 000</w:t>
            </w:r>
          </w:p>
        </w:tc>
        <w:tc>
          <w:tcPr>
            <w:tcW w:w="1697" w:type="dxa"/>
            <w:tcBorders>
              <w:top w:val="nil"/>
              <w:left w:val="nil"/>
              <w:bottom w:val="single" w:sz="4" w:space="0" w:color="auto"/>
              <w:right w:val="single" w:sz="4" w:space="0" w:color="auto"/>
            </w:tcBorders>
            <w:shd w:val="clear" w:color="auto" w:fill="auto"/>
            <w:noWrap/>
            <w:vAlign w:val="center"/>
            <w:hideMark/>
          </w:tcPr>
          <w:p w14:paraId="52DC4A35"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13 298 342</w:t>
            </w:r>
          </w:p>
        </w:tc>
        <w:tc>
          <w:tcPr>
            <w:tcW w:w="1563" w:type="dxa"/>
            <w:tcBorders>
              <w:top w:val="nil"/>
              <w:left w:val="nil"/>
              <w:bottom w:val="single" w:sz="4" w:space="0" w:color="auto"/>
              <w:right w:val="single" w:sz="4" w:space="0" w:color="auto"/>
            </w:tcBorders>
            <w:shd w:val="clear" w:color="auto" w:fill="auto"/>
            <w:noWrap/>
            <w:vAlign w:val="center"/>
            <w:hideMark/>
          </w:tcPr>
          <w:p w14:paraId="6817A7F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74,04%</w:t>
            </w:r>
          </w:p>
        </w:tc>
        <w:tc>
          <w:tcPr>
            <w:tcW w:w="1843" w:type="dxa"/>
            <w:tcBorders>
              <w:top w:val="nil"/>
              <w:left w:val="nil"/>
              <w:bottom w:val="single" w:sz="4" w:space="0" w:color="auto"/>
              <w:right w:val="single" w:sz="4" w:space="0" w:color="auto"/>
            </w:tcBorders>
            <w:shd w:val="clear" w:color="auto" w:fill="auto"/>
            <w:noWrap/>
            <w:vAlign w:val="center"/>
            <w:hideMark/>
          </w:tcPr>
          <w:p w14:paraId="6E94CC2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25,16%</w:t>
            </w:r>
          </w:p>
        </w:tc>
        <w:tc>
          <w:tcPr>
            <w:tcW w:w="1701" w:type="dxa"/>
            <w:tcBorders>
              <w:top w:val="nil"/>
              <w:left w:val="nil"/>
              <w:bottom w:val="single" w:sz="4" w:space="0" w:color="auto"/>
              <w:right w:val="single" w:sz="4" w:space="0" w:color="auto"/>
            </w:tcBorders>
            <w:shd w:val="clear" w:color="auto" w:fill="auto"/>
            <w:noWrap/>
            <w:vAlign w:val="center"/>
            <w:hideMark/>
          </w:tcPr>
          <w:p w14:paraId="5D6A0C27"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48610F5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99,99%</w:t>
            </w:r>
          </w:p>
        </w:tc>
      </w:tr>
      <w:tr w:rsidR="00E8617E" w:rsidRPr="00BC513A" w14:paraId="24B8D782" w14:textId="77777777" w:rsidTr="00D87D35">
        <w:trPr>
          <w:trHeight w:val="510"/>
        </w:trPr>
        <w:tc>
          <w:tcPr>
            <w:tcW w:w="900" w:type="dxa"/>
            <w:vMerge/>
            <w:tcBorders>
              <w:top w:val="nil"/>
              <w:left w:val="single" w:sz="4" w:space="0" w:color="auto"/>
              <w:bottom w:val="single" w:sz="4" w:space="0" w:color="auto"/>
              <w:right w:val="single" w:sz="4" w:space="0" w:color="auto"/>
            </w:tcBorders>
            <w:vAlign w:val="center"/>
            <w:hideMark/>
          </w:tcPr>
          <w:p w14:paraId="0FD1787B" w14:textId="77777777" w:rsidR="00E8617E" w:rsidRPr="00BC513A" w:rsidRDefault="00E8617E" w:rsidP="00922731">
            <w:pPr>
              <w:spacing w:after="0" w:line="240" w:lineRule="auto"/>
              <w:jc w:val="center"/>
              <w:rPr>
                <w:rFonts w:ascii="Arial" w:eastAsia="Times New Roman" w:hAnsi="Arial" w:cs="Arial"/>
                <w:sz w:val="18"/>
                <w:szCs w:val="18"/>
                <w:lang w:eastAsia="bg-BG"/>
              </w:rPr>
            </w:pPr>
          </w:p>
        </w:tc>
        <w:tc>
          <w:tcPr>
            <w:tcW w:w="2944" w:type="dxa"/>
            <w:tcBorders>
              <w:top w:val="nil"/>
              <w:left w:val="nil"/>
              <w:bottom w:val="single" w:sz="4" w:space="0" w:color="auto"/>
              <w:right w:val="single" w:sz="4" w:space="0" w:color="auto"/>
            </w:tcBorders>
            <w:shd w:val="clear" w:color="auto" w:fill="auto"/>
            <w:vAlign w:val="center"/>
            <w:hideMark/>
          </w:tcPr>
          <w:p w14:paraId="7207B549"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в т.ч. за подсигуряване дейността на местна инициативна група</w:t>
            </w:r>
          </w:p>
        </w:tc>
        <w:tc>
          <w:tcPr>
            <w:tcW w:w="1596" w:type="dxa"/>
            <w:tcBorders>
              <w:top w:val="nil"/>
              <w:left w:val="nil"/>
              <w:bottom w:val="single" w:sz="4" w:space="0" w:color="auto"/>
              <w:right w:val="single" w:sz="4" w:space="0" w:color="auto"/>
            </w:tcBorders>
            <w:shd w:val="clear" w:color="auto" w:fill="auto"/>
            <w:noWrap/>
            <w:vAlign w:val="center"/>
            <w:hideMark/>
          </w:tcPr>
          <w:p w14:paraId="2CC2B0F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10 778 364</w:t>
            </w:r>
          </w:p>
        </w:tc>
        <w:tc>
          <w:tcPr>
            <w:tcW w:w="1560" w:type="dxa"/>
            <w:tcBorders>
              <w:top w:val="nil"/>
              <w:left w:val="nil"/>
              <w:bottom w:val="single" w:sz="4" w:space="0" w:color="auto"/>
              <w:right w:val="single" w:sz="4" w:space="0" w:color="auto"/>
            </w:tcBorders>
            <w:shd w:val="clear" w:color="auto" w:fill="auto"/>
            <w:vAlign w:val="center"/>
            <w:hideMark/>
          </w:tcPr>
          <w:p w14:paraId="440C193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5 320 000</w:t>
            </w:r>
          </w:p>
        </w:tc>
        <w:tc>
          <w:tcPr>
            <w:tcW w:w="1697" w:type="dxa"/>
            <w:tcBorders>
              <w:top w:val="nil"/>
              <w:left w:val="nil"/>
              <w:bottom w:val="single" w:sz="4" w:space="0" w:color="auto"/>
              <w:right w:val="single" w:sz="4" w:space="0" w:color="auto"/>
            </w:tcBorders>
            <w:shd w:val="clear" w:color="auto" w:fill="auto"/>
            <w:vAlign w:val="center"/>
            <w:hideMark/>
          </w:tcPr>
          <w:p w14:paraId="1F316918"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w:t>
            </w:r>
          </w:p>
        </w:tc>
        <w:tc>
          <w:tcPr>
            <w:tcW w:w="1563" w:type="dxa"/>
            <w:tcBorders>
              <w:top w:val="nil"/>
              <w:left w:val="nil"/>
              <w:bottom w:val="single" w:sz="4" w:space="0" w:color="auto"/>
              <w:right w:val="single" w:sz="4" w:space="0" w:color="auto"/>
            </w:tcBorders>
            <w:shd w:val="clear" w:color="auto" w:fill="auto"/>
            <w:noWrap/>
            <w:vAlign w:val="center"/>
            <w:hideMark/>
          </w:tcPr>
          <w:p w14:paraId="4599841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49,36%</w:t>
            </w:r>
          </w:p>
        </w:tc>
        <w:tc>
          <w:tcPr>
            <w:tcW w:w="1843" w:type="dxa"/>
            <w:tcBorders>
              <w:top w:val="nil"/>
              <w:left w:val="nil"/>
              <w:bottom w:val="single" w:sz="4" w:space="0" w:color="auto"/>
              <w:right w:val="single" w:sz="4" w:space="0" w:color="auto"/>
            </w:tcBorders>
            <w:shd w:val="clear" w:color="auto" w:fill="auto"/>
            <w:noWrap/>
            <w:vAlign w:val="center"/>
            <w:hideMark/>
          </w:tcPr>
          <w:p w14:paraId="2D6CBC3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0,00%</w:t>
            </w:r>
          </w:p>
        </w:tc>
        <w:tc>
          <w:tcPr>
            <w:tcW w:w="1701" w:type="dxa"/>
            <w:tcBorders>
              <w:top w:val="nil"/>
              <w:left w:val="nil"/>
              <w:bottom w:val="single" w:sz="4" w:space="0" w:color="auto"/>
              <w:right w:val="single" w:sz="4" w:space="0" w:color="auto"/>
            </w:tcBorders>
            <w:shd w:val="clear" w:color="auto" w:fill="auto"/>
            <w:noWrap/>
            <w:vAlign w:val="center"/>
            <w:hideMark/>
          </w:tcPr>
          <w:p w14:paraId="3F7E9394" w14:textId="77777777" w:rsidR="00E8617E" w:rsidRPr="00BC513A" w:rsidRDefault="00E8617E" w:rsidP="00922731">
            <w:pPr>
              <w:spacing w:after="0"/>
              <w:jc w:val="center"/>
              <w:rPr>
                <w:rFonts w:ascii="Arial" w:hAnsi="Arial" w:cs="Arial"/>
                <w:color w:val="000000"/>
                <w:sz w:val="18"/>
                <w:szCs w:val="18"/>
                <w:lang w:eastAsia="bg-BG"/>
              </w:rPr>
            </w:pPr>
          </w:p>
        </w:tc>
        <w:tc>
          <w:tcPr>
            <w:tcW w:w="1989" w:type="dxa"/>
            <w:tcBorders>
              <w:top w:val="nil"/>
              <w:left w:val="nil"/>
              <w:bottom w:val="single" w:sz="4" w:space="0" w:color="auto"/>
              <w:right w:val="single" w:sz="4" w:space="0" w:color="auto"/>
            </w:tcBorders>
            <w:shd w:val="clear" w:color="auto" w:fill="auto"/>
            <w:noWrap/>
            <w:vAlign w:val="center"/>
            <w:hideMark/>
          </w:tcPr>
          <w:p w14:paraId="75F074AC" w14:textId="77777777" w:rsidR="00E8617E" w:rsidRPr="00BC513A" w:rsidRDefault="00E8617E" w:rsidP="00922731">
            <w:pPr>
              <w:spacing w:after="0"/>
              <w:jc w:val="center"/>
              <w:rPr>
                <w:rFonts w:ascii="Arial" w:hAnsi="Arial" w:cs="Arial"/>
                <w:color w:val="000000"/>
                <w:sz w:val="18"/>
                <w:szCs w:val="18"/>
                <w:lang w:eastAsia="bg-BG"/>
              </w:rPr>
            </w:pPr>
          </w:p>
        </w:tc>
      </w:tr>
      <w:tr w:rsidR="00E8617E" w:rsidRPr="00BC513A" w14:paraId="0AA4784A" w14:textId="77777777" w:rsidTr="00D87D35">
        <w:trPr>
          <w:trHeight w:val="765"/>
        </w:trPr>
        <w:tc>
          <w:tcPr>
            <w:tcW w:w="900" w:type="dxa"/>
            <w:vMerge/>
            <w:tcBorders>
              <w:top w:val="nil"/>
              <w:left w:val="single" w:sz="4" w:space="0" w:color="auto"/>
              <w:bottom w:val="single" w:sz="4" w:space="0" w:color="auto"/>
              <w:right w:val="single" w:sz="4" w:space="0" w:color="auto"/>
            </w:tcBorders>
            <w:vAlign w:val="center"/>
            <w:hideMark/>
          </w:tcPr>
          <w:p w14:paraId="623054CA" w14:textId="77777777" w:rsidR="00E8617E" w:rsidRPr="00BC513A" w:rsidRDefault="00E8617E" w:rsidP="00922731">
            <w:pPr>
              <w:spacing w:after="0" w:line="240" w:lineRule="auto"/>
              <w:jc w:val="center"/>
              <w:rPr>
                <w:rFonts w:ascii="Arial" w:eastAsia="Times New Roman" w:hAnsi="Arial" w:cs="Arial"/>
                <w:sz w:val="18"/>
                <w:szCs w:val="18"/>
                <w:lang w:eastAsia="bg-BG"/>
              </w:rPr>
            </w:pPr>
          </w:p>
        </w:tc>
        <w:tc>
          <w:tcPr>
            <w:tcW w:w="2944" w:type="dxa"/>
            <w:tcBorders>
              <w:top w:val="nil"/>
              <w:left w:val="nil"/>
              <w:bottom w:val="single" w:sz="4" w:space="0" w:color="auto"/>
              <w:right w:val="single" w:sz="4" w:space="0" w:color="auto"/>
            </w:tcBorders>
            <w:shd w:val="clear" w:color="auto" w:fill="auto"/>
            <w:vAlign w:val="center"/>
            <w:hideMark/>
          </w:tcPr>
          <w:p w14:paraId="7331BCEB"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в т.ч. за придобиване на умения и обществена активност на територията</w:t>
            </w:r>
          </w:p>
        </w:tc>
        <w:tc>
          <w:tcPr>
            <w:tcW w:w="1596" w:type="dxa"/>
            <w:tcBorders>
              <w:top w:val="nil"/>
              <w:left w:val="nil"/>
              <w:bottom w:val="single" w:sz="4" w:space="0" w:color="auto"/>
              <w:right w:val="single" w:sz="4" w:space="0" w:color="auto"/>
            </w:tcBorders>
            <w:shd w:val="clear" w:color="auto" w:fill="auto"/>
            <w:noWrap/>
            <w:vAlign w:val="center"/>
            <w:hideMark/>
          </w:tcPr>
          <w:p w14:paraId="56298705"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7 185 575</w:t>
            </w:r>
          </w:p>
        </w:tc>
        <w:tc>
          <w:tcPr>
            <w:tcW w:w="1560" w:type="dxa"/>
            <w:tcBorders>
              <w:top w:val="nil"/>
              <w:left w:val="nil"/>
              <w:bottom w:val="single" w:sz="4" w:space="0" w:color="auto"/>
              <w:right w:val="single" w:sz="4" w:space="0" w:color="auto"/>
            </w:tcBorders>
            <w:shd w:val="clear" w:color="auto" w:fill="auto"/>
            <w:vAlign w:val="center"/>
            <w:hideMark/>
          </w:tcPr>
          <w:p w14:paraId="122DAA3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7 980 000</w:t>
            </w:r>
          </w:p>
        </w:tc>
        <w:tc>
          <w:tcPr>
            <w:tcW w:w="1697" w:type="dxa"/>
            <w:tcBorders>
              <w:top w:val="nil"/>
              <w:left w:val="nil"/>
              <w:bottom w:val="single" w:sz="4" w:space="0" w:color="auto"/>
              <w:right w:val="single" w:sz="4" w:space="0" w:color="auto"/>
            </w:tcBorders>
            <w:shd w:val="clear" w:color="auto" w:fill="auto"/>
            <w:vAlign w:val="center"/>
            <w:hideMark/>
          </w:tcPr>
          <w:p w14:paraId="7CE7492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w:t>
            </w:r>
          </w:p>
        </w:tc>
        <w:tc>
          <w:tcPr>
            <w:tcW w:w="1563" w:type="dxa"/>
            <w:tcBorders>
              <w:top w:val="nil"/>
              <w:left w:val="nil"/>
              <w:bottom w:val="single" w:sz="4" w:space="0" w:color="auto"/>
              <w:right w:val="single" w:sz="4" w:space="0" w:color="auto"/>
            </w:tcBorders>
            <w:shd w:val="clear" w:color="auto" w:fill="auto"/>
            <w:noWrap/>
            <w:vAlign w:val="center"/>
            <w:hideMark/>
          </w:tcPr>
          <w:p w14:paraId="4FED78B0"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111,06%</w:t>
            </w:r>
          </w:p>
        </w:tc>
        <w:tc>
          <w:tcPr>
            <w:tcW w:w="1843" w:type="dxa"/>
            <w:tcBorders>
              <w:top w:val="nil"/>
              <w:left w:val="nil"/>
              <w:bottom w:val="single" w:sz="4" w:space="0" w:color="auto"/>
              <w:right w:val="single" w:sz="4" w:space="0" w:color="auto"/>
            </w:tcBorders>
            <w:shd w:val="clear" w:color="auto" w:fill="auto"/>
            <w:noWrap/>
            <w:vAlign w:val="center"/>
            <w:hideMark/>
          </w:tcPr>
          <w:p w14:paraId="643BE1F6"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0,00%</w:t>
            </w:r>
          </w:p>
        </w:tc>
        <w:tc>
          <w:tcPr>
            <w:tcW w:w="1701" w:type="dxa"/>
            <w:tcBorders>
              <w:top w:val="nil"/>
              <w:left w:val="nil"/>
              <w:bottom w:val="single" w:sz="4" w:space="0" w:color="auto"/>
              <w:right w:val="single" w:sz="4" w:space="0" w:color="auto"/>
            </w:tcBorders>
            <w:shd w:val="clear" w:color="auto" w:fill="auto"/>
            <w:noWrap/>
            <w:vAlign w:val="center"/>
            <w:hideMark/>
          </w:tcPr>
          <w:p w14:paraId="68587507" w14:textId="77777777" w:rsidR="00E8617E" w:rsidRPr="00BC513A" w:rsidRDefault="00E8617E" w:rsidP="00922731">
            <w:pPr>
              <w:spacing w:after="0"/>
              <w:jc w:val="center"/>
              <w:rPr>
                <w:rFonts w:ascii="Arial" w:hAnsi="Arial" w:cs="Arial"/>
                <w:color w:val="000000"/>
                <w:sz w:val="18"/>
                <w:szCs w:val="18"/>
                <w:lang w:eastAsia="bg-BG"/>
              </w:rPr>
            </w:pPr>
          </w:p>
        </w:tc>
        <w:tc>
          <w:tcPr>
            <w:tcW w:w="1989" w:type="dxa"/>
            <w:tcBorders>
              <w:top w:val="nil"/>
              <w:left w:val="nil"/>
              <w:bottom w:val="single" w:sz="4" w:space="0" w:color="auto"/>
              <w:right w:val="single" w:sz="4" w:space="0" w:color="auto"/>
            </w:tcBorders>
            <w:shd w:val="clear" w:color="auto" w:fill="auto"/>
            <w:noWrap/>
            <w:vAlign w:val="center"/>
            <w:hideMark/>
          </w:tcPr>
          <w:p w14:paraId="248E8581" w14:textId="77777777" w:rsidR="00E8617E" w:rsidRPr="00BC513A" w:rsidRDefault="00E8617E" w:rsidP="00922731">
            <w:pPr>
              <w:spacing w:after="0"/>
              <w:jc w:val="center"/>
              <w:rPr>
                <w:rFonts w:ascii="Arial" w:hAnsi="Arial" w:cs="Arial"/>
                <w:color w:val="000000"/>
                <w:sz w:val="18"/>
                <w:szCs w:val="18"/>
                <w:lang w:eastAsia="bg-BG"/>
              </w:rPr>
            </w:pPr>
          </w:p>
        </w:tc>
      </w:tr>
      <w:tr w:rsidR="00E8617E" w:rsidRPr="00BC513A" w14:paraId="05FF7C81" w14:textId="77777777" w:rsidTr="00D87D35">
        <w:trPr>
          <w:trHeight w:val="255"/>
        </w:trPr>
        <w:tc>
          <w:tcPr>
            <w:tcW w:w="3844" w:type="dxa"/>
            <w:gridSpan w:val="2"/>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62A75ADD" w14:textId="77777777" w:rsidR="00E8617E" w:rsidRPr="00BC513A" w:rsidRDefault="00E8617E" w:rsidP="00922731">
            <w:pPr>
              <w:spacing w:after="0" w:line="240" w:lineRule="auto"/>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ОБЩО ОС 4</w:t>
            </w:r>
          </w:p>
        </w:tc>
        <w:tc>
          <w:tcPr>
            <w:tcW w:w="1596" w:type="dxa"/>
            <w:tcBorders>
              <w:top w:val="nil"/>
              <w:left w:val="nil"/>
              <w:bottom w:val="single" w:sz="4" w:space="0" w:color="auto"/>
              <w:right w:val="single" w:sz="4" w:space="0" w:color="auto"/>
            </w:tcBorders>
            <w:shd w:val="clear" w:color="auto" w:fill="FFF2CC" w:themeFill="accent4" w:themeFillTint="33"/>
            <w:noWrap/>
            <w:vAlign w:val="center"/>
            <w:hideMark/>
          </w:tcPr>
          <w:p w14:paraId="4955C207"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76 988 307</w:t>
            </w:r>
          </w:p>
        </w:tc>
        <w:tc>
          <w:tcPr>
            <w:tcW w:w="1560" w:type="dxa"/>
            <w:tcBorders>
              <w:top w:val="nil"/>
              <w:left w:val="nil"/>
              <w:bottom w:val="single" w:sz="4" w:space="0" w:color="auto"/>
              <w:right w:val="single" w:sz="4" w:space="0" w:color="auto"/>
            </w:tcBorders>
            <w:shd w:val="clear" w:color="auto" w:fill="FFF2CC" w:themeFill="accent4" w:themeFillTint="33"/>
            <w:noWrap/>
            <w:vAlign w:val="center"/>
            <w:hideMark/>
          </w:tcPr>
          <w:p w14:paraId="7A01560A"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53 387 500</w:t>
            </w:r>
          </w:p>
        </w:tc>
        <w:tc>
          <w:tcPr>
            <w:tcW w:w="1697" w:type="dxa"/>
            <w:tcBorders>
              <w:top w:val="nil"/>
              <w:left w:val="nil"/>
              <w:bottom w:val="single" w:sz="4" w:space="0" w:color="auto"/>
              <w:right w:val="single" w:sz="4" w:space="0" w:color="auto"/>
            </w:tcBorders>
            <w:shd w:val="clear" w:color="auto" w:fill="FFF2CC" w:themeFill="accent4" w:themeFillTint="33"/>
            <w:noWrap/>
            <w:vAlign w:val="center"/>
            <w:hideMark/>
          </w:tcPr>
          <w:p w14:paraId="204EB31F"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52 852 322</w:t>
            </w:r>
          </w:p>
        </w:tc>
        <w:tc>
          <w:tcPr>
            <w:tcW w:w="1563" w:type="dxa"/>
            <w:tcBorders>
              <w:top w:val="nil"/>
              <w:left w:val="nil"/>
              <w:bottom w:val="single" w:sz="4" w:space="0" w:color="auto"/>
              <w:right w:val="single" w:sz="4" w:space="0" w:color="auto"/>
            </w:tcBorders>
            <w:shd w:val="clear" w:color="auto" w:fill="FFF2CC" w:themeFill="accent4" w:themeFillTint="33"/>
            <w:noWrap/>
            <w:vAlign w:val="center"/>
            <w:hideMark/>
          </w:tcPr>
          <w:p w14:paraId="063A7EE9"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69,34%</w:t>
            </w:r>
          </w:p>
        </w:tc>
        <w:tc>
          <w:tcPr>
            <w:tcW w:w="1843" w:type="dxa"/>
            <w:tcBorders>
              <w:top w:val="nil"/>
              <w:left w:val="nil"/>
              <w:bottom w:val="single" w:sz="4" w:space="0" w:color="auto"/>
              <w:right w:val="single" w:sz="4" w:space="0" w:color="auto"/>
            </w:tcBorders>
            <w:shd w:val="clear" w:color="auto" w:fill="FFF2CC" w:themeFill="accent4" w:themeFillTint="33"/>
            <w:noWrap/>
            <w:vAlign w:val="center"/>
            <w:hideMark/>
          </w:tcPr>
          <w:p w14:paraId="0D237189"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100,00%</w:t>
            </w:r>
          </w:p>
        </w:tc>
        <w:tc>
          <w:tcPr>
            <w:tcW w:w="1701" w:type="dxa"/>
            <w:tcBorders>
              <w:top w:val="nil"/>
              <w:left w:val="nil"/>
              <w:bottom w:val="single" w:sz="4" w:space="0" w:color="auto"/>
              <w:right w:val="single" w:sz="4" w:space="0" w:color="auto"/>
            </w:tcBorders>
            <w:shd w:val="clear" w:color="auto" w:fill="FFF2CC" w:themeFill="accent4" w:themeFillTint="33"/>
            <w:noWrap/>
            <w:vAlign w:val="center"/>
            <w:hideMark/>
          </w:tcPr>
          <w:p w14:paraId="23C753C9"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80,00%</w:t>
            </w:r>
          </w:p>
        </w:tc>
        <w:tc>
          <w:tcPr>
            <w:tcW w:w="1989" w:type="dxa"/>
            <w:tcBorders>
              <w:top w:val="nil"/>
              <w:left w:val="nil"/>
              <w:bottom w:val="single" w:sz="4" w:space="0" w:color="auto"/>
              <w:right w:val="single" w:sz="4" w:space="0" w:color="auto"/>
            </w:tcBorders>
            <w:shd w:val="clear" w:color="auto" w:fill="FFF2CC" w:themeFill="accent4" w:themeFillTint="33"/>
            <w:noWrap/>
            <w:vAlign w:val="center"/>
            <w:hideMark/>
          </w:tcPr>
          <w:p w14:paraId="30E616A5"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99,00%</w:t>
            </w:r>
          </w:p>
        </w:tc>
      </w:tr>
      <w:tr w:rsidR="00E8617E" w:rsidRPr="00BC513A" w14:paraId="103931F6" w14:textId="77777777" w:rsidTr="00D87D35">
        <w:trPr>
          <w:trHeight w:val="106"/>
        </w:trPr>
        <w:tc>
          <w:tcPr>
            <w:tcW w:w="15793" w:type="dxa"/>
            <w:gridSpan w:val="9"/>
            <w:tcBorders>
              <w:top w:val="nil"/>
              <w:left w:val="single" w:sz="4" w:space="0" w:color="auto"/>
              <w:bottom w:val="single" w:sz="4" w:space="0" w:color="auto"/>
              <w:right w:val="single" w:sz="4" w:space="0" w:color="auto"/>
            </w:tcBorders>
            <w:shd w:val="clear" w:color="000000" w:fill="FFFFFF"/>
            <w:vAlign w:val="center"/>
            <w:hideMark/>
          </w:tcPr>
          <w:p w14:paraId="35581C0F"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513A" w14:paraId="61C41782" w14:textId="77777777" w:rsidTr="00D87D35">
        <w:trPr>
          <w:trHeight w:val="255"/>
        </w:trPr>
        <w:tc>
          <w:tcPr>
            <w:tcW w:w="3844" w:type="dxa"/>
            <w:gridSpan w:val="2"/>
            <w:tcBorders>
              <w:top w:val="nil"/>
              <w:left w:val="single" w:sz="4" w:space="0" w:color="auto"/>
              <w:bottom w:val="single" w:sz="4" w:space="0" w:color="auto"/>
              <w:right w:val="single" w:sz="4" w:space="0" w:color="auto"/>
            </w:tcBorders>
            <w:shd w:val="clear" w:color="auto" w:fill="F2F2F2" w:themeFill="background1" w:themeFillShade="F2"/>
            <w:vAlign w:val="center"/>
            <w:hideMark/>
          </w:tcPr>
          <w:p w14:paraId="7D3E5AEB" w14:textId="77777777" w:rsidR="00E8617E" w:rsidRPr="00BC513A" w:rsidRDefault="00E8617E" w:rsidP="00922731">
            <w:pPr>
              <w:spacing w:after="0" w:line="240" w:lineRule="auto"/>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ОБЩО ОСИ 1, 2, 3 и 4</w:t>
            </w:r>
          </w:p>
        </w:tc>
        <w:tc>
          <w:tcPr>
            <w:tcW w:w="1596" w:type="dxa"/>
            <w:tcBorders>
              <w:top w:val="nil"/>
              <w:left w:val="nil"/>
              <w:bottom w:val="single" w:sz="4" w:space="0" w:color="auto"/>
              <w:right w:val="single" w:sz="4" w:space="0" w:color="auto"/>
            </w:tcBorders>
            <w:shd w:val="clear" w:color="auto" w:fill="F2F2F2" w:themeFill="background1" w:themeFillShade="F2"/>
            <w:noWrap/>
            <w:vAlign w:val="center"/>
            <w:hideMark/>
          </w:tcPr>
          <w:p w14:paraId="5C32DE2F" w14:textId="77777777" w:rsidR="00E8617E" w:rsidRPr="00E90A62" w:rsidRDefault="00E8617E" w:rsidP="00E90A62">
            <w:pPr>
              <w:spacing w:after="0" w:line="240" w:lineRule="auto"/>
              <w:jc w:val="center"/>
              <w:rPr>
                <w:rFonts w:ascii="Arial" w:eastAsia="Times New Roman" w:hAnsi="Arial" w:cs="Arial"/>
                <w:b/>
                <w:bCs/>
                <w:sz w:val="18"/>
                <w:szCs w:val="18"/>
                <w:lang w:val="en-US" w:eastAsia="bg-BG"/>
              </w:rPr>
            </w:pPr>
            <w:r w:rsidRPr="00BC513A">
              <w:rPr>
                <w:rFonts w:ascii="Arial" w:eastAsia="Times New Roman" w:hAnsi="Arial" w:cs="Arial"/>
                <w:b/>
                <w:bCs/>
                <w:sz w:val="18"/>
                <w:szCs w:val="18"/>
                <w:lang w:eastAsia="bg-BG"/>
              </w:rPr>
              <w:t>2 973 749 41</w:t>
            </w:r>
            <w:r w:rsidR="00E90A62">
              <w:rPr>
                <w:rFonts w:ascii="Arial" w:eastAsia="Times New Roman" w:hAnsi="Arial" w:cs="Arial"/>
                <w:b/>
                <w:bCs/>
                <w:sz w:val="18"/>
                <w:szCs w:val="18"/>
                <w:lang w:val="en-US" w:eastAsia="bg-BG"/>
              </w:rPr>
              <w:t>6</w:t>
            </w:r>
          </w:p>
        </w:tc>
        <w:tc>
          <w:tcPr>
            <w:tcW w:w="1560" w:type="dxa"/>
            <w:tcBorders>
              <w:top w:val="nil"/>
              <w:left w:val="nil"/>
              <w:bottom w:val="single" w:sz="4" w:space="0" w:color="auto"/>
              <w:right w:val="single" w:sz="4" w:space="0" w:color="auto"/>
            </w:tcBorders>
            <w:shd w:val="clear" w:color="auto" w:fill="F2F2F2" w:themeFill="background1" w:themeFillShade="F2"/>
            <w:noWrap/>
            <w:vAlign w:val="center"/>
            <w:hideMark/>
          </w:tcPr>
          <w:p w14:paraId="268291CF"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2 909 306 443</w:t>
            </w:r>
          </w:p>
        </w:tc>
        <w:tc>
          <w:tcPr>
            <w:tcW w:w="1697" w:type="dxa"/>
            <w:tcBorders>
              <w:top w:val="nil"/>
              <w:left w:val="nil"/>
              <w:bottom w:val="single" w:sz="4" w:space="0" w:color="auto"/>
              <w:right w:val="single" w:sz="4" w:space="0" w:color="auto"/>
            </w:tcBorders>
            <w:shd w:val="clear" w:color="auto" w:fill="F2F2F2" w:themeFill="background1" w:themeFillShade="F2"/>
            <w:noWrap/>
            <w:vAlign w:val="center"/>
            <w:hideMark/>
          </w:tcPr>
          <w:p w14:paraId="7A2078C7"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2 880 600 513</w:t>
            </w:r>
          </w:p>
        </w:tc>
        <w:tc>
          <w:tcPr>
            <w:tcW w:w="1563" w:type="dxa"/>
            <w:tcBorders>
              <w:top w:val="nil"/>
              <w:left w:val="nil"/>
              <w:bottom w:val="single" w:sz="4" w:space="0" w:color="auto"/>
              <w:right w:val="single" w:sz="4" w:space="0" w:color="auto"/>
            </w:tcBorders>
            <w:shd w:val="clear" w:color="auto" w:fill="F2F2F2" w:themeFill="background1" w:themeFillShade="F2"/>
            <w:noWrap/>
            <w:vAlign w:val="center"/>
            <w:hideMark/>
          </w:tcPr>
          <w:p w14:paraId="4AC66E8B"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97,83%</w:t>
            </w:r>
          </w:p>
        </w:tc>
        <w:tc>
          <w:tcPr>
            <w:tcW w:w="1843" w:type="dxa"/>
            <w:tcBorders>
              <w:top w:val="nil"/>
              <w:left w:val="nil"/>
              <w:bottom w:val="single" w:sz="4" w:space="0" w:color="auto"/>
              <w:right w:val="single" w:sz="4" w:space="0" w:color="auto"/>
            </w:tcBorders>
            <w:shd w:val="clear" w:color="auto" w:fill="F2F2F2" w:themeFill="background1" w:themeFillShade="F2"/>
            <w:noWrap/>
            <w:vAlign w:val="center"/>
            <w:hideMark/>
          </w:tcPr>
          <w:p w14:paraId="398B94E7" w14:textId="77777777" w:rsidR="00E8617E" w:rsidRPr="00BC513A" w:rsidRDefault="00E8617E" w:rsidP="00922731">
            <w:pPr>
              <w:spacing w:after="0" w:line="240" w:lineRule="auto"/>
              <w:jc w:val="center"/>
              <w:rPr>
                <w:rFonts w:ascii="Arial" w:eastAsia="Times New Roman" w:hAnsi="Arial" w:cs="Arial"/>
                <w:sz w:val="18"/>
                <w:szCs w:val="18"/>
                <w:lang w:eastAsia="bg-BG"/>
              </w:rPr>
            </w:pPr>
          </w:p>
        </w:tc>
        <w:tc>
          <w:tcPr>
            <w:tcW w:w="1701" w:type="dxa"/>
            <w:tcBorders>
              <w:top w:val="nil"/>
              <w:left w:val="nil"/>
              <w:bottom w:val="single" w:sz="4" w:space="0" w:color="auto"/>
              <w:right w:val="single" w:sz="4" w:space="0" w:color="auto"/>
            </w:tcBorders>
            <w:shd w:val="clear" w:color="auto" w:fill="F2F2F2" w:themeFill="background1" w:themeFillShade="F2"/>
            <w:noWrap/>
            <w:vAlign w:val="center"/>
            <w:hideMark/>
          </w:tcPr>
          <w:p w14:paraId="3ADC238E"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80,61%</w:t>
            </w:r>
          </w:p>
        </w:tc>
        <w:tc>
          <w:tcPr>
            <w:tcW w:w="1989" w:type="dxa"/>
            <w:tcBorders>
              <w:top w:val="nil"/>
              <w:left w:val="nil"/>
              <w:bottom w:val="single" w:sz="4" w:space="0" w:color="auto"/>
              <w:right w:val="single" w:sz="4" w:space="0" w:color="auto"/>
            </w:tcBorders>
            <w:shd w:val="clear" w:color="auto" w:fill="F2F2F2" w:themeFill="background1" w:themeFillShade="F2"/>
            <w:noWrap/>
            <w:vAlign w:val="center"/>
            <w:hideMark/>
          </w:tcPr>
          <w:p w14:paraId="2A4CDCEC"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99,01%</w:t>
            </w:r>
          </w:p>
        </w:tc>
      </w:tr>
      <w:tr w:rsidR="00E8617E" w:rsidRPr="00BC513A" w14:paraId="767C69E4" w14:textId="77777777" w:rsidTr="00D87D35">
        <w:trPr>
          <w:trHeight w:val="66"/>
        </w:trPr>
        <w:tc>
          <w:tcPr>
            <w:tcW w:w="15793" w:type="dxa"/>
            <w:gridSpan w:val="9"/>
            <w:tcBorders>
              <w:top w:val="nil"/>
              <w:left w:val="single" w:sz="4" w:space="0" w:color="auto"/>
              <w:bottom w:val="single" w:sz="4" w:space="0" w:color="auto"/>
              <w:right w:val="single" w:sz="4" w:space="0" w:color="auto"/>
            </w:tcBorders>
            <w:shd w:val="clear" w:color="000000" w:fill="FFFFFF"/>
            <w:vAlign w:val="center"/>
            <w:hideMark/>
          </w:tcPr>
          <w:p w14:paraId="3AC6C4E5" w14:textId="77777777" w:rsidR="00E8617E" w:rsidRPr="00BC513A" w:rsidRDefault="00E8617E" w:rsidP="00922731">
            <w:pPr>
              <w:spacing w:after="0" w:line="240" w:lineRule="auto"/>
              <w:jc w:val="center"/>
              <w:rPr>
                <w:rFonts w:ascii="Arial" w:eastAsia="Times New Roman" w:hAnsi="Arial" w:cs="Arial"/>
                <w:color w:val="000000"/>
                <w:sz w:val="18"/>
                <w:szCs w:val="18"/>
                <w:lang w:eastAsia="bg-BG"/>
              </w:rPr>
            </w:pPr>
          </w:p>
        </w:tc>
      </w:tr>
      <w:tr w:rsidR="00E8617E" w:rsidRPr="00BC513A" w14:paraId="750D2CCE" w14:textId="77777777" w:rsidTr="00D87D35">
        <w:trPr>
          <w:trHeight w:val="255"/>
        </w:trPr>
        <w:tc>
          <w:tcPr>
            <w:tcW w:w="900" w:type="dxa"/>
            <w:vMerge w:val="restart"/>
            <w:tcBorders>
              <w:top w:val="nil"/>
              <w:left w:val="single" w:sz="4" w:space="0" w:color="auto"/>
              <w:bottom w:val="single" w:sz="4" w:space="0" w:color="auto"/>
              <w:right w:val="single" w:sz="4" w:space="0" w:color="auto"/>
            </w:tcBorders>
            <w:shd w:val="clear" w:color="auto" w:fill="auto"/>
            <w:vAlign w:val="center"/>
            <w:hideMark/>
          </w:tcPr>
          <w:p w14:paraId="1DF754D4"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511</w:t>
            </w:r>
          </w:p>
        </w:tc>
        <w:tc>
          <w:tcPr>
            <w:tcW w:w="2944" w:type="dxa"/>
            <w:tcBorders>
              <w:top w:val="nil"/>
              <w:left w:val="nil"/>
              <w:bottom w:val="single" w:sz="4" w:space="0" w:color="auto"/>
              <w:right w:val="single" w:sz="4" w:space="0" w:color="auto"/>
            </w:tcBorders>
            <w:shd w:val="clear" w:color="auto" w:fill="auto"/>
            <w:vAlign w:val="center"/>
            <w:hideMark/>
          </w:tcPr>
          <w:p w14:paraId="347E0C61" w14:textId="77777777" w:rsidR="00E8617E" w:rsidRPr="00BC513A" w:rsidRDefault="00E8617E" w:rsidP="00922731">
            <w:pPr>
              <w:spacing w:after="0"/>
              <w:rPr>
                <w:rFonts w:ascii="Arial" w:hAnsi="Arial" w:cs="Arial"/>
                <w:b/>
                <w:sz w:val="18"/>
                <w:szCs w:val="18"/>
                <w:lang w:eastAsia="bg-BG"/>
              </w:rPr>
            </w:pPr>
            <w:r w:rsidRPr="00BC513A">
              <w:rPr>
                <w:rFonts w:ascii="Arial" w:hAnsi="Arial" w:cs="Arial"/>
                <w:b/>
                <w:sz w:val="18"/>
                <w:szCs w:val="18"/>
                <w:lang w:eastAsia="bg-BG"/>
              </w:rPr>
              <w:t>Техническа помощ</w:t>
            </w:r>
          </w:p>
        </w:tc>
        <w:tc>
          <w:tcPr>
            <w:tcW w:w="1596" w:type="dxa"/>
            <w:tcBorders>
              <w:top w:val="nil"/>
              <w:left w:val="nil"/>
              <w:bottom w:val="single" w:sz="4" w:space="0" w:color="auto"/>
              <w:right w:val="single" w:sz="4" w:space="0" w:color="auto"/>
            </w:tcBorders>
            <w:shd w:val="clear" w:color="auto" w:fill="auto"/>
            <w:noWrap/>
            <w:vAlign w:val="center"/>
            <w:hideMark/>
          </w:tcPr>
          <w:p w14:paraId="62ADA407"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123 181 289</w:t>
            </w:r>
          </w:p>
        </w:tc>
        <w:tc>
          <w:tcPr>
            <w:tcW w:w="1560" w:type="dxa"/>
            <w:tcBorders>
              <w:top w:val="nil"/>
              <w:left w:val="nil"/>
              <w:bottom w:val="single" w:sz="4" w:space="0" w:color="auto"/>
              <w:right w:val="single" w:sz="4" w:space="0" w:color="auto"/>
            </w:tcBorders>
            <w:shd w:val="clear" w:color="auto" w:fill="auto"/>
            <w:vAlign w:val="center"/>
            <w:hideMark/>
          </w:tcPr>
          <w:p w14:paraId="3A7A82A0"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39 125 000</w:t>
            </w:r>
          </w:p>
        </w:tc>
        <w:tc>
          <w:tcPr>
            <w:tcW w:w="1697" w:type="dxa"/>
            <w:tcBorders>
              <w:top w:val="nil"/>
              <w:left w:val="nil"/>
              <w:bottom w:val="single" w:sz="4" w:space="0" w:color="auto"/>
              <w:right w:val="single" w:sz="4" w:space="0" w:color="auto"/>
            </w:tcBorders>
            <w:shd w:val="clear" w:color="auto" w:fill="auto"/>
            <w:vAlign w:val="center"/>
            <w:hideMark/>
          </w:tcPr>
          <w:p w14:paraId="08F2050D"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38 133 658</w:t>
            </w:r>
          </w:p>
        </w:tc>
        <w:tc>
          <w:tcPr>
            <w:tcW w:w="1563" w:type="dxa"/>
            <w:tcBorders>
              <w:top w:val="nil"/>
              <w:left w:val="nil"/>
              <w:bottom w:val="single" w:sz="4" w:space="0" w:color="auto"/>
              <w:right w:val="single" w:sz="4" w:space="0" w:color="auto"/>
            </w:tcBorders>
            <w:shd w:val="clear" w:color="auto" w:fill="auto"/>
            <w:noWrap/>
            <w:vAlign w:val="center"/>
            <w:hideMark/>
          </w:tcPr>
          <w:p w14:paraId="47B87DCB"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31,76%</w:t>
            </w:r>
          </w:p>
        </w:tc>
        <w:tc>
          <w:tcPr>
            <w:tcW w:w="1843" w:type="dxa"/>
            <w:tcBorders>
              <w:top w:val="nil"/>
              <w:left w:val="nil"/>
              <w:bottom w:val="single" w:sz="4" w:space="0" w:color="auto"/>
              <w:right w:val="single" w:sz="4" w:space="0" w:color="auto"/>
            </w:tcBorders>
            <w:shd w:val="clear" w:color="auto" w:fill="auto"/>
            <w:noWrap/>
            <w:vAlign w:val="center"/>
            <w:hideMark/>
          </w:tcPr>
          <w:p w14:paraId="0BBEA5D2" w14:textId="77777777" w:rsidR="00E8617E" w:rsidRPr="00BC513A" w:rsidRDefault="00E8617E" w:rsidP="00922731">
            <w:pPr>
              <w:spacing w:after="0"/>
              <w:jc w:val="center"/>
              <w:rPr>
                <w:rFonts w:ascii="Arial" w:hAnsi="Arial" w:cs="Arial"/>
                <w:b/>
                <w:color w:val="000000"/>
                <w:sz w:val="18"/>
                <w:szCs w:val="18"/>
                <w:lang w:eastAsia="bg-BG"/>
              </w:rPr>
            </w:pPr>
          </w:p>
        </w:tc>
        <w:tc>
          <w:tcPr>
            <w:tcW w:w="1701" w:type="dxa"/>
            <w:tcBorders>
              <w:top w:val="nil"/>
              <w:left w:val="nil"/>
              <w:bottom w:val="single" w:sz="4" w:space="0" w:color="auto"/>
              <w:right w:val="single" w:sz="4" w:space="0" w:color="auto"/>
            </w:tcBorders>
            <w:shd w:val="clear" w:color="auto" w:fill="auto"/>
            <w:noWrap/>
            <w:vAlign w:val="center"/>
            <w:hideMark/>
          </w:tcPr>
          <w:p w14:paraId="2BEC314C"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1F2BF971"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97,47%</w:t>
            </w:r>
          </w:p>
        </w:tc>
      </w:tr>
      <w:tr w:rsidR="00E8617E" w:rsidRPr="00BC513A" w14:paraId="5AEBD9F3" w14:textId="77777777" w:rsidTr="00D87D35">
        <w:trPr>
          <w:trHeight w:val="510"/>
        </w:trPr>
        <w:tc>
          <w:tcPr>
            <w:tcW w:w="900" w:type="dxa"/>
            <w:vMerge/>
            <w:tcBorders>
              <w:top w:val="nil"/>
              <w:left w:val="single" w:sz="4" w:space="0" w:color="auto"/>
              <w:bottom w:val="single" w:sz="4" w:space="0" w:color="auto"/>
              <w:right w:val="single" w:sz="4" w:space="0" w:color="auto"/>
            </w:tcBorders>
            <w:vAlign w:val="center"/>
            <w:hideMark/>
          </w:tcPr>
          <w:p w14:paraId="157CC2FD" w14:textId="77777777" w:rsidR="00E8617E" w:rsidRPr="00BC513A" w:rsidRDefault="00E8617E" w:rsidP="00922731">
            <w:pPr>
              <w:rPr>
                <w:rFonts w:ascii="Arial" w:hAnsi="Arial" w:cs="Arial"/>
                <w:sz w:val="18"/>
                <w:szCs w:val="18"/>
                <w:lang w:eastAsia="bg-BG"/>
              </w:rPr>
            </w:pPr>
          </w:p>
        </w:tc>
        <w:tc>
          <w:tcPr>
            <w:tcW w:w="2944" w:type="dxa"/>
            <w:tcBorders>
              <w:top w:val="nil"/>
              <w:left w:val="nil"/>
              <w:bottom w:val="single" w:sz="4" w:space="0" w:color="auto"/>
              <w:right w:val="single" w:sz="4" w:space="0" w:color="auto"/>
            </w:tcBorders>
            <w:shd w:val="clear" w:color="auto" w:fill="auto"/>
            <w:vAlign w:val="center"/>
            <w:hideMark/>
          </w:tcPr>
          <w:p w14:paraId="6E5129F7" w14:textId="77777777" w:rsidR="00E8617E" w:rsidRPr="00BC513A" w:rsidRDefault="00E8617E" w:rsidP="00922731">
            <w:pPr>
              <w:spacing w:after="0"/>
              <w:rPr>
                <w:rFonts w:ascii="Arial" w:hAnsi="Arial" w:cs="Arial"/>
                <w:sz w:val="18"/>
                <w:szCs w:val="18"/>
                <w:lang w:eastAsia="bg-BG"/>
              </w:rPr>
            </w:pPr>
            <w:r w:rsidRPr="00BC513A">
              <w:rPr>
                <w:rFonts w:ascii="Arial" w:hAnsi="Arial" w:cs="Arial"/>
                <w:sz w:val="18"/>
                <w:szCs w:val="18"/>
                <w:lang w:eastAsia="bg-BG"/>
              </w:rPr>
              <w:t>в т.ч. Национална мрежа за селските райони</w:t>
            </w:r>
          </w:p>
        </w:tc>
        <w:tc>
          <w:tcPr>
            <w:tcW w:w="1596" w:type="dxa"/>
            <w:tcBorders>
              <w:top w:val="nil"/>
              <w:left w:val="nil"/>
              <w:bottom w:val="single" w:sz="4" w:space="0" w:color="auto"/>
              <w:right w:val="single" w:sz="4" w:space="0" w:color="auto"/>
            </w:tcBorders>
            <w:shd w:val="clear" w:color="auto" w:fill="auto"/>
            <w:noWrap/>
            <w:vAlign w:val="center"/>
            <w:hideMark/>
          </w:tcPr>
          <w:p w14:paraId="3AC3E291"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7 000 000</w:t>
            </w:r>
          </w:p>
        </w:tc>
        <w:tc>
          <w:tcPr>
            <w:tcW w:w="1560" w:type="dxa"/>
            <w:tcBorders>
              <w:top w:val="nil"/>
              <w:left w:val="nil"/>
              <w:bottom w:val="single" w:sz="4" w:space="0" w:color="auto"/>
              <w:right w:val="single" w:sz="4" w:space="0" w:color="auto"/>
            </w:tcBorders>
            <w:shd w:val="clear" w:color="auto" w:fill="auto"/>
            <w:vAlign w:val="center"/>
            <w:hideMark/>
          </w:tcPr>
          <w:p w14:paraId="07D795A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2 817 583</w:t>
            </w:r>
          </w:p>
        </w:tc>
        <w:tc>
          <w:tcPr>
            <w:tcW w:w="1697" w:type="dxa"/>
            <w:tcBorders>
              <w:top w:val="nil"/>
              <w:left w:val="nil"/>
              <w:bottom w:val="single" w:sz="4" w:space="0" w:color="auto"/>
              <w:right w:val="single" w:sz="4" w:space="0" w:color="auto"/>
            </w:tcBorders>
            <w:shd w:val="clear" w:color="auto" w:fill="auto"/>
            <w:vAlign w:val="center"/>
            <w:hideMark/>
          </w:tcPr>
          <w:p w14:paraId="74947A8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w:t>
            </w:r>
          </w:p>
        </w:tc>
        <w:tc>
          <w:tcPr>
            <w:tcW w:w="1563" w:type="dxa"/>
            <w:tcBorders>
              <w:top w:val="nil"/>
              <w:left w:val="nil"/>
              <w:bottom w:val="single" w:sz="4" w:space="0" w:color="auto"/>
              <w:right w:val="single" w:sz="4" w:space="0" w:color="auto"/>
            </w:tcBorders>
            <w:shd w:val="clear" w:color="auto" w:fill="auto"/>
            <w:noWrap/>
            <w:vAlign w:val="center"/>
            <w:hideMark/>
          </w:tcPr>
          <w:p w14:paraId="7F2EB2D0"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40,25%</w:t>
            </w:r>
          </w:p>
        </w:tc>
        <w:tc>
          <w:tcPr>
            <w:tcW w:w="1843" w:type="dxa"/>
            <w:tcBorders>
              <w:top w:val="nil"/>
              <w:left w:val="nil"/>
              <w:bottom w:val="single" w:sz="4" w:space="0" w:color="auto"/>
              <w:right w:val="single" w:sz="4" w:space="0" w:color="auto"/>
            </w:tcBorders>
            <w:shd w:val="clear" w:color="auto" w:fill="auto"/>
            <w:noWrap/>
            <w:vAlign w:val="center"/>
            <w:hideMark/>
          </w:tcPr>
          <w:p w14:paraId="3D8EC0EF" w14:textId="77777777" w:rsidR="00E8617E" w:rsidRPr="00BC513A" w:rsidRDefault="00E8617E" w:rsidP="00922731">
            <w:pPr>
              <w:spacing w:after="0"/>
              <w:jc w:val="center"/>
              <w:rPr>
                <w:rFonts w:ascii="Arial" w:hAnsi="Arial" w:cs="Arial"/>
                <w:color w:val="000000"/>
                <w:sz w:val="18"/>
                <w:szCs w:val="18"/>
                <w:lang w:eastAsia="bg-BG"/>
              </w:rPr>
            </w:pPr>
          </w:p>
        </w:tc>
        <w:tc>
          <w:tcPr>
            <w:tcW w:w="1701" w:type="dxa"/>
            <w:tcBorders>
              <w:top w:val="nil"/>
              <w:left w:val="nil"/>
              <w:bottom w:val="single" w:sz="4" w:space="0" w:color="auto"/>
              <w:right w:val="single" w:sz="4" w:space="0" w:color="auto"/>
            </w:tcBorders>
            <w:shd w:val="clear" w:color="auto" w:fill="auto"/>
            <w:noWrap/>
            <w:vAlign w:val="center"/>
            <w:hideMark/>
          </w:tcPr>
          <w:p w14:paraId="288C75E7" w14:textId="77777777" w:rsidR="00E8617E" w:rsidRPr="00BC513A" w:rsidRDefault="00E8617E" w:rsidP="00922731">
            <w:pPr>
              <w:spacing w:after="0"/>
              <w:jc w:val="center"/>
              <w:rPr>
                <w:rFonts w:ascii="Arial" w:hAnsi="Arial" w:cs="Arial"/>
                <w:color w:val="000000"/>
                <w:sz w:val="18"/>
                <w:szCs w:val="18"/>
                <w:lang w:eastAsia="bg-BG"/>
              </w:rPr>
            </w:pPr>
          </w:p>
        </w:tc>
        <w:tc>
          <w:tcPr>
            <w:tcW w:w="1989" w:type="dxa"/>
            <w:tcBorders>
              <w:top w:val="nil"/>
              <w:left w:val="nil"/>
              <w:bottom w:val="single" w:sz="4" w:space="0" w:color="auto"/>
              <w:right w:val="single" w:sz="4" w:space="0" w:color="auto"/>
            </w:tcBorders>
            <w:shd w:val="clear" w:color="auto" w:fill="auto"/>
            <w:noWrap/>
            <w:vAlign w:val="center"/>
            <w:hideMark/>
          </w:tcPr>
          <w:p w14:paraId="2F93FA08" w14:textId="77777777" w:rsidR="00E8617E" w:rsidRPr="00BC513A" w:rsidRDefault="00E8617E" w:rsidP="00922731">
            <w:pPr>
              <w:spacing w:after="0"/>
              <w:jc w:val="center"/>
              <w:rPr>
                <w:rFonts w:ascii="Arial" w:hAnsi="Arial" w:cs="Arial"/>
                <w:color w:val="000000"/>
                <w:sz w:val="18"/>
                <w:szCs w:val="18"/>
                <w:lang w:eastAsia="bg-BG"/>
              </w:rPr>
            </w:pPr>
          </w:p>
        </w:tc>
      </w:tr>
      <w:tr w:rsidR="00E8617E" w:rsidRPr="00BC513A" w14:paraId="0962B3C9" w14:textId="77777777" w:rsidTr="00D87D35">
        <w:trPr>
          <w:trHeight w:val="510"/>
        </w:trPr>
        <w:tc>
          <w:tcPr>
            <w:tcW w:w="900" w:type="dxa"/>
            <w:vMerge/>
            <w:tcBorders>
              <w:top w:val="nil"/>
              <w:left w:val="single" w:sz="4" w:space="0" w:color="auto"/>
              <w:bottom w:val="single" w:sz="4" w:space="0" w:color="auto"/>
              <w:right w:val="single" w:sz="4" w:space="0" w:color="auto"/>
            </w:tcBorders>
            <w:vAlign w:val="center"/>
            <w:hideMark/>
          </w:tcPr>
          <w:p w14:paraId="25151F56" w14:textId="77777777" w:rsidR="00E8617E" w:rsidRPr="00BC513A" w:rsidRDefault="00E8617E" w:rsidP="00922731">
            <w:pPr>
              <w:rPr>
                <w:rFonts w:ascii="Arial" w:hAnsi="Arial" w:cs="Arial"/>
                <w:sz w:val="18"/>
                <w:szCs w:val="18"/>
                <w:lang w:eastAsia="bg-BG"/>
              </w:rPr>
            </w:pPr>
          </w:p>
        </w:tc>
        <w:tc>
          <w:tcPr>
            <w:tcW w:w="2944" w:type="dxa"/>
            <w:tcBorders>
              <w:top w:val="nil"/>
              <w:left w:val="nil"/>
              <w:bottom w:val="single" w:sz="4" w:space="0" w:color="auto"/>
              <w:right w:val="single" w:sz="4" w:space="0" w:color="auto"/>
            </w:tcBorders>
            <w:shd w:val="clear" w:color="auto" w:fill="auto"/>
            <w:vAlign w:val="center"/>
            <w:hideMark/>
          </w:tcPr>
          <w:p w14:paraId="365FFAD6" w14:textId="77777777" w:rsidR="00E8617E" w:rsidRPr="00BC513A" w:rsidRDefault="00E8617E" w:rsidP="00922731">
            <w:pPr>
              <w:spacing w:after="0"/>
              <w:rPr>
                <w:rFonts w:ascii="Arial" w:hAnsi="Arial" w:cs="Arial"/>
                <w:i/>
                <w:sz w:val="18"/>
                <w:szCs w:val="18"/>
                <w:lang w:eastAsia="bg-BG"/>
              </w:rPr>
            </w:pPr>
            <w:r w:rsidRPr="00BC513A">
              <w:rPr>
                <w:rFonts w:ascii="Arial" w:hAnsi="Arial" w:cs="Arial"/>
                <w:i/>
                <w:sz w:val="18"/>
                <w:szCs w:val="18"/>
                <w:lang w:eastAsia="bg-BG"/>
              </w:rPr>
              <w:t>(a) разходи за осъществяване на дейността</w:t>
            </w:r>
          </w:p>
        </w:tc>
        <w:tc>
          <w:tcPr>
            <w:tcW w:w="1596" w:type="dxa"/>
            <w:tcBorders>
              <w:top w:val="nil"/>
              <w:left w:val="nil"/>
              <w:bottom w:val="single" w:sz="4" w:space="0" w:color="auto"/>
              <w:right w:val="single" w:sz="4" w:space="0" w:color="auto"/>
            </w:tcBorders>
            <w:shd w:val="clear" w:color="auto" w:fill="auto"/>
            <w:noWrap/>
            <w:vAlign w:val="center"/>
            <w:hideMark/>
          </w:tcPr>
          <w:p w14:paraId="1B26C05B"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1 750 000</w:t>
            </w:r>
          </w:p>
        </w:tc>
        <w:tc>
          <w:tcPr>
            <w:tcW w:w="1560" w:type="dxa"/>
            <w:tcBorders>
              <w:top w:val="nil"/>
              <w:left w:val="nil"/>
              <w:bottom w:val="single" w:sz="4" w:space="0" w:color="auto"/>
              <w:right w:val="single" w:sz="4" w:space="0" w:color="auto"/>
            </w:tcBorders>
            <w:shd w:val="clear" w:color="auto" w:fill="auto"/>
            <w:vAlign w:val="center"/>
            <w:hideMark/>
          </w:tcPr>
          <w:p w14:paraId="38AE2A0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704 000</w:t>
            </w:r>
          </w:p>
        </w:tc>
        <w:tc>
          <w:tcPr>
            <w:tcW w:w="1697" w:type="dxa"/>
            <w:tcBorders>
              <w:top w:val="nil"/>
              <w:left w:val="nil"/>
              <w:bottom w:val="single" w:sz="4" w:space="0" w:color="auto"/>
              <w:right w:val="single" w:sz="4" w:space="0" w:color="auto"/>
            </w:tcBorders>
            <w:shd w:val="clear" w:color="auto" w:fill="auto"/>
            <w:vAlign w:val="center"/>
            <w:hideMark/>
          </w:tcPr>
          <w:p w14:paraId="0C8EB5D2"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w:t>
            </w:r>
          </w:p>
        </w:tc>
        <w:tc>
          <w:tcPr>
            <w:tcW w:w="1563" w:type="dxa"/>
            <w:tcBorders>
              <w:top w:val="nil"/>
              <w:left w:val="nil"/>
              <w:bottom w:val="single" w:sz="4" w:space="0" w:color="auto"/>
              <w:right w:val="single" w:sz="4" w:space="0" w:color="auto"/>
            </w:tcBorders>
            <w:shd w:val="clear" w:color="auto" w:fill="auto"/>
            <w:noWrap/>
            <w:vAlign w:val="center"/>
            <w:hideMark/>
          </w:tcPr>
          <w:p w14:paraId="59E1EF03"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40,23%</w:t>
            </w:r>
          </w:p>
        </w:tc>
        <w:tc>
          <w:tcPr>
            <w:tcW w:w="1843" w:type="dxa"/>
            <w:tcBorders>
              <w:top w:val="nil"/>
              <w:left w:val="nil"/>
              <w:bottom w:val="single" w:sz="4" w:space="0" w:color="auto"/>
              <w:right w:val="single" w:sz="4" w:space="0" w:color="auto"/>
            </w:tcBorders>
            <w:shd w:val="clear" w:color="auto" w:fill="auto"/>
            <w:noWrap/>
            <w:vAlign w:val="center"/>
            <w:hideMark/>
          </w:tcPr>
          <w:p w14:paraId="4B9B28FF" w14:textId="77777777" w:rsidR="00E8617E" w:rsidRPr="00BC513A" w:rsidRDefault="00E8617E" w:rsidP="00922731">
            <w:pPr>
              <w:spacing w:after="0"/>
              <w:jc w:val="center"/>
              <w:rPr>
                <w:rFonts w:ascii="Arial" w:hAnsi="Arial" w:cs="Arial"/>
                <w:color w:val="000000"/>
                <w:sz w:val="18"/>
                <w:szCs w:val="18"/>
                <w:lang w:eastAsia="bg-BG"/>
              </w:rPr>
            </w:pPr>
          </w:p>
        </w:tc>
        <w:tc>
          <w:tcPr>
            <w:tcW w:w="1701" w:type="dxa"/>
            <w:tcBorders>
              <w:top w:val="nil"/>
              <w:left w:val="nil"/>
              <w:bottom w:val="single" w:sz="4" w:space="0" w:color="auto"/>
              <w:right w:val="single" w:sz="4" w:space="0" w:color="auto"/>
            </w:tcBorders>
            <w:shd w:val="clear" w:color="auto" w:fill="auto"/>
            <w:noWrap/>
            <w:vAlign w:val="center"/>
            <w:hideMark/>
          </w:tcPr>
          <w:p w14:paraId="1A808F7D" w14:textId="77777777" w:rsidR="00E8617E" w:rsidRPr="00BC513A" w:rsidRDefault="00E8617E" w:rsidP="00922731">
            <w:pPr>
              <w:spacing w:after="0"/>
              <w:jc w:val="center"/>
              <w:rPr>
                <w:rFonts w:ascii="Arial" w:hAnsi="Arial" w:cs="Arial"/>
                <w:color w:val="000000"/>
                <w:sz w:val="18"/>
                <w:szCs w:val="18"/>
                <w:lang w:eastAsia="bg-BG"/>
              </w:rPr>
            </w:pPr>
          </w:p>
        </w:tc>
        <w:tc>
          <w:tcPr>
            <w:tcW w:w="1989" w:type="dxa"/>
            <w:tcBorders>
              <w:top w:val="nil"/>
              <w:left w:val="nil"/>
              <w:bottom w:val="single" w:sz="4" w:space="0" w:color="auto"/>
              <w:right w:val="single" w:sz="4" w:space="0" w:color="auto"/>
            </w:tcBorders>
            <w:shd w:val="clear" w:color="auto" w:fill="auto"/>
            <w:noWrap/>
            <w:vAlign w:val="center"/>
            <w:hideMark/>
          </w:tcPr>
          <w:p w14:paraId="510D6183" w14:textId="77777777" w:rsidR="00E8617E" w:rsidRPr="00BC513A" w:rsidRDefault="00E8617E" w:rsidP="00922731">
            <w:pPr>
              <w:spacing w:after="0"/>
              <w:jc w:val="center"/>
              <w:rPr>
                <w:rFonts w:ascii="Arial" w:hAnsi="Arial" w:cs="Arial"/>
                <w:color w:val="000000"/>
                <w:sz w:val="18"/>
                <w:szCs w:val="18"/>
                <w:lang w:eastAsia="bg-BG"/>
              </w:rPr>
            </w:pPr>
          </w:p>
        </w:tc>
      </w:tr>
      <w:tr w:rsidR="00E8617E" w:rsidRPr="00BC513A" w14:paraId="6C9E9F5A" w14:textId="77777777" w:rsidTr="00D87D35">
        <w:trPr>
          <w:trHeight w:val="255"/>
        </w:trPr>
        <w:tc>
          <w:tcPr>
            <w:tcW w:w="900" w:type="dxa"/>
            <w:vMerge/>
            <w:tcBorders>
              <w:top w:val="nil"/>
              <w:left w:val="single" w:sz="4" w:space="0" w:color="auto"/>
              <w:bottom w:val="single" w:sz="4" w:space="0" w:color="auto"/>
              <w:right w:val="single" w:sz="4" w:space="0" w:color="auto"/>
            </w:tcBorders>
            <w:vAlign w:val="center"/>
            <w:hideMark/>
          </w:tcPr>
          <w:p w14:paraId="2A97EDA7" w14:textId="77777777" w:rsidR="00E8617E" w:rsidRPr="00BC513A" w:rsidRDefault="00E8617E" w:rsidP="00922731">
            <w:pPr>
              <w:rPr>
                <w:rFonts w:ascii="Arial" w:hAnsi="Arial" w:cs="Arial"/>
                <w:sz w:val="18"/>
                <w:szCs w:val="18"/>
                <w:lang w:eastAsia="bg-BG"/>
              </w:rPr>
            </w:pPr>
          </w:p>
        </w:tc>
        <w:tc>
          <w:tcPr>
            <w:tcW w:w="2944" w:type="dxa"/>
            <w:tcBorders>
              <w:top w:val="nil"/>
              <w:left w:val="nil"/>
              <w:bottom w:val="single" w:sz="4" w:space="0" w:color="auto"/>
              <w:right w:val="single" w:sz="4" w:space="0" w:color="auto"/>
            </w:tcBorders>
            <w:shd w:val="clear" w:color="auto" w:fill="auto"/>
            <w:vAlign w:val="center"/>
            <w:hideMark/>
          </w:tcPr>
          <w:p w14:paraId="2184EC06" w14:textId="77777777" w:rsidR="00E8617E" w:rsidRPr="00BC513A" w:rsidRDefault="00E8617E" w:rsidP="00922731">
            <w:pPr>
              <w:spacing w:after="0"/>
              <w:rPr>
                <w:rFonts w:ascii="Arial" w:hAnsi="Arial" w:cs="Arial"/>
                <w:i/>
                <w:sz w:val="18"/>
                <w:szCs w:val="18"/>
                <w:lang w:eastAsia="bg-BG"/>
              </w:rPr>
            </w:pPr>
            <w:r w:rsidRPr="00BC513A">
              <w:rPr>
                <w:rFonts w:ascii="Arial" w:hAnsi="Arial" w:cs="Arial"/>
                <w:i/>
                <w:sz w:val="18"/>
                <w:szCs w:val="18"/>
                <w:lang w:eastAsia="bg-BG"/>
              </w:rPr>
              <w:t>(b) план за действие</w:t>
            </w:r>
          </w:p>
        </w:tc>
        <w:tc>
          <w:tcPr>
            <w:tcW w:w="1596" w:type="dxa"/>
            <w:tcBorders>
              <w:top w:val="nil"/>
              <w:left w:val="nil"/>
              <w:bottom w:val="single" w:sz="4" w:space="0" w:color="auto"/>
              <w:right w:val="single" w:sz="4" w:space="0" w:color="auto"/>
            </w:tcBorders>
            <w:shd w:val="clear" w:color="auto" w:fill="auto"/>
            <w:noWrap/>
            <w:vAlign w:val="center"/>
            <w:hideMark/>
          </w:tcPr>
          <w:p w14:paraId="035F592E"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5 250 000</w:t>
            </w:r>
          </w:p>
        </w:tc>
        <w:tc>
          <w:tcPr>
            <w:tcW w:w="1560" w:type="dxa"/>
            <w:tcBorders>
              <w:top w:val="nil"/>
              <w:left w:val="nil"/>
              <w:bottom w:val="single" w:sz="4" w:space="0" w:color="auto"/>
              <w:right w:val="single" w:sz="4" w:space="0" w:color="auto"/>
            </w:tcBorders>
            <w:shd w:val="clear" w:color="auto" w:fill="auto"/>
            <w:vAlign w:val="center"/>
            <w:hideMark/>
          </w:tcPr>
          <w:p w14:paraId="7BECF99F"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2 113 583</w:t>
            </w:r>
          </w:p>
        </w:tc>
        <w:tc>
          <w:tcPr>
            <w:tcW w:w="1697" w:type="dxa"/>
            <w:tcBorders>
              <w:top w:val="nil"/>
              <w:left w:val="nil"/>
              <w:bottom w:val="single" w:sz="4" w:space="0" w:color="auto"/>
              <w:right w:val="single" w:sz="4" w:space="0" w:color="auto"/>
            </w:tcBorders>
            <w:shd w:val="clear" w:color="auto" w:fill="auto"/>
            <w:vAlign w:val="center"/>
            <w:hideMark/>
          </w:tcPr>
          <w:p w14:paraId="4D3146A4"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0</w:t>
            </w:r>
          </w:p>
        </w:tc>
        <w:tc>
          <w:tcPr>
            <w:tcW w:w="1563" w:type="dxa"/>
            <w:tcBorders>
              <w:top w:val="nil"/>
              <w:left w:val="nil"/>
              <w:bottom w:val="single" w:sz="4" w:space="0" w:color="auto"/>
              <w:right w:val="single" w:sz="4" w:space="0" w:color="auto"/>
            </w:tcBorders>
            <w:shd w:val="clear" w:color="auto" w:fill="auto"/>
            <w:noWrap/>
            <w:vAlign w:val="center"/>
            <w:hideMark/>
          </w:tcPr>
          <w:p w14:paraId="766FE169" w14:textId="77777777" w:rsidR="00E8617E" w:rsidRPr="00BC513A" w:rsidRDefault="00E8617E" w:rsidP="00922731">
            <w:pPr>
              <w:spacing w:after="0"/>
              <w:jc w:val="center"/>
              <w:rPr>
                <w:rFonts w:ascii="Arial" w:hAnsi="Arial" w:cs="Arial"/>
                <w:color w:val="000000"/>
                <w:sz w:val="18"/>
                <w:szCs w:val="18"/>
                <w:lang w:eastAsia="bg-BG"/>
              </w:rPr>
            </w:pPr>
            <w:r w:rsidRPr="00BC513A">
              <w:rPr>
                <w:rFonts w:ascii="Arial" w:hAnsi="Arial" w:cs="Arial"/>
                <w:color w:val="000000"/>
                <w:sz w:val="18"/>
                <w:szCs w:val="18"/>
                <w:lang w:eastAsia="bg-BG"/>
              </w:rPr>
              <w:t>40,26%</w:t>
            </w:r>
          </w:p>
        </w:tc>
        <w:tc>
          <w:tcPr>
            <w:tcW w:w="1843" w:type="dxa"/>
            <w:tcBorders>
              <w:top w:val="nil"/>
              <w:left w:val="nil"/>
              <w:bottom w:val="single" w:sz="4" w:space="0" w:color="auto"/>
              <w:right w:val="single" w:sz="4" w:space="0" w:color="auto"/>
            </w:tcBorders>
            <w:shd w:val="clear" w:color="auto" w:fill="auto"/>
            <w:noWrap/>
            <w:vAlign w:val="center"/>
            <w:hideMark/>
          </w:tcPr>
          <w:p w14:paraId="3D275F33" w14:textId="77777777" w:rsidR="00E8617E" w:rsidRPr="00BC513A" w:rsidRDefault="00E8617E" w:rsidP="00922731">
            <w:pPr>
              <w:spacing w:after="0"/>
              <w:jc w:val="center"/>
              <w:rPr>
                <w:rFonts w:ascii="Arial" w:hAnsi="Arial" w:cs="Arial"/>
                <w:color w:val="000000"/>
                <w:sz w:val="18"/>
                <w:szCs w:val="18"/>
                <w:lang w:eastAsia="bg-BG"/>
              </w:rPr>
            </w:pPr>
          </w:p>
        </w:tc>
        <w:tc>
          <w:tcPr>
            <w:tcW w:w="1701" w:type="dxa"/>
            <w:tcBorders>
              <w:top w:val="nil"/>
              <w:left w:val="nil"/>
              <w:bottom w:val="single" w:sz="4" w:space="0" w:color="auto"/>
              <w:right w:val="single" w:sz="4" w:space="0" w:color="auto"/>
            </w:tcBorders>
            <w:shd w:val="clear" w:color="auto" w:fill="auto"/>
            <w:noWrap/>
            <w:vAlign w:val="center"/>
            <w:hideMark/>
          </w:tcPr>
          <w:p w14:paraId="2A7BEA4A" w14:textId="77777777" w:rsidR="00E8617E" w:rsidRPr="00BC513A" w:rsidRDefault="00E8617E" w:rsidP="00922731">
            <w:pPr>
              <w:spacing w:after="0"/>
              <w:jc w:val="center"/>
              <w:rPr>
                <w:rFonts w:ascii="Arial" w:hAnsi="Arial" w:cs="Arial"/>
                <w:color w:val="000000"/>
                <w:sz w:val="18"/>
                <w:szCs w:val="18"/>
                <w:lang w:eastAsia="bg-BG"/>
              </w:rPr>
            </w:pPr>
          </w:p>
        </w:tc>
        <w:tc>
          <w:tcPr>
            <w:tcW w:w="1989" w:type="dxa"/>
            <w:tcBorders>
              <w:top w:val="nil"/>
              <w:left w:val="nil"/>
              <w:bottom w:val="single" w:sz="4" w:space="0" w:color="auto"/>
              <w:right w:val="single" w:sz="4" w:space="0" w:color="auto"/>
            </w:tcBorders>
            <w:shd w:val="clear" w:color="auto" w:fill="auto"/>
            <w:noWrap/>
            <w:vAlign w:val="center"/>
            <w:hideMark/>
          </w:tcPr>
          <w:p w14:paraId="6ED7ECA6" w14:textId="77777777" w:rsidR="00E8617E" w:rsidRPr="00BC513A" w:rsidRDefault="00E8617E" w:rsidP="00922731">
            <w:pPr>
              <w:spacing w:after="0"/>
              <w:jc w:val="center"/>
              <w:rPr>
                <w:rFonts w:ascii="Arial" w:hAnsi="Arial" w:cs="Arial"/>
                <w:color w:val="000000"/>
                <w:sz w:val="18"/>
                <w:szCs w:val="18"/>
                <w:lang w:eastAsia="bg-BG"/>
              </w:rPr>
            </w:pPr>
          </w:p>
        </w:tc>
      </w:tr>
      <w:tr w:rsidR="00E8617E" w:rsidRPr="00BC513A" w14:paraId="6148CAA9" w14:textId="77777777" w:rsidTr="00D87D35">
        <w:trPr>
          <w:trHeight w:val="255"/>
        </w:trPr>
        <w:tc>
          <w:tcPr>
            <w:tcW w:w="900" w:type="dxa"/>
            <w:tcBorders>
              <w:top w:val="nil"/>
              <w:left w:val="single" w:sz="4" w:space="0" w:color="auto"/>
              <w:bottom w:val="single" w:sz="4" w:space="0" w:color="auto"/>
              <w:right w:val="single" w:sz="4" w:space="0" w:color="auto"/>
            </w:tcBorders>
            <w:shd w:val="clear" w:color="auto" w:fill="auto"/>
            <w:vAlign w:val="center"/>
            <w:hideMark/>
          </w:tcPr>
          <w:p w14:paraId="1C543410" w14:textId="77777777" w:rsidR="00E8617E" w:rsidRPr="00BC513A" w:rsidRDefault="00E8617E" w:rsidP="00922731">
            <w:pPr>
              <w:rPr>
                <w:rFonts w:ascii="Arial" w:hAnsi="Arial" w:cs="Arial"/>
                <w:sz w:val="18"/>
                <w:szCs w:val="18"/>
                <w:lang w:eastAsia="bg-BG"/>
              </w:rPr>
            </w:pPr>
            <w:r w:rsidRPr="00BC513A">
              <w:rPr>
                <w:rFonts w:ascii="Arial" w:hAnsi="Arial" w:cs="Arial"/>
                <w:sz w:val="18"/>
                <w:szCs w:val="18"/>
                <w:lang w:eastAsia="bg-BG"/>
              </w:rPr>
              <w:t>611</w:t>
            </w:r>
          </w:p>
        </w:tc>
        <w:tc>
          <w:tcPr>
            <w:tcW w:w="2944" w:type="dxa"/>
            <w:tcBorders>
              <w:top w:val="nil"/>
              <w:left w:val="nil"/>
              <w:bottom w:val="single" w:sz="4" w:space="0" w:color="auto"/>
              <w:right w:val="single" w:sz="4" w:space="0" w:color="auto"/>
            </w:tcBorders>
            <w:shd w:val="clear" w:color="auto" w:fill="auto"/>
            <w:vAlign w:val="center"/>
            <w:hideMark/>
          </w:tcPr>
          <w:p w14:paraId="655E00BC" w14:textId="77777777" w:rsidR="00E8617E" w:rsidRPr="00BC513A" w:rsidRDefault="00E8617E" w:rsidP="00922731">
            <w:pPr>
              <w:spacing w:after="0"/>
              <w:rPr>
                <w:rFonts w:ascii="Arial" w:hAnsi="Arial" w:cs="Arial"/>
                <w:b/>
                <w:sz w:val="18"/>
                <w:szCs w:val="18"/>
                <w:lang w:eastAsia="bg-BG"/>
              </w:rPr>
            </w:pPr>
            <w:r w:rsidRPr="00BC513A">
              <w:rPr>
                <w:rFonts w:ascii="Arial" w:hAnsi="Arial" w:cs="Arial"/>
                <w:b/>
                <w:sz w:val="18"/>
                <w:szCs w:val="18"/>
                <w:lang w:eastAsia="bg-BG"/>
              </w:rPr>
              <w:t>Доплащания към директните плащания</w:t>
            </w:r>
          </w:p>
        </w:tc>
        <w:tc>
          <w:tcPr>
            <w:tcW w:w="1596" w:type="dxa"/>
            <w:tcBorders>
              <w:top w:val="nil"/>
              <w:left w:val="nil"/>
              <w:bottom w:val="single" w:sz="4" w:space="0" w:color="auto"/>
              <w:right w:val="single" w:sz="4" w:space="0" w:color="auto"/>
            </w:tcBorders>
            <w:shd w:val="clear" w:color="auto" w:fill="auto"/>
            <w:noWrap/>
            <w:vAlign w:val="center"/>
            <w:hideMark/>
          </w:tcPr>
          <w:p w14:paraId="624F0B9B"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181 841 021</w:t>
            </w:r>
          </w:p>
        </w:tc>
        <w:tc>
          <w:tcPr>
            <w:tcW w:w="1560" w:type="dxa"/>
            <w:tcBorders>
              <w:top w:val="nil"/>
              <w:left w:val="nil"/>
              <w:bottom w:val="single" w:sz="4" w:space="0" w:color="auto"/>
              <w:right w:val="single" w:sz="4" w:space="0" w:color="auto"/>
            </w:tcBorders>
            <w:shd w:val="clear" w:color="auto" w:fill="auto"/>
            <w:vAlign w:val="center"/>
            <w:hideMark/>
          </w:tcPr>
          <w:p w14:paraId="0D7D14F3"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154 232 500</w:t>
            </w:r>
          </w:p>
        </w:tc>
        <w:tc>
          <w:tcPr>
            <w:tcW w:w="1697" w:type="dxa"/>
            <w:tcBorders>
              <w:top w:val="nil"/>
              <w:left w:val="nil"/>
              <w:bottom w:val="single" w:sz="4" w:space="0" w:color="auto"/>
              <w:right w:val="single" w:sz="4" w:space="0" w:color="auto"/>
            </w:tcBorders>
            <w:shd w:val="clear" w:color="auto" w:fill="auto"/>
            <w:vAlign w:val="center"/>
            <w:hideMark/>
          </w:tcPr>
          <w:p w14:paraId="12996760"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154 257 456</w:t>
            </w:r>
          </w:p>
        </w:tc>
        <w:tc>
          <w:tcPr>
            <w:tcW w:w="1563" w:type="dxa"/>
            <w:tcBorders>
              <w:top w:val="nil"/>
              <w:left w:val="nil"/>
              <w:bottom w:val="single" w:sz="4" w:space="0" w:color="auto"/>
              <w:right w:val="single" w:sz="4" w:space="0" w:color="auto"/>
            </w:tcBorders>
            <w:shd w:val="clear" w:color="auto" w:fill="auto"/>
            <w:noWrap/>
            <w:vAlign w:val="center"/>
            <w:hideMark/>
          </w:tcPr>
          <w:p w14:paraId="221F9116"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84,82%</w:t>
            </w:r>
          </w:p>
        </w:tc>
        <w:tc>
          <w:tcPr>
            <w:tcW w:w="1843" w:type="dxa"/>
            <w:tcBorders>
              <w:top w:val="nil"/>
              <w:left w:val="nil"/>
              <w:bottom w:val="single" w:sz="4" w:space="0" w:color="auto"/>
              <w:right w:val="single" w:sz="4" w:space="0" w:color="auto"/>
            </w:tcBorders>
            <w:shd w:val="clear" w:color="auto" w:fill="auto"/>
            <w:noWrap/>
            <w:vAlign w:val="center"/>
            <w:hideMark/>
          </w:tcPr>
          <w:p w14:paraId="300DD036" w14:textId="77777777" w:rsidR="00E8617E" w:rsidRPr="00BC513A" w:rsidRDefault="00E8617E" w:rsidP="00922731">
            <w:pPr>
              <w:spacing w:after="0"/>
              <w:jc w:val="center"/>
              <w:rPr>
                <w:rFonts w:ascii="Arial" w:hAnsi="Arial" w:cs="Arial"/>
                <w:b/>
                <w:color w:val="000000"/>
                <w:sz w:val="18"/>
                <w:szCs w:val="18"/>
                <w:lang w:eastAsia="bg-BG"/>
              </w:rPr>
            </w:pPr>
          </w:p>
        </w:tc>
        <w:tc>
          <w:tcPr>
            <w:tcW w:w="1701" w:type="dxa"/>
            <w:tcBorders>
              <w:top w:val="nil"/>
              <w:left w:val="nil"/>
              <w:bottom w:val="single" w:sz="4" w:space="0" w:color="auto"/>
              <w:right w:val="single" w:sz="4" w:space="0" w:color="auto"/>
            </w:tcBorders>
            <w:shd w:val="clear" w:color="auto" w:fill="auto"/>
            <w:noWrap/>
            <w:vAlign w:val="center"/>
            <w:hideMark/>
          </w:tcPr>
          <w:p w14:paraId="1CF96B94"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80,00%</w:t>
            </w:r>
          </w:p>
        </w:tc>
        <w:tc>
          <w:tcPr>
            <w:tcW w:w="1989" w:type="dxa"/>
            <w:tcBorders>
              <w:top w:val="nil"/>
              <w:left w:val="nil"/>
              <w:bottom w:val="single" w:sz="4" w:space="0" w:color="auto"/>
              <w:right w:val="single" w:sz="4" w:space="0" w:color="auto"/>
            </w:tcBorders>
            <w:shd w:val="clear" w:color="auto" w:fill="auto"/>
            <w:noWrap/>
            <w:vAlign w:val="center"/>
            <w:hideMark/>
          </w:tcPr>
          <w:p w14:paraId="27A0DCF1" w14:textId="77777777" w:rsidR="00E8617E" w:rsidRPr="00BC513A" w:rsidRDefault="00E8617E" w:rsidP="00922731">
            <w:pPr>
              <w:spacing w:after="0"/>
              <w:jc w:val="center"/>
              <w:rPr>
                <w:rFonts w:ascii="Arial" w:hAnsi="Arial" w:cs="Arial"/>
                <w:b/>
                <w:color w:val="000000"/>
                <w:sz w:val="18"/>
                <w:szCs w:val="18"/>
                <w:lang w:eastAsia="bg-BG"/>
              </w:rPr>
            </w:pPr>
            <w:r w:rsidRPr="00BC513A">
              <w:rPr>
                <w:rFonts w:ascii="Arial" w:hAnsi="Arial" w:cs="Arial"/>
                <w:b/>
                <w:color w:val="000000"/>
                <w:sz w:val="18"/>
                <w:szCs w:val="18"/>
                <w:lang w:eastAsia="bg-BG"/>
              </w:rPr>
              <w:t>100,02%</w:t>
            </w:r>
          </w:p>
        </w:tc>
      </w:tr>
      <w:tr w:rsidR="00E8617E" w:rsidRPr="00BC513A" w14:paraId="7CC76A78" w14:textId="77777777" w:rsidTr="00D87D35">
        <w:trPr>
          <w:trHeight w:val="66"/>
        </w:trPr>
        <w:tc>
          <w:tcPr>
            <w:tcW w:w="15793" w:type="dxa"/>
            <w:gridSpan w:val="9"/>
            <w:tcBorders>
              <w:top w:val="nil"/>
              <w:left w:val="single" w:sz="4" w:space="0" w:color="auto"/>
              <w:bottom w:val="single" w:sz="4" w:space="0" w:color="auto"/>
              <w:right w:val="single" w:sz="4" w:space="0" w:color="auto"/>
            </w:tcBorders>
            <w:shd w:val="clear" w:color="auto" w:fill="auto"/>
            <w:noWrap/>
            <w:vAlign w:val="center"/>
            <w:hideMark/>
          </w:tcPr>
          <w:p w14:paraId="4093AFAE" w14:textId="77777777" w:rsidR="00E8617E" w:rsidRPr="00BC513A" w:rsidRDefault="00E8617E" w:rsidP="00922731">
            <w:pPr>
              <w:spacing w:after="0"/>
              <w:jc w:val="center"/>
              <w:rPr>
                <w:rFonts w:ascii="Arial" w:hAnsi="Arial" w:cs="Arial"/>
                <w:color w:val="000000"/>
                <w:sz w:val="18"/>
                <w:szCs w:val="18"/>
                <w:lang w:eastAsia="bg-BG"/>
              </w:rPr>
            </w:pPr>
          </w:p>
        </w:tc>
      </w:tr>
      <w:tr w:rsidR="00E8617E" w:rsidRPr="00BC513A" w14:paraId="3DBDA3B1" w14:textId="77777777" w:rsidTr="00D87D35">
        <w:trPr>
          <w:trHeight w:val="255"/>
        </w:trPr>
        <w:tc>
          <w:tcPr>
            <w:tcW w:w="3844"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94C69A5" w14:textId="77777777" w:rsidR="00E8617E" w:rsidRPr="00BC513A" w:rsidRDefault="00E8617E" w:rsidP="00922731">
            <w:pPr>
              <w:spacing w:after="0" w:line="240" w:lineRule="auto"/>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ОБЩ БЮДЖЕТ НА ПРСР 2007-2013</w:t>
            </w:r>
          </w:p>
        </w:tc>
        <w:tc>
          <w:tcPr>
            <w:tcW w:w="1596" w:type="dxa"/>
            <w:tcBorders>
              <w:top w:val="nil"/>
              <w:left w:val="nil"/>
              <w:bottom w:val="single" w:sz="4" w:space="0" w:color="auto"/>
              <w:right w:val="single" w:sz="4" w:space="0" w:color="auto"/>
            </w:tcBorders>
            <w:shd w:val="clear" w:color="auto" w:fill="D9D9D9" w:themeFill="background1" w:themeFillShade="D9"/>
            <w:noWrap/>
            <w:vAlign w:val="center"/>
            <w:hideMark/>
          </w:tcPr>
          <w:p w14:paraId="537D8FB8" w14:textId="77777777" w:rsidR="00E8617E" w:rsidRPr="00E90A62" w:rsidRDefault="00E8617E" w:rsidP="00E90A62">
            <w:pPr>
              <w:spacing w:after="0" w:line="240" w:lineRule="auto"/>
              <w:jc w:val="center"/>
              <w:rPr>
                <w:rFonts w:ascii="Arial" w:eastAsia="Times New Roman" w:hAnsi="Arial" w:cs="Arial"/>
                <w:b/>
                <w:bCs/>
                <w:sz w:val="18"/>
                <w:szCs w:val="18"/>
                <w:lang w:val="en-US" w:eastAsia="bg-BG"/>
              </w:rPr>
            </w:pPr>
            <w:r w:rsidRPr="00BC513A">
              <w:rPr>
                <w:rFonts w:ascii="Arial" w:eastAsia="Times New Roman" w:hAnsi="Arial" w:cs="Arial"/>
                <w:b/>
                <w:bCs/>
                <w:sz w:val="18"/>
                <w:szCs w:val="18"/>
                <w:lang w:eastAsia="bg-BG"/>
              </w:rPr>
              <w:t>3 278 771 72</w:t>
            </w:r>
            <w:r w:rsidR="00E90A62">
              <w:rPr>
                <w:rFonts w:ascii="Arial" w:eastAsia="Times New Roman" w:hAnsi="Arial" w:cs="Arial"/>
                <w:b/>
                <w:bCs/>
                <w:sz w:val="18"/>
                <w:szCs w:val="18"/>
                <w:lang w:val="en-US" w:eastAsia="bg-BG"/>
              </w:rPr>
              <w:t>6</w:t>
            </w:r>
          </w:p>
        </w:tc>
        <w:tc>
          <w:tcPr>
            <w:tcW w:w="1560" w:type="dxa"/>
            <w:tcBorders>
              <w:top w:val="nil"/>
              <w:left w:val="nil"/>
              <w:bottom w:val="single" w:sz="4" w:space="0" w:color="auto"/>
              <w:right w:val="single" w:sz="4" w:space="0" w:color="auto"/>
            </w:tcBorders>
            <w:shd w:val="clear" w:color="auto" w:fill="D9D9D9" w:themeFill="background1" w:themeFillShade="D9"/>
            <w:noWrap/>
            <w:vAlign w:val="center"/>
            <w:hideMark/>
          </w:tcPr>
          <w:p w14:paraId="12FF6934"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3 102 663 943</w:t>
            </w:r>
          </w:p>
        </w:tc>
        <w:tc>
          <w:tcPr>
            <w:tcW w:w="1697" w:type="dxa"/>
            <w:tcBorders>
              <w:top w:val="nil"/>
              <w:left w:val="nil"/>
              <w:bottom w:val="single" w:sz="4" w:space="0" w:color="auto"/>
              <w:right w:val="single" w:sz="4" w:space="0" w:color="auto"/>
            </w:tcBorders>
            <w:shd w:val="clear" w:color="auto" w:fill="D9D9D9" w:themeFill="background1" w:themeFillShade="D9"/>
            <w:noWrap/>
            <w:vAlign w:val="center"/>
            <w:hideMark/>
          </w:tcPr>
          <w:p w14:paraId="6B739DD2"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3 072 991 628</w:t>
            </w:r>
          </w:p>
        </w:tc>
        <w:tc>
          <w:tcPr>
            <w:tcW w:w="1563" w:type="dxa"/>
            <w:tcBorders>
              <w:top w:val="nil"/>
              <w:left w:val="nil"/>
              <w:bottom w:val="single" w:sz="4" w:space="0" w:color="auto"/>
              <w:right w:val="single" w:sz="4" w:space="0" w:color="auto"/>
            </w:tcBorders>
            <w:shd w:val="clear" w:color="auto" w:fill="D9D9D9" w:themeFill="background1" w:themeFillShade="D9"/>
            <w:noWrap/>
            <w:vAlign w:val="center"/>
            <w:hideMark/>
          </w:tcPr>
          <w:p w14:paraId="4D7A6864"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94,63%</w:t>
            </w:r>
          </w:p>
        </w:tc>
        <w:tc>
          <w:tcPr>
            <w:tcW w:w="1843" w:type="dxa"/>
            <w:tcBorders>
              <w:top w:val="nil"/>
              <w:left w:val="nil"/>
              <w:bottom w:val="single" w:sz="4" w:space="0" w:color="auto"/>
              <w:right w:val="single" w:sz="4" w:space="0" w:color="auto"/>
            </w:tcBorders>
            <w:shd w:val="clear" w:color="auto" w:fill="D9D9D9" w:themeFill="background1" w:themeFillShade="D9"/>
            <w:noWrap/>
            <w:vAlign w:val="center"/>
            <w:hideMark/>
          </w:tcPr>
          <w:p w14:paraId="6C039BC4"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p>
        </w:tc>
        <w:tc>
          <w:tcPr>
            <w:tcW w:w="1701" w:type="dxa"/>
            <w:tcBorders>
              <w:top w:val="nil"/>
              <w:left w:val="nil"/>
              <w:bottom w:val="single" w:sz="4" w:space="0" w:color="auto"/>
              <w:right w:val="single" w:sz="4" w:space="0" w:color="auto"/>
            </w:tcBorders>
            <w:shd w:val="clear" w:color="auto" w:fill="D9D9D9" w:themeFill="background1" w:themeFillShade="D9"/>
            <w:noWrap/>
            <w:vAlign w:val="center"/>
            <w:hideMark/>
          </w:tcPr>
          <w:p w14:paraId="617BAD6E"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80,57%</w:t>
            </w:r>
          </w:p>
        </w:tc>
        <w:tc>
          <w:tcPr>
            <w:tcW w:w="1989" w:type="dxa"/>
            <w:tcBorders>
              <w:top w:val="nil"/>
              <w:left w:val="nil"/>
              <w:bottom w:val="single" w:sz="4" w:space="0" w:color="auto"/>
              <w:right w:val="single" w:sz="4" w:space="0" w:color="auto"/>
            </w:tcBorders>
            <w:shd w:val="clear" w:color="auto" w:fill="D9D9D9" w:themeFill="background1" w:themeFillShade="D9"/>
            <w:noWrap/>
            <w:vAlign w:val="center"/>
            <w:hideMark/>
          </w:tcPr>
          <w:p w14:paraId="60B93F48" w14:textId="77777777" w:rsidR="00E8617E" w:rsidRPr="00BC513A" w:rsidRDefault="00E8617E" w:rsidP="00922731">
            <w:pPr>
              <w:spacing w:after="0" w:line="240" w:lineRule="auto"/>
              <w:jc w:val="center"/>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99,04%</w:t>
            </w:r>
          </w:p>
        </w:tc>
      </w:tr>
    </w:tbl>
    <w:p w14:paraId="2F3DA4C7" w14:textId="77777777" w:rsidR="00E8617E" w:rsidRPr="00BC513A" w:rsidRDefault="00E8617E" w:rsidP="00176810">
      <w:pPr>
        <w:pStyle w:val="DefaultText"/>
        <w:spacing w:after="240" w:line="300" w:lineRule="atLeast"/>
        <w:jc w:val="left"/>
        <w:rPr>
          <w:b/>
          <w:sz w:val="22"/>
          <w:szCs w:val="22"/>
          <w:lang w:val="bg-BG"/>
        </w:rPr>
      </w:pPr>
      <w:r w:rsidRPr="00BC1A5E">
        <w:rPr>
          <w:szCs w:val="18"/>
          <w:lang w:val="bg-BG"/>
        </w:rPr>
        <w:t>Източник: По данни на УО на ПРСР 2007-2013 г.</w:t>
      </w:r>
    </w:p>
    <w:p w14:paraId="6AE73A36" w14:textId="77777777" w:rsidR="00E8617E" w:rsidRPr="00BC513A" w:rsidRDefault="00E8617E" w:rsidP="00E8617E">
      <w:pPr>
        <w:pStyle w:val="DefaultText"/>
        <w:spacing w:after="240" w:line="300" w:lineRule="atLeast"/>
        <w:ind w:firstLine="709"/>
        <w:rPr>
          <w:b/>
          <w:sz w:val="22"/>
          <w:szCs w:val="22"/>
          <w:lang w:val="bg-BG"/>
        </w:rPr>
        <w:sectPr w:rsidR="00E8617E" w:rsidRPr="00BC513A" w:rsidSect="00922731">
          <w:footerReference w:type="default" r:id="rId33"/>
          <w:pgSz w:w="16838" w:h="11906" w:orient="landscape" w:code="9"/>
          <w:pgMar w:top="1418" w:right="1418" w:bottom="1418" w:left="1418" w:header="709" w:footer="709" w:gutter="0"/>
          <w:cols w:space="708"/>
          <w:docGrid w:linePitch="360"/>
        </w:sectPr>
      </w:pPr>
    </w:p>
    <w:p w14:paraId="43B1143E" w14:textId="77777777" w:rsidR="00E8617E" w:rsidRPr="00BC513A" w:rsidRDefault="00E8617E" w:rsidP="00E8617E">
      <w:pPr>
        <w:pStyle w:val="DefaultText"/>
        <w:shd w:val="clear" w:color="auto" w:fill="FDF0E7"/>
        <w:spacing w:after="120" w:line="300" w:lineRule="atLeast"/>
        <w:jc w:val="left"/>
        <w:rPr>
          <w:sz w:val="22"/>
          <w:szCs w:val="22"/>
          <w:lang w:val="bg-BG"/>
        </w:rPr>
      </w:pPr>
      <w:r w:rsidRPr="00BC513A">
        <w:rPr>
          <w:rFonts w:cs="Arial"/>
          <w:b/>
          <w:color w:val="000000"/>
          <w:sz w:val="22"/>
          <w:szCs w:val="22"/>
          <w:shd w:val="clear" w:color="auto" w:fill="FDF0E7"/>
          <w:lang w:val="bg-BG"/>
        </w:rPr>
        <w:lastRenderedPageBreak/>
        <w:t>Ос 1: Подобряване на конкурентоспособността на земеделския и горския сектор</w:t>
      </w:r>
      <w:r w:rsidRPr="00BC513A">
        <w:rPr>
          <w:rFonts w:cs="Arial"/>
          <w:b/>
          <w:color w:val="000000"/>
          <w:sz w:val="22"/>
          <w:szCs w:val="22"/>
          <w:shd w:val="clear" w:color="auto" w:fill="FFFFFF"/>
          <w:lang w:val="bg-BG"/>
        </w:rPr>
        <w:t xml:space="preserve"> </w:t>
      </w:r>
    </w:p>
    <w:p w14:paraId="7B625447" w14:textId="68CED225"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 xml:space="preserve">Бюджетът за ос 1 е намален с 23,4% между първоначалния и окончателния бюджет. Единствено по мярка 112 „Създаване на стопанства на млади фермери“ </w:t>
      </w:r>
      <w:r w:rsidR="00176810">
        <w:rPr>
          <w:sz w:val="22"/>
          <w:szCs w:val="22"/>
          <w:lang w:val="bg-BG"/>
        </w:rPr>
        <w:t>и мярка 121 „Модернизиране на земеделските стопанства“ е</w:t>
      </w:r>
      <w:r w:rsidRPr="00BC513A">
        <w:rPr>
          <w:sz w:val="22"/>
          <w:szCs w:val="22"/>
          <w:lang w:val="bg-BG"/>
        </w:rPr>
        <w:t xml:space="preserve"> налице нарастване на предвидените разходи</w:t>
      </w:r>
      <w:r w:rsidR="00176810">
        <w:rPr>
          <w:sz w:val="22"/>
          <w:szCs w:val="22"/>
          <w:lang w:val="bg-BG"/>
        </w:rPr>
        <w:t xml:space="preserve"> съответно</w:t>
      </w:r>
      <w:r w:rsidRPr="00BC513A">
        <w:rPr>
          <w:sz w:val="22"/>
          <w:szCs w:val="22"/>
          <w:lang w:val="bg-BG"/>
        </w:rPr>
        <w:t xml:space="preserve"> с 16,2%</w:t>
      </w:r>
      <w:r w:rsidR="00176810">
        <w:rPr>
          <w:sz w:val="22"/>
          <w:szCs w:val="22"/>
          <w:lang w:val="bg-BG"/>
        </w:rPr>
        <w:t xml:space="preserve"> и </w:t>
      </w:r>
      <w:r w:rsidR="00192A21" w:rsidRPr="009D54CA">
        <w:rPr>
          <w:sz w:val="22"/>
          <w:szCs w:val="22"/>
          <w:lang w:val="bg-BG"/>
        </w:rPr>
        <w:t>1</w:t>
      </w:r>
      <w:r w:rsidR="00176810">
        <w:rPr>
          <w:sz w:val="22"/>
          <w:szCs w:val="22"/>
          <w:lang w:val="bg-BG"/>
        </w:rPr>
        <w:t>3,3%</w:t>
      </w:r>
      <w:r w:rsidRPr="00BC513A">
        <w:rPr>
          <w:sz w:val="22"/>
          <w:szCs w:val="22"/>
          <w:lang w:val="bg-BG"/>
        </w:rPr>
        <w:t xml:space="preserve">. Драстично е намалението на разходите по </w:t>
      </w:r>
      <w:r w:rsidR="00176810">
        <w:rPr>
          <w:sz w:val="22"/>
          <w:szCs w:val="22"/>
          <w:lang w:val="bg-BG"/>
        </w:rPr>
        <w:t>мерки 114 „Използване на консултантски услуги</w:t>
      </w:r>
      <w:r w:rsidR="007C41A8">
        <w:rPr>
          <w:sz w:val="22"/>
          <w:szCs w:val="22"/>
          <w:lang w:val="bg-BG"/>
        </w:rPr>
        <w:t xml:space="preserve"> от фермери и собственици/или ползватели на гори</w:t>
      </w:r>
      <w:r w:rsidR="00176810">
        <w:rPr>
          <w:sz w:val="22"/>
          <w:szCs w:val="22"/>
          <w:lang w:val="bg-BG"/>
        </w:rPr>
        <w:t>“ (</w:t>
      </w:r>
      <w:r w:rsidR="007C41A8">
        <w:rPr>
          <w:sz w:val="22"/>
          <w:szCs w:val="22"/>
          <w:lang w:val="bg-BG"/>
        </w:rPr>
        <w:t>99%</w:t>
      </w:r>
      <w:r w:rsidR="00176810">
        <w:rPr>
          <w:sz w:val="22"/>
          <w:szCs w:val="22"/>
          <w:lang w:val="bg-BG"/>
        </w:rPr>
        <w:t xml:space="preserve">), </w:t>
      </w:r>
      <w:r w:rsidRPr="00BC513A">
        <w:rPr>
          <w:sz w:val="22"/>
          <w:szCs w:val="22"/>
          <w:lang w:val="bg-BG"/>
        </w:rPr>
        <w:t>142 „Създаване на организации на производители“ (98%), 122 „Подобряване на икономическата стойност на горите“ (97,7%), 111 „Професионално обучение, информационни дейности и разпространяване на научни знания“ (</w:t>
      </w:r>
      <w:r w:rsidR="007C41A8">
        <w:rPr>
          <w:sz w:val="22"/>
          <w:szCs w:val="22"/>
          <w:lang w:val="bg-BG"/>
        </w:rPr>
        <w:t>78</w:t>
      </w:r>
      <w:r w:rsidRPr="00BC513A">
        <w:rPr>
          <w:sz w:val="22"/>
          <w:szCs w:val="22"/>
          <w:lang w:val="bg-BG"/>
        </w:rPr>
        <w:t>%) и 141 „Подпомагане на полупазарни стопанства“ (68,7%). Причините за намаление на разходите и тяхното прехвърляне към други мерки са отчетени в годишните доклади – липса на висок интерес от страна на кандидатите, слабо усвояване на средства, ограничени средства от страна на бенефициентите за извършване на първоначални разходи и др..</w:t>
      </w:r>
    </w:p>
    <w:p w14:paraId="06482C1F" w14:textId="77777777"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По мярка 121 „Модернизиране на земеделските стопанства“ са изразходвани 58,15% от средствата по ос 1. На второ място е мярка 123 „Добавяне на стойност към земеделски и горски продукти“ с 22,8% от средствата по оста. Средният процент на съфинансиране за ос 1 е бил 80,05%. Като цяло, действителните разходи по ос 1 достигат 99,49% спрямо окончателния бюджет, но в рамките на отделните мерки се отчитат сериозни вариации в нивата на усвояемост. Мярка 123 и 143 надвишават бюджета си, като действителните разходи възлизат съответно на 101,08% и 100,24% от окончателния бюджет. В същото време, изразходваните средства по мярка 142 са 48,64% от окончателния бюджет (в ситуация на намаление на разходите с 98% по мярката), а по мярка 114 действителните разходи са 36,88%.</w:t>
      </w:r>
    </w:p>
    <w:p w14:paraId="19D14C59" w14:textId="35D125EE" w:rsidR="00E8617E" w:rsidRPr="00BC513A" w:rsidRDefault="00E8617E" w:rsidP="00E8617E">
      <w:pPr>
        <w:pStyle w:val="DefaultText"/>
        <w:keepNext/>
        <w:shd w:val="clear" w:color="auto" w:fill="ECF3FA"/>
        <w:spacing w:after="120" w:line="300" w:lineRule="atLeast"/>
        <w:jc w:val="left"/>
        <w:rPr>
          <w:sz w:val="22"/>
          <w:szCs w:val="22"/>
          <w:lang w:val="bg-BG"/>
        </w:rPr>
      </w:pPr>
      <w:r w:rsidRPr="00BC513A">
        <w:rPr>
          <w:rFonts w:cs="Arial"/>
          <w:b/>
          <w:color w:val="000000"/>
          <w:sz w:val="22"/>
          <w:szCs w:val="22"/>
          <w:shd w:val="clear" w:color="auto" w:fill="ECF3FA"/>
          <w:lang w:val="bg-BG"/>
        </w:rPr>
        <w:t>О</w:t>
      </w:r>
      <w:r w:rsidR="00AB2B2B">
        <w:rPr>
          <w:rFonts w:cs="Arial"/>
          <w:b/>
          <w:color w:val="000000"/>
          <w:sz w:val="22"/>
          <w:szCs w:val="22"/>
          <w:shd w:val="clear" w:color="auto" w:fill="ECF3FA"/>
          <w:lang w:val="bg-BG"/>
        </w:rPr>
        <w:t>с</w:t>
      </w:r>
      <w:r w:rsidRPr="00BC513A">
        <w:rPr>
          <w:rFonts w:cs="Arial"/>
          <w:b/>
          <w:color w:val="000000"/>
          <w:sz w:val="22"/>
          <w:szCs w:val="22"/>
          <w:shd w:val="clear" w:color="auto" w:fill="ECF3FA"/>
          <w:lang w:val="bg-BG"/>
        </w:rPr>
        <w:t xml:space="preserve"> 2: Подобряване на околната среда и природата</w:t>
      </w:r>
      <w:r w:rsidRPr="00BC513A">
        <w:rPr>
          <w:rFonts w:cs="Arial"/>
          <w:b/>
          <w:color w:val="000000"/>
          <w:sz w:val="22"/>
          <w:szCs w:val="22"/>
          <w:shd w:val="clear" w:color="auto" w:fill="FFFFFF"/>
          <w:lang w:val="bg-BG"/>
        </w:rPr>
        <w:t xml:space="preserve"> </w:t>
      </w:r>
    </w:p>
    <w:p w14:paraId="0D6AB6D2" w14:textId="59615E97"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Ос 2 е с най-незначителни промени по отношение на първоначалния и окончателн</w:t>
      </w:r>
      <w:r w:rsidR="00D316C2">
        <w:rPr>
          <w:sz w:val="22"/>
          <w:szCs w:val="22"/>
          <w:lang w:val="bg-BG"/>
        </w:rPr>
        <w:t>ия</w:t>
      </w:r>
      <w:r w:rsidRPr="00BC513A">
        <w:rPr>
          <w:sz w:val="22"/>
          <w:szCs w:val="22"/>
          <w:lang w:val="bg-BG"/>
        </w:rPr>
        <w:t xml:space="preserve"> бюджет. Намалението на планираните разходи е 3,4%. Въпреки това, бюджет</w:t>
      </w:r>
      <w:r w:rsidR="00D316C2">
        <w:rPr>
          <w:sz w:val="22"/>
          <w:szCs w:val="22"/>
          <w:lang w:val="bg-BG"/>
        </w:rPr>
        <w:t>ът</w:t>
      </w:r>
      <w:r w:rsidRPr="00BC513A">
        <w:rPr>
          <w:sz w:val="22"/>
          <w:szCs w:val="22"/>
          <w:lang w:val="bg-BG"/>
        </w:rPr>
        <w:t xml:space="preserve"> на мярка 223 е намален с 80,5%, а на мярка 226 </w:t>
      </w:r>
      <w:r w:rsidR="00D316C2">
        <w:rPr>
          <w:sz w:val="22"/>
          <w:szCs w:val="22"/>
          <w:lang w:val="bg-BG"/>
        </w:rPr>
        <w:t xml:space="preserve">– </w:t>
      </w:r>
      <w:r w:rsidRPr="00BC513A">
        <w:rPr>
          <w:sz w:val="22"/>
          <w:szCs w:val="22"/>
          <w:lang w:val="bg-BG"/>
        </w:rPr>
        <w:t xml:space="preserve">с 48,9%, на мярка 211 </w:t>
      </w:r>
      <w:r w:rsidR="00D316C2">
        <w:rPr>
          <w:sz w:val="22"/>
          <w:szCs w:val="22"/>
          <w:lang w:val="bg-BG"/>
        </w:rPr>
        <w:t xml:space="preserve">– </w:t>
      </w:r>
      <w:r w:rsidRPr="00BC513A">
        <w:rPr>
          <w:sz w:val="22"/>
          <w:szCs w:val="22"/>
          <w:lang w:val="bg-BG"/>
        </w:rPr>
        <w:t xml:space="preserve">с 29,5%. Намалението на разходите е компенсирано от увеличение по мерки 212 с 32,2%, и 214 с </w:t>
      </w:r>
      <w:r w:rsidR="00F3142F" w:rsidRPr="009D54CA">
        <w:rPr>
          <w:sz w:val="22"/>
          <w:szCs w:val="22"/>
          <w:lang w:val="bg-BG"/>
        </w:rPr>
        <w:t>48</w:t>
      </w:r>
      <w:r w:rsidRPr="00BC513A">
        <w:rPr>
          <w:sz w:val="22"/>
          <w:szCs w:val="22"/>
          <w:lang w:val="bg-BG"/>
        </w:rPr>
        <w:t>,</w:t>
      </w:r>
      <w:r w:rsidR="00F3142F" w:rsidRPr="009D54CA">
        <w:rPr>
          <w:sz w:val="22"/>
          <w:szCs w:val="22"/>
          <w:lang w:val="bg-BG"/>
        </w:rPr>
        <w:t>75</w:t>
      </w:r>
      <w:r w:rsidRPr="00BC513A">
        <w:rPr>
          <w:sz w:val="22"/>
          <w:szCs w:val="22"/>
          <w:lang w:val="bg-BG"/>
        </w:rPr>
        <w:t>%.</w:t>
      </w:r>
    </w:p>
    <w:p w14:paraId="51F44A83" w14:textId="07769DA0"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 xml:space="preserve">Като водещи мерки по ос 2 се очертават мярка 214 с дял от 61,7% от реално изразходваните средства и мярка 211 с дял от 21,9%. Средният процент на съфинансиране за </w:t>
      </w:r>
      <w:r w:rsidR="00665029">
        <w:rPr>
          <w:sz w:val="22"/>
          <w:szCs w:val="22"/>
          <w:lang w:val="bg-BG"/>
        </w:rPr>
        <w:t>о</w:t>
      </w:r>
      <w:r w:rsidRPr="00BC513A">
        <w:rPr>
          <w:sz w:val="22"/>
          <w:szCs w:val="22"/>
          <w:lang w:val="bg-BG"/>
        </w:rPr>
        <w:t>ста е бил 82%, в пълно съответствие с първоначално заложения, като не се отчитат колебания по различните мерки. Изпълнението на ос 2 се отличава с най-високи нива на усвояемост, като средните достигат 99,8%. Мярка 226 е надхвърлила предвидените средства, достигайки нива от 101,58%, докато по мярка 223 равнището на реалните разходи възлиза на 77,48% от окончателния бюджет по мярката.</w:t>
      </w:r>
    </w:p>
    <w:p w14:paraId="23DB7495" w14:textId="6B228FA3" w:rsidR="00E8617E" w:rsidRPr="00BC513A" w:rsidRDefault="00E8617E" w:rsidP="00E8617E">
      <w:pPr>
        <w:pStyle w:val="DefaultText"/>
        <w:keepNext/>
        <w:shd w:val="clear" w:color="auto" w:fill="EFF6EA"/>
        <w:spacing w:after="120" w:line="300" w:lineRule="atLeast"/>
        <w:jc w:val="left"/>
        <w:rPr>
          <w:sz w:val="20"/>
          <w:szCs w:val="20"/>
          <w:lang w:val="bg-BG"/>
        </w:rPr>
      </w:pPr>
      <w:r w:rsidRPr="00BC513A">
        <w:rPr>
          <w:rFonts w:cs="Arial"/>
          <w:b/>
          <w:color w:val="000000"/>
          <w:sz w:val="20"/>
          <w:szCs w:val="20"/>
          <w:shd w:val="clear" w:color="auto" w:fill="EFF6EA"/>
          <w:lang w:val="bg-BG"/>
        </w:rPr>
        <w:t>О</w:t>
      </w:r>
      <w:r w:rsidR="00AB2B2B">
        <w:rPr>
          <w:rFonts w:cs="Arial"/>
          <w:b/>
          <w:color w:val="000000"/>
          <w:sz w:val="20"/>
          <w:szCs w:val="20"/>
          <w:shd w:val="clear" w:color="auto" w:fill="EFF6EA"/>
          <w:lang w:val="bg-BG"/>
        </w:rPr>
        <w:t xml:space="preserve">с </w:t>
      </w:r>
      <w:r w:rsidRPr="00BC513A">
        <w:rPr>
          <w:rFonts w:cs="Arial"/>
          <w:b/>
          <w:color w:val="000000"/>
          <w:sz w:val="20"/>
          <w:szCs w:val="20"/>
          <w:shd w:val="clear" w:color="auto" w:fill="EFF6EA"/>
          <w:lang w:val="bg-BG"/>
        </w:rPr>
        <w:t>3: Качество на живот в селските райони и разнообразяване на селската икономика</w:t>
      </w:r>
    </w:p>
    <w:p w14:paraId="35144EAC" w14:textId="51518B4E"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 xml:space="preserve">Бюджетът по ос 3 е с най-голямо увеличение, като в края на периода се превръща в основен акцент в програмата. Нарастването на разходите през програмния период достига 29,8%, а в реален размер бюджетът е увеличен с близо 269,856 млн. </w:t>
      </w:r>
      <w:r w:rsidRPr="00BC513A">
        <w:rPr>
          <w:sz w:val="22"/>
          <w:szCs w:val="22"/>
          <w:lang w:val="bg-BG"/>
        </w:rPr>
        <w:lastRenderedPageBreak/>
        <w:t xml:space="preserve">евро. Цялото нарастване на средствата по оста е в резултат на увеличение на бюджета по две мерки </w:t>
      </w:r>
      <w:r w:rsidR="00D23699">
        <w:rPr>
          <w:sz w:val="22"/>
          <w:szCs w:val="22"/>
          <w:lang w:val="bg-BG"/>
        </w:rPr>
        <w:t>–</w:t>
      </w:r>
      <w:r w:rsidRPr="00BC513A">
        <w:rPr>
          <w:sz w:val="22"/>
          <w:szCs w:val="22"/>
          <w:lang w:val="bg-BG"/>
        </w:rPr>
        <w:t xml:space="preserve"> 321 с</w:t>
      </w:r>
      <w:r w:rsidR="007C41A8">
        <w:rPr>
          <w:sz w:val="22"/>
          <w:szCs w:val="22"/>
          <w:lang w:val="bg-BG"/>
        </w:rPr>
        <w:t>ъс</w:t>
      </w:r>
      <w:r w:rsidRPr="00BC513A">
        <w:rPr>
          <w:sz w:val="22"/>
          <w:szCs w:val="22"/>
          <w:lang w:val="bg-BG"/>
        </w:rPr>
        <w:t xml:space="preserve"> </w:t>
      </w:r>
      <w:r w:rsidR="007C41A8">
        <w:rPr>
          <w:sz w:val="22"/>
          <w:szCs w:val="22"/>
          <w:lang w:val="bg-BG"/>
        </w:rPr>
        <w:t>105</w:t>
      </w:r>
      <w:r w:rsidRPr="00BC513A">
        <w:rPr>
          <w:sz w:val="22"/>
          <w:szCs w:val="22"/>
          <w:lang w:val="bg-BG"/>
        </w:rPr>
        <w:t>,</w:t>
      </w:r>
      <w:r w:rsidR="007C41A8">
        <w:rPr>
          <w:sz w:val="22"/>
          <w:szCs w:val="22"/>
          <w:lang w:val="bg-BG"/>
        </w:rPr>
        <w:t>7</w:t>
      </w:r>
      <w:r w:rsidRPr="00BC513A">
        <w:rPr>
          <w:sz w:val="22"/>
          <w:szCs w:val="22"/>
          <w:lang w:val="bg-BG"/>
        </w:rPr>
        <w:t>%</w:t>
      </w:r>
      <w:r w:rsidRPr="00BC513A" w:rsidDel="00951E6E">
        <w:rPr>
          <w:sz w:val="22"/>
          <w:szCs w:val="22"/>
          <w:lang w:val="bg-BG"/>
        </w:rPr>
        <w:t xml:space="preserve"> </w:t>
      </w:r>
      <w:r w:rsidRPr="00BC513A">
        <w:rPr>
          <w:sz w:val="22"/>
          <w:szCs w:val="22"/>
          <w:lang w:val="bg-BG"/>
        </w:rPr>
        <w:t>% и 322 с 23,4%. Другите мерки са значително намалени – мярка 311 „Разнообразяване към неземеделски дейности“ с 4</w:t>
      </w:r>
      <w:r w:rsidR="00E90A62">
        <w:rPr>
          <w:sz w:val="22"/>
          <w:szCs w:val="22"/>
          <w:lang w:val="bg-BG"/>
        </w:rPr>
        <w:t>8</w:t>
      </w:r>
      <w:r w:rsidRPr="00BC513A">
        <w:rPr>
          <w:sz w:val="22"/>
          <w:szCs w:val="22"/>
          <w:lang w:val="bg-BG"/>
        </w:rPr>
        <w:t>,</w:t>
      </w:r>
      <w:r w:rsidR="00E90A62">
        <w:rPr>
          <w:sz w:val="22"/>
          <w:szCs w:val="22"/>
          <w:lang w:val="bg-BG"/>
        </w:rPr>
        <w:t>2</w:t>
      </w:r>
      <w:r w:rsidRPr="00BC513A">
        <w:rPr>
          <w:sz w:val="22"/>
          <w:szCs w:val="22"/>
          <w:lang w:val="bg-BG"/>
        </w:rPr>
        <w:t>%, мярка 313 „Насърчаване на туристическите дейности“ с 2</w:t>
      </w:r>
      <w:r w:rsidR="00E90A62">
        <w:rPr>
          <w:sz w:val="22"/>
          <w:szCs w:val="22"/>
          <w:lang w:val="bg-BG"/>
        </w:rPr>
        <w:t>1</w:t>
      </w:r>
      <w:r w:rsidRPr="00BC513A">
        <w:rPr>
          <w:sz w:val="22"/>
          <w:szCs w:val="22"/>
          <w:lang w:val="bg-BG"/>
        </w:rPr>
        <w:t>,</w:t>
      </w:r>
      <w:r w:rsidR="00E90A62">
        <w:rPr>
          <w:sz w:val="22"/>
          <w:szCs w:val="22"/>
          <w:lang w:val="bg-BG"/>
        </w:rPr>
        <w:t>8</w:t>
      </w:r>
      <w:r w:rsidRPr="00BC513A">
        <w:rPr>
          <w:sz w:val="22"/>
          <w:szCs w:val="22"/>
          <w:lang w:val="bg-BG"/>
        </w:rPr>
        <w:t>% и мярка 312 „Подкрепа за създаване и развитие на микро-предприятия“ с 1</w:t>
      </w:r>
      <w:r w:rsidR="00E90A62">
        <w:rPr>
          <w:sz w:val="22"/>
          <w:szCs w:val="22"/>
          <w:lang w:val="bg-BG"/>
        </w:rPr>
        <w:t>8</w:t>
      </w:r>
      <w:r w:rsidRPr="00BC513A">
        <w:rPr>
          <w:sz w:val="22"/>
          <w:szCs w:val="22"/>
          <w:lang w:val="bg-BG"/>
        </w:rPr>
        <w:t>,</w:t>
      </w:r>
      <w:r w:rsidR="00E90A62">
        <w:rPr>
          <w:sz w:val="22"/>
          <w:szCs w:val="22"/>
          <w:lang w:val="bg-BG"/>
        </w:rPr>
        <w:t>6</w:t>
      </w:r>
      <w:r w:rsidRPr="00BC513A">
        <w:rPr>
          <w:sz w:val="22"/>
          <w:szCs w:val="22"/>
          <w:lang w:val="bg-BG"/>
        </w:rPr>
        <w:t>%.</w:t>
      </w:r>
    </w:p>
    <w:p w14:paraId="671AEE74" w14:textId="4059FF6F"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 xml:space="preserve">Действителният среден процент на съфинансиране за </w:t>
      </w:r>
      <w:r w:rsidR="00D23699">
        <w:rPr>
          <w:sz w:val="22"/>
          <w:szCs w:val="22"/>
          <w:lang w:val="bg-BG"/>
        </w:rPr>
        <w:t>о</w:t>
      </w:r>
      <w:r w:rsidRPr="00BC513A">
        <w:rPr>
          <w:sz w:val="22"/>
          <w:szCs w:val="22"/>
          <w:lang w:val="bg-BG"/>
        </w:rPr>
        <w:t>ста е 80,19%, като процентът варира в тесни граници – от 80,57% за мярка 312, до 80% за мерки 313 и 322. По всички мерки действителните разходи са под 100%, като няма превишение на разходите заложени в окончателния бюджет. Средното ниво на усвояемост за оста е 98,14%.</w:t>
      </w:r>
    </w:p>
    <w:p w14:paraId="0F3ACD68" w14:textId="58597D76" w:rsidR="00E8617E" w:rsidRPr="00BC513A" w:rsidRDefault="00E8617E" w:rsidP="00E8617E">
      <w:pPr>
        <w:pStyle w:val="DefaultText"/>
        <w:shd w:val="clear" w:color="auto" w:fill="FFF8E5"/>
        <w:spacing w:after="120" w:line="300" w:lineRule="atLeast"/>
        <w:rPr>
          <w:sz w:val="20"/>
          <w:szCs w:val="20"/>
          <w:lang w:val="bg-BG"/>
        </w:rPr>
      </w:pPr>
      <w:r w:rsidRPr="00BC513A">
        <w:rPr>
          <w:rFonts w:cs="Arial"/>
          <w:b/>
          <w:color w:val="000000"/>
          <w:sz w:val="20"/>
          <w:szCs w:val="20"/>
          <w:shd w:val="clear" w:color="auto" w:fill="FFF8E5"/>
          <w:lang w:val="bg-BG"/>
        </w:rPr>
        <w:t>О</w:t>
      </w:r>
      <w:r w:rsidR="00AB2B2B">
        <w:rPr>
          <w:rFonts w:cs="Arial"/>
          <w:b/>
          <w:color w:val="000000"/>
          <w:sz w:val="20"/>
          <w:szCs w:val="20"/>
          <w:shd w:val="clear" w:color="auto" w:fill="FFF8E5"/>
          <w:lang w:val="bg-BG"/>
        </w:rPr>
        <w:t>с</w:t>
      </w:r>
      <w:r w:rsidRPr="00BC513A">
        <w:rPr>
          <w:rFonts w:cs="Arial"/>
          <w:b/>
          <w:color w:val="000000"/>
          <w:sz w:val="20"/>
          <w:szCs w:val="20"/>
          <w:shd w:val="clear" w:color="auto" w:fill="FFF8E5"/>
          <w:lang w:val="bg-BG"/>
        </w:rPr>
        <w:t xml:space="preserve"> 4: ЛИДЕР </w:t>
      </w:r>
    </w:p>
    <w:p w14:paraId="5DE6CC85" w14:textId="30BD8054"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Финансирането по ос 4 е намалено с 30,7% в окончателния бюджет спрямо първоначалния Най-голямо намаление на бюджетите се отчита в мярка 421 „Между-териториално и транс-национално сътрудничество“ (93,4%). При мярка 41 „Прилагане на стратегиите за местно развитие“ намалението е с 26,2%, а при мярка 431 „Управление на МИГ, придобиване на умения и постигане на обществена активност на съответната територия“ със сходен процент. Над 74% от всички разходи по оста са насочени към прилагане на стратегиите за местно развитие. В действителност разделението между мерки 411, 412 и 413 е по-малко дефинирано, тъй като ЛИДЕР обикновено финансира многосекторни проекти. Двете доминиращи мерки в ос 4 са 413 и 431, чиито окончателни разходи възлизат съответно на 53,18% и 25,16% от действително извършените разходи. Мярката за сътрудничество 421 отчита най-малки разходи </w:t>
      </w:r>
      <w:r w:rsidR="00D23699">
        <w:rPr>
          <w:sz w:val="22"/>
          <w:szCs w:val="22"/>
          <w:lang w:val="bg-BG"/>
        </w:rPr>
        <w:t>–</w:t>
      </w:r>
      <w:r w:rsidRPr="00BC513A">
        <w:rPr>
          <w:sz w:val="22"/>
          <w:szCs w:val="22"/>
          <w:lang w:val="bg-BG"/>
        </w:rPr>
        <w:t xml:space="preserve"> само 0,58 % от оста, а мярка 412 – 0,96%. Това може да отразява и по-ниския приоритет, който е даден на сътрудничеството и околната среда в рамките на програма ЛИДЕР.</w:t>
      </w:r>
    </w:p>
    <w:p w14:paraId="7A40FDED"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Общият процент на съфинансиране е 80% на ниво ос, който съответства на предварителния. Цялата ос 4 постига 99% действително извършени разходи спрямо окончателния бюджет, като единствено платените разходи по мярка 412 надвишават с малко предвидения окончателен бюджет.</w:t>
      </w:r>
    </w:p>
    <w:p w14:paraId="2A5A77B7" w14:textId="77777777" w:rsidR="00E8617E" w:rsidRPr="00BC513A" w:rsidRDefault="00E8617E" w:rsidP="00E8617E">
      <w:pPr>
        <w:pStyle w:val="DefaultText"/>
        <w:shd w:val="clear" w:color="auto" w:fill="F2F2F2" w:themeFill="background1" w:themeFillShade="F2"/>
        <w:spacing w:after="120" w:line="300" w:lineRule="atLeast"/>
        <w:rPr>
          <w:sz w:val="22"/>
          <w:szCs w:val="22"/>
          <w:lang w:val="bg-BG"/>
        </w:rPr>
      </w:pPr>
      <w:r w:rsidRPr="00BC513A">
        <w:rPr>
          <w:rFonts w:cs="Arial"/>
          <w:b/>
          <w:color w:val="000000"/>
          <w:sz w:val="22"/>
          <w:szCs w:val="22"/>
          <w:shd w:val="clear" w:color="auto" w:fill="F2F2F2" w:themeFill="background1" w:themeFillShade="F2"/>
          <w:lang w:val="bg-BG"/>
        </w:rPr>
        <w:t>Мярка 511 Техническа помощ</w:t>
      </w:r>
    </w:p>
    <w:p w14:paraId="6BAF82D1" w14:textId="77777777"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Бюджетът за Техническа помощ намалява значително (с 68,2%) в окончателния бюджет спрямо предварителния. Действителните разходи достигат до 97,47% от одобрения окончателен бюджет.</w:t>
      </w:r>
    </w:p>
    <w:p w14:paraId="473A75E0" w14:textId="77777777" w:rsidR="00E8617E" w:rsidRPr="00BC513A" w:rsidRDefault="00E8617E" w:rsidP="00E8617E">
      <w:pPr>
        <w:pStyle w:val="DefaultText"/>
        <w:shd w:val="clear" w:color="auto" w:fill="F2F2F2" w:themeFill="background1" w:themeFillShade="F2"/>
        <w:spacing w:after="120" w:line="300" w:lineRule="atLeast"/>
        <w:rPr>
          <w:rFonts w:cs="Arial"/>
          <w:b/>
          <w:color w:val="000000"/>
          <w:sz w:val="22"/>
          <w:szCs w:val="22"/>
          <w:shd w:val="clear" w:color="auto" w:fill="F2F2F2" w:themeFill="background1" w:themeFillShade="F2"/>
          <w:lang w:val="bg-BG"/>
        </w:rPr>
      </w:pPr>
      <w:r w:rsidRPr="00BC513A">
        <w:rPr>
          <w:rFonts w:cs="Arial"/>
          <w:b/>
          <w:color w:val="000000"/>
          <w:sz w:val="22"/>
          <w:szCs w:val="22"/>
          <w:shd w:val="clear" w:color="auto" w:fill="F2F2F2" w:themeFill="background1" w:themeFillShade="F2"/>
          <w:lang w:val="bg-BG"/>
        </w:rPr>
        <w:t>Мярка 611 Доплащания към директните плащания</w:t>
      </w:r>
    </w:p>
    <w:p w14:paraId="28C8E639" w14:textId="5A942CC7" w:rsidR="00E8617E" w:rsidRPr="00BC513A" w:rsidRDefault="00E8617E" w:rsidP="00E8617E">
      <w:pPr>
        <w:pStyle w:val="DefaultText"/>
        <w:spacing w:after="240" w:line="300" w:lineRule="atLeast"/>
        <w:ind w:firstLine="709"/>
        <w:rPr>
          <w:sz w:val="22"/>
          <w:szCs w:val="22"/>
          <w:lang w:val="bg-BG"/>
        </w:rPr>
      </w:pPr>
      <w:r w:rsidRPr="00BC513A">
        <w:rPr>
          <w:sz w:val="22"/>
          <w:szCs w:val="22"/>
          <w:lang w:val="bg-BG"/>
        </w:rPr>
        <w:t>Националните доплащания към директните плащания (НДДП) се финансират както от националния бюджет, така и чрез трансфери от ЕЗФРСР. Окончателният бюджет е намален с 15,2%. Действителните разходи надвишават незначително бюджета, като възлизат на 100,02% от него. Размерът на съфинансиране се запазва на нива от 80%.</w:t>
      </w:r>
    </w:p>
    <w:p w14:paraId="3E34D600" w14:textId="77777777" w:rsidR="00E8617E" w:rsidRPr="00BC513A" w:rsidRDefault="00E8617E" w:rsidP="00E8617E">
      <w:pPr>
        <w:pStyle w:val="Heading3"/>
        <w:numPr>
          <w:ilvl w:val="2"/>
          <w:numId w:val="6"/>
        </w:numPr>
        <w:ind w:left="1560" w:hanging="709"/>
      </w:pPr>
      <w:bookmarkStart w:id="74" w:name="_Toc504136147"/>
      <w:r w:rsidRPr="00BC513A">
        <w:lastRenderedPageBreak/>
        <w:t>Обобщение на финансовото изпълнение на ПРСР 2007-2013</w:t>
      </w:r>
      <w:bookmarkEnd w:id="74"/>
    </w:p>
    <w:p w14:paraId="0C0287CF"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Бюджетът на ПРСР в окончателния си вид е намален с 4,3% от предвидената първоначална стойност на публичните разходи – от 3 241, 938 млн. лв. до </w:t>
      </w:r>
      <w:r w:rsidR="00D23699">
        <w:rPr>
          <w:sz w:val="22"/>
          <w:szCs w:val="22"/>
          <w:lang w:val="bg-BG"/>
        </w:rPr>
        <w:t xml:space="preserve">                           </w:t>
      </w:r>
      <w:r w:rsidRPr="00BC513A">
        <w:rPr>
          <w:sz w:val="22"/>
          <w:szCs w:val="22"/>
          <w:lang w:val="bg-BG"/>
        </w:rPr>
        <w:t>3 102,663 млн. лв. Това довежда и до промяна на националния принос като обща сума. В същото време, средствата от ЕЗФРСР незначително са се увеличили като процент спрямо заложения в началото на периода</w:t>
      </w:r>
      <w:r w:rsidR="00D23699">
        <w:rPr>
          <w:sz w:val="22"/>
          <w:szCs w:val="22"/>
          <w:lang w:val="bg-BG"/>
        </w:rPr>
        <w:t>,</w:t>
      </w:r>
      <w:r w:rsidRPr="00BC513A">
        <w:rPr>
          <w:sz w:val="22"/>
          <w:szCs w:val="22"/>
          <w:lang w:val="bg-BG"/>
        </w:rPr>
        <w:t xml:space="preserve"> достигайки средни нива за програмата от 80,57 в края при заложено равнище от 80,48% в първоначалния бюджет.</w:t>
      </w:r>
    </w:p>
    <w:p w14:paraId="5820C074" w14:textId="13A9B185"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По всички оси се отчитат промени в бюджета и в разпределението на средства по конкретните оси и мерки на </w:t>
      </w:r>
      <w:r w:rsidR="000F57E9">
        <w:rPr>
          <w:sz w:val="22"/>
          <w:szCs w:val="22"/>
          <w:lang w:val="bg-BG"/>
        </w:rPr>
        <w:t>п</w:t>
      </w:r>
      <w:r w:rsidRPr="00BC513A">
        <w:rPr>
          <w:sz w:val="22"/>
          <w:szCs w:val="22"/>
          <w:lang w:val="bg-BG"/>
        </w:rPr>
        <w:t>рограмата. Намалението на средствата по ос 2 са най-незначителни (3,4%), докато по ос 1 и ос 4 средствата са съкратени съответно с 22,8% и 30,7%. Най</w:t>
      </w:r>
      <w:r w:rsidR="00D23699">
        <w:rPr>
          <w:sz w:val="22"/>
          <w:szCs w:val="22"/>
          <w:lang w:val="bg-BG"/>
        </w:rPr>
        <w:t>-</w:t>
      </w:r>
      <w:r w:rsidRPr="00BC513A">
        <w:rPr>
          <w:sz w:val="22"/>
          <w:szCs w:val="22"/>
          <w:lang w:val="bg-BG"/>
        </w:rPr>
        <w:t xml:space="preserve">голямо е намалението на средствата за техническа помощ </w:t>
      </w:r>
      <w:r w:rsidR="00D23699">
        <w:rPr>
          <w:sz w:val="22"/>
          <w:szCs w:val="22"/>
          <w:lang w:val="bg-BG"/>
        </w:rPr>
        <w:t>–</w:t>
      </w:r>
      <w:r w:rsidRPr="00BC513A">
        <w:rPr>
          <w:sz w:val="22"/>
          <w:szCs w:val="22"/>
          <w:lang w:val="bg-BG"/>
        </w:rPr>
        <w:t xml:space="preserve"> с 68,2%. Намалените разходи по оси 1, 2 и 4 с</w:t>
      </w:r>
      <w:r w:rsidR="00D23699">
        <w:rPr>
          <w:sz w:val="22"/>
          <w:szCs w:val="22"/>
          <w:lang w:val="bg-BG"/>
        </w:rPr>
        <w:t>а</w:t>
      </w:r>
      <w:r w:rsidRPr="00BC513A">
        <w:rPr>
          <w:sz w:val="22"/>
          <w:szCs w:val="22"/>
          <w:lang w:val="bg-BG"/>
        </w:rPr>
        <w:t xml:space="preserve"> насочени към ос 3, като тя се превръща и в основен приоритет на </w:t>
      </w:r>
      <w:r w:rsidR="000F57E9">
        <w:rPr>
          <w:sz w:val="22"/>
          <w:szCs w:val="22"/>
          <w:lang w:val="bg-BG"/>
        </w:rPr>
        <w:t>п</w:t>
      </w:r>
      <w:r w:rsidRPr="00BC513A">
        <w:rPr>
          <w:sz w:val="22"/>
          <w:szCs w:val="22"/>
          <w:lang w:val="bg-BG"/>
        </w:rPr>
        <w:t>рограмата.</w:t>
      </w:r>
    </w:p>
    <w:p w14:paraId="7B83FB14"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В рамките на осите на </w:t>
      </w:r>
      <w:r w:rsidR="000F57E9">
        <w:rPr>
          <w:sz w:val="22"/>
          <w:szCs w:val="22"/>
          <w:lang w:val="bg-BG"/>
        </w:rPr>
        <w:t>п</w:t>
      </w:r>
      <w:r w:rsidRPr="00BC513A">
        <w:rPr>
          <w:sz w:val="22"/>
          <w:szCs w:val="22"/>
          <w:lang w:val="bg-BG"/>
        </w:rPr>
        <w:t>рограмата обаче, преразпределението на финансовите ресурси се отразява различно в мерките, поради което редица области първоначално идентифицирани като приоритетни</w:t>
      </w:r>
      <w:r w:rsidR="00D23699">
        <w:rPr>
          <w:sz w:val="22"/>
          <w:szCs w:val="22"/>
          <w:lang w:val="bg-BG"/>
        </w:rPr>
        <w:t>,</w:t>
      </w:r>
      <w:r w:rsidRPr="00BC513A">
        <w:rPr>
          <w:sz w:val="22"/>
          <w:szCs w:val="22"/>
          <w:lang w:val="bg-BG"/>
        </w:rPr>
        <w:t xml:space="preserve"> например обучение (мярка 111), подобряване на икономическата стойност на горите (мярка 122), създаване на организации на производители (мярка 142)</w:t>
      </w:r>
      <w:r w:rsidR="00D23699">
        <w:rPr>
          <w:sz w:val="22"/>
          <w:szCs w:val="22"/>
          <w:lang w:val="bg-BG"/>
        </w:rPr>
        <w:t>,</w:t>
      </w:r>
      <w:r w:rsidRPr="00BC513A">
        <w:rPr>
          <w:sz w:val="22"/>
          <w:szCs w:val="22"/>
          <w:lang w:val="bg-BG"/>
        </w:rPr>
        <w:t xml:space="preserve"> претърпяват значително съкращения на предварително планираните разходи, достигащи до над 90% от първоначалния бюджет. За разлика от тях, две от мерките</w:t>
      </w:r>
      <w:r w:rsidR="00D23699">
        <w:rPr>
          <w:sz w:val="22"/>
          <w:szCs w:val="22"/>
          <w:lang w:val="bg-BG"/>
        </w:rPr>
        <w:t>,</w:t>
      </w:r>
      <w:r w:rsidRPr="00BC513A">
        <w:rPr>
          <w:sz w:val="22"/>
          <w:szCs w:val="22"/>
          <w:lang w:val="bg-BG"/>
        </w:rPr>
        <w:t xml:space="preserve"> свързани с изграждане на публична инфраструктура (мярка 321 и мярка 322)</w:t>
      </w:r>
      <w:r w:rsidR="00D23699">
        <w:rPr>
          <w:sz w:val="22"/>
          <w:szCs w:val="22"/>
          <w:lang w:val="bg-BG"/>
        </w:rPr>
        <w:t>,</w:t>
      </w:r>
      <w:r w:rsidRPr="00BC513A">
        <w:rPr>
          <w:sz w:val="22"/>
          <w:szCs w:val="22"/>
          <w:lang w:val="bg-BG"/>
        </w:rPr>
        <w:t xml:space="preserve"> увеличават значително предварителния си бюджет.</w:t>
      </w:r>
    </w:p>
    <w:p w14:paraId="11441F69" w14:textId="77777777" w:rsidR="00E8617E" w:rsidRPr="00BC513A" w:rsidRDefault="00E8617E" w:rsidP="00E8617E">
      <w:pPr>
        <w:pStyle w:val="DefaultText"/>
        <w:rPr>
          <w:lang w:val="bg-BG"/>
        </w:rPr>
      </w:pPr>
    </w:p>
    <w:p w14:paraId="7D75BD68" w14:textId="77777777" w:rsidR="00E8617E" w:rsidRPr="00BC513A" w:rsidRDefault="00E8617E" w:rsidP="00E8617E">
      <w:pPr>
        <w:pStyle w:val="DefaultText"/>
        <w:rPr>
          <w:lang w:val="bg-BG"/>
        </w:rPr>
      </w:pPr>
    </w:p>
    <w:p w14:paraId="28F03CD0" w14:textId="77777777" w:rsidR="00E8617E" w:rsidRPr="00BC513A" w:rsidRDefault="00E8617E" w:rsidP="00E8617E">
      <w:pPr>
        <w:pStyle w:val="DefaultText"/>
        <w:rPr>
          <w:lang w:val="bg-BG"/>
        </w:rPr>
        <w:sectPr w:rsidR="00E8617E" w:rsidRPr="00BC513A" w:rsidSect="00922731">
          <w:footerReference w:type="default" r:id="rId34"/>
          <w:pgSz w:w="11906" w:h="16838" w:code="9"/>
          <w:pgMar w:top="1418" w:right="1418" w:bottom="1418" w:left="1418" w:header="709" w:footer="709" w:gutter="0"/>
          <w:cols w:space="708"/>
          <w:docGrid w:linePitch="360"/>
        </w:sectPr>
      </w:pPr>
    </w:p>
    <w:p w14:paraId="2359BF1F" w14:textId="77777777" w:rsidR="00E8617E" w:rsidRPr="00BC513A" w:rsidRDefault="00E8617E" w:rsidP="00E8617E">
      <w:pPr>
        <w:pStyle w:val="Heading1"/>
        <w:numPr>
          <w:ilvl w:val="0"/>
          <w:numId w:val="0"/>
        </w:numPr>
        <w:spacing w:after="480"/>
        <w:rPr>
          <w:lang w:val="bg-BG"/>
        </w:rPr>
      </w:pPr>
      <w:bookmarkStart w:id="75" w:name="_Toc504136148"/>
      <w:r w:rsidRPr="00BC513A">
        <w:rPr>
          <w:lang w:val="bg-BG"/>
        </w:rPr>
        <w:lastRenderedPageBreak/>
        <w:t>Раздел V.</w:t>
      </w:r>
      <w:r w:rsidRPr="00BC513A">
        <w:rPr>
          <w:lang w:val="bg-BG"/>
        </w:rPr>
        <w:tab/>
        <w:t>Отговори на въпросите за оценка</w:t>
      </w:r>
      <w:bookmarkEnd w:id="75"/>
      <w:r w:rsidRPr="00BC513A">
        <w:rPr>
          <w:lang w:val="bg-BG"/>
        </w:rPr>
        <w:t xml:space="preserve"> </w:t>
      </w:r>
    </w:p>
    <w:p w14:paraId="4505CDA5" w14:textId="77777777" w:rsidR="00E8617E" w:rsidRPr="00BC513A" w:rsidRDefault="00E8617E" w:rsidP="00E8617E">
      <w:pPr>
        <w:pStyle w:val="Heading2"/>
        <w:numPr>
          <w:ilvl w:val="1"/>
          <w:numId w:val="7"/>
        </w:numPr>
        <w:ind w:left="1560" w:hanging="426"/>
      </w:pPr>
      <w:bookmarkStart w:id="76" w:name="_Toc504136149"/>
      <w:r w:rsidRPr="00BC513A">
        <w:t>Постигане на целевите стойности на индикаторите</w:t>
      </w:r>
      <w:bookmarkEnd w:id="76"/>
    </w:p>
    <w:p w14:paraId="0AAF146D"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Съгласно техническата спецификация на Възложителя настоящата оценка трябва да разгледа постигането на целевите стойности на определен набор от индикатори за резултат по съответните оси, както и общи индикатори за въздействие. Постигането на целевите стойности е разгледано по-долу.</w:t>
      </w:r>
    </w:p>
    <w:p w14:paraId="79AF5922" w14:textId="77777777" w:rsidR="00E8617E" w:rsidRPr="00BC513A" w:rsidRDefault="00E8617E" w:rsidP="00E8617E">
      <w:pPr>
        <w:pStyle w:val="Heading3"/>
        <w:numPr>
          <w:ilvl w:val="0"/>
          <w:numId w:val="0"/>
        </w:numPr>
        <w:tabs>
          <w:tab w:val="left" w:pos="709"/>
        </w:tabs>
        <w:ind w:left="709"/>
      </w:pPr>
      <w:bookmarkStart w:id="77" w:name="_Toc504136150"/>
      <w:r w:rsidRPr="00BC513A">
        <w:t>Ос 1: Подобряване на конкурентоспособността на земеделския и горския сектор</w:t>
      </w:r>
      <w:bookmarkEnd w:id="77"/>
      <w:r w:rsidRPr="00BC513A">
        <w:t xml:space="preserve"> </w:t>
      </w:r>
    </w:p>
    <w:p w14:paraId="56FB6EC0"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78" w:name="_Toc504136191"/>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19</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Индикатори за резултат ос 1</w:t>
      </w:r>
      <w:bookmarkEnd w:id="78"/>
    </w:p>
    <w:tbl>
      <w:tblPr>
        <w:tblStyle w:val="TableGrid"/>
        <w:tblW w:w="9288" w:type="dxa"/>
        <w:tblBorders>
          <w:top w:val="single" w:sz="4" w:space="0" w:color="C45911" w:themeColor="accent2" w:themeShade="BF"/>
          <w:left w:val="single" w:sz="4" w:space="0" w:color="C45911" w:themeColor="accent2" w:themeShade="BF"/>
          <w:bottom w:val="single" w:sz="4" w:space="0" w:color="C45911" w:themeColor="accent2" w:themeShade="BF"/>
          <w:right w:val="single" w:sz="4" w:space="0" w:color="C45911" w:themeColor="accent2" w:themeShade="BF"/>
          <w:insideH w:val="single" w:sz="4" w:space="0" w:color="C45911" w:themeColor="accent2" w:themeShade="BF"/>
          <w:insideV w:val="single" w:sz="4" w:space="0" w:color="C45911" w:themeColor="accent2" w:themeShade="BF"/>
        </w:tblBorders>
        <w:tblLayout w:type="fixed"/>
        <w:tblLook w:val="04A0" w:firstRow="1" w:lastRow="0" w:firstColumn="1" w:lastColumn="0" w:noHBand="0" w:noVBand="1"/>
      </w:tblPr>
      <w:tblGrid>
        <w:gridCol w:w="469"/>
        <w:gridCol w:w="3354"/>
        <w:gridCol w:w="1134"/>
        <w:gridCol w:w="1275"/>
        <w:gridCol w:w="1560"/>
        <w:gridCol w:w="1496"/>
      </w:tblGrid>
      <w:tr w:rsidR="00E8617E" w:rsidRPr="00BC1A5E" w14:paraId="446EA1FB" w14:textId="77777777" w:rsidTr="00BC1A5E">
        <w:tc>
          <w:tcPr>
            <w:tcW w:w="469" w:type="dxa"/>
            <w:shd w:val="clear" w:color="auto" w:fill="FBE4D5" w:themeFill="accent2" w:themeFillTint="33"/>
          </w:tcPr>
          <w:p w14:paraId="06D4B044" w14:textId="77777777" w:rsidR="00E8617E" w:rsidRPr="00BC1A5E" w:rsidRDefault="00E8617E" w:rsidP="00922731">
            <w:pPr>
              <w:pStyle w:val="DefaultText"/>
              <w:rPr>
                <w:b/>
                <w:sz w:val="20"/>
                <w:szCs w:val="20"/>
                <w:lang w:val="bg-BG"/>
              </w:rPr>
            </w:pPr>
            <w:r w:rsidRPr="00BC1A5E">
              <w:rPr>
                <w:b/>
                <w:sz w:val="20"/>
                <w:szCs w:val="20"/>
                <w:lang w:val="bg-BG"/>
              </w:rPr>
              <w:t>№</w:t>
            </w:r>
          </w:p>
        </w:tc>
        <w:tc>
          <w:tcPr>
            <w:tcW w:w="3354" w:type="dxa"/>
            <w:shd w:val="clear" w:color="auto" w:fill="FBE4D5" w:themeFill="accent2" w:themeFillTint="33"/>
          </w:tcPr>
          <w:p w14:paraId="287AE57D" w14:textId="77777777" w:rsidR="00E8617E" w:rsidRPr="00BC1A5E" w:rsidRDefault="00E8617E" w:rsidP="00922731">
            <w:pPr>
              <w:pStyle w:val="DefaultText"/>
              <w:rPr>
                <w:b/>
                <w:sz w:val="20"/>
                <w:szCs w:val="20"/>
                <w:lang w:val="bg-BG"/>
              </w:rPr>
            </w:pPr>
            <w:r w:rsidRPr="00BC1A5E">
              <w:rPr>
                <w:b/>
                <w:sz w:val="20"/>
                <w:szCs w:val="20"/>
                <w:lang w:val="bg-BG"/>
              </w:rPr>
              <w:t>Индикатор</w:t>
            </w:r>
          </w:p>
        </w:tc>
        <w:tc>
          <w:tcPr>
            <w:tcW w:w="1134" w:type="dxa"/>
            <w:shd w:val="clear" w:color="auto" w:fill="FBE4D5" w:themeFill="accent2" w:themeFillTint="33"/>
          </w:tcPr>
          <w:p w14:paraId="0DC2BC83" w14:textId="77777777" w:rsidR="00E8617E" w:rsidRPr="00BC1A5E" w:rsidRDefault="00E8617E" w:rsidP="00922731">
            <w:pPr>
              <w:pStyle w:val="DefaultText"/>
              <w:jc w:val="center"/>
              <w:rPr>
                <w:b/>
                <w:sz w:val="20"/>
                <w:szCs w:val="20"/>
                <w:lang w:val="bg-BG"/>
              </w:rPr>
            </w:pPr>
            <w:r w:rsidRPr="00BC1A5E">
              <w:rPr>
                <w:b/>
                <w:sz w:val="20"/>
                <w:szCs w:val="20"/>
                <w:lang w:val="bg-BG"/>
              </w:rPr>
              <w:t>Мерна единица</w:t>
            </w:r>
          </w:p>
        </w:tc>
        <w:tc>
          <w:tcPr>
            <w:tcW w:w="1275" w:type="dxa"/>
            <w:shd w:val="clear" w:color="auto" w:fill="FBE4D5" w:themeFill="accent2" w:themeFillTint="33"/>
          </w:tcPr>
          <w:p w14:paraId="02C6A7BD" w14:textId="77777777" w:rsidR="00E8617E" w:rsidRPr="00BC1A5E" w:rsidRDefault="00E8617E" w:rsidP="00922731">
            <w:pPr>
              <w:pStyle w:val="DefaultText"/>
              <w:jc w:val="center"/>
              <w:rPr>
                <w:b/>
                <w:sz w:val="20"/>
                <w:szCs w:val="20"/>
                <w:lang w:val="bg-BG"/>
              </w:rPr>
            </w:pPr>
            <w:r w:rsidRPr="00BC1A5E">
              <w:rPr>
                <w:b/>
                <w:sz w:val="20"/>
                <w:szCs w:val="20"/>
                <w:lang w:val="bg-BG"/>
              </w:rPr>
              <w:t>Целева стойност</w:t>
            </w:r>
          </w:p>
        </w:tc>
        <w:tc>
          <w:tcPr>
            <w:tcW w:w="1560" w:type="dxa"/>
            <w:shd w:val="clear" w:color="auto" w:fill="FBE4D5" w:themeFill="accent2" w:themeFillTint="33"/>
          </w:tcPr>
          <w:p w14:paraId="1A1DAF57" w14:textId="77777777" w:rsidR="00E8617E" w:rsidRPr="00BC1A5E" w:rsidRDefault="00E8617E" w:rsidP="00922731">
            <w:pPr>
              <w:pStyle w:val="DefaultText"/>
              <w:jc w:val="center"/>
              <w:rPr>
                <w:b/>
                <w:sz w:val="20"/>
                <w:szCs w:val="20"/>
                <w:lang w:val="bg-BG"/>
              </w:rPr>
            </w:pPr>
            <w:r w:rsidRPr="00BC1A5E">
              <w:rPr>
                <w:b/>
                <w:sz w:val="20"/>
                <w:szCs w:val="20"/>
                <w:lang w:val="bg-BG"/>
              </w:rPr>
              <w:t>Постигната стойност</w:t>
            </w:r>
          </w:p>
        </w:tc>
        <w:tc>
          <w:tcPr>
            <w:tcW w:w="1496" w:type="dxa"/>
            <w:shd w:val="clear" w:color="auto" w:fill="FBE4D5" w:themeFill="accent2" w:themeFillTint="33"/>
          </w:tcPr>
          <w:p w14:paraId="7FDC607D" w14:textId="77777777" w:rsidR="00E8617E" w:rsidRPr="00BC1A5E" w:rsidRDefault="00E8617E" w:rsidP="00922731">
            <w:pPr>
              <w:pStyle w:val="DefaultText"/>
              <w:jc w:val="center"/>
              <w:rPr>
                <w:b/>
                <w:sz w:val="20"/>
                <w:szCs w:val="20"/>
                <w:lang w:val="bg-BG"/>
              </w:rPr>
            </w:pPr>
            <w:r w:rsidRPr="00BC1A5E">
              <w:rPr>
                <w:b/>
                <w:sz w:val="20"/>
                <w:szCs w:val="20"/>
                <w:lang w:val="bg-BG"/>
              </w:rPr>
              <w:t>% на изпълнение</w:t>
            </w:r>
          </w:p>
        </w:tc>
      </w:tr>
      <w:tr w:rsidR="00E8617E" w:rsidRPr="00BC513A" w14:paraId="372DCB2F" w14:textId="77777777" w:rsidTr="00BC1A5E">
        <w:tc>
          <w:tcPr>
            <w:tcW w:w="469" w:type="dxa"/>
          </w:tcPr>
          <w:p w14:paraId="6348FCB6" w14:textId="77777777" w:rsidR="00E8617E" w:rsidRPr="00BC513A" w:rsidRDefault="00E8617E" w:rsidP="00922731">
            <w:pPr>
              <w:pStyle w:val="DefaultText"/>
              <w:rPr>
                <w:rFonts w:cs="Arial"/>
                <w:sz w:val="20"/>
                <w:szCs w:val="20"/>
                <w:lang w:val="bg-BG"/>
              </w:rPr>
            </w:pPr>
            <w:r w:rsidRPr="00BC513A">
              <w:rPr>
                <w:rFonts w:cs="Arial"/>
                <w:sz w:val="20"/>
                <w:szCs w:val="20"/>
                <w:lang w:val="bg-BG"/>
              </w:rPr>
              <w:t>1</w:t>
            </w:r>
          </w:p>
        </w:tc>
        <w:tc>
          <w:tcPr>
            <w:tcW w:w="3354" w:type="dxa"/>
            <w:vAlign w:val="center"/>
          </w:tcPr>
          <w:p w14:paraId="0213CCDB" w14:textId="77777777" w:rsidR="00E8617E" w:rsidRPr="00BC513A" w:rsidRDefault="00E8617E" w:rsidP="00BC1A5E">
            <w:pPr>
              <w:rPr>
                <w:rFonts w:ascii="Arial" w:hAnsi="Arial" w:cs="Arial"/>
                <w:sz w:val="20"/>
                <w:szCs w:val="20"/>
                <w:lang w:eastAsia="de-DE"/>
              </w:rPr>
            </w:pPr>
            <w:r w:rsidRPr="00BC513A">
              <w:rPr>
                <w:rFonts w:ascii="Arial" w:hAnsi="Arial" w:cs="Arial"/>
                <w:sz w:val="20"/>
                <w:szCs w:val="20"/>
                <w:lang w:eastAsia="de-DE"/>
              </w:rPr>
              <w:t>Брой участници</w:t>
            </w:r>
            <w:r w:rsidR="00D23699">
              <w:rPr>
                <w:rFonts w:ascii="Arial" w:hAnsi="Arial" w:cs="Arial"/>
                <w:sz w:val="20"/>
                <w:szCs w:val="20"/>
                <w:lang w:eastAsia="de-DE"/>
              </w:rPr>
              <w:t>,</w:t>
            </w:r>
            <w:r w:rsidRPr="00BC513A">
              <w:rPr>
                <w:rFonts w:ascii="Arial" w:hAnsi="Arial" w:cs="Arial"/>
                <w:sz w:val="20"/>
                <w:szCs w:val="20"/>
                <w:lang w:eastAsia="de-DE"/>
              </w:rPr>
              <w:t xml:space="preserve"> успешно завършили обучение, свързано със селското стопанство и / или горското стопанство</w:t>
            </w:r>
          </w:p>
        </w:tc>
        <w:tc>
          <w:tcPr>
            <w:tcW w:w="1134" w:type="dxa"/>
            <w:vAlign w:val="center"/>
          </w:tcPr>
          <w:p w14:paraId="4CA68EE7" w14:textId="77777777" w:rsidR="00E8617E" w:rsidRPr="00BC513A" w:rsidRDefault="00E8617E" w:rsidP="00922731">
            <w:pPr>
              <w:pStyle w:val="DefaultText"/>
              <w:jc w:val="center"/>
              <w:rPr>
                <w:rFonts w:cs="Arial"/>
                <w:b/>
                <w:sz w:val="20"/>
                <w:szCs w:val="20"/>
                <w:lang w:val="bg-BG"/>
              </w:rPr>
            </w:pPr>
            <w:r w:rsidRPr="00BC513A">
              <w:rPr>
                <w:rFonts w:cs="Arial"/>
                <w:sz w:val="20"/>
                <w:szCs w:val="20"/>
                <w:lang w:val="bg-BG"/>
              </w:rPr>
              <w:t>брой</w:t>
            </w:r>
          </w:p>
        </w:tc>
        <w:tc>
          <w:tcPr>
            <w:tcW w:w="1275" w:type="dxa"/>
            <w:vAlign w:val="center"/>
          </w:tcPr>
          <w:p w14:paraId="2CC5073E" w14:textId="77777777" w:rsidR="00E8617E" w:rsidRPr="00BC513A" w:rsidRDefault="00E8617E" w:rsidP="00046AF8">
            <w:pPr>
              <w:pStyle w:val="DefaultText"/>
              <w:jc w:val="right"/>
              <w:rPr>
                <w:rFonts w:cs="Arial"/>
                <w:b/>
                <w:sz w:val="20"/>
                <w:szCs w:val="20"/>
                <w:lang w:val="bg-BG"/>
              </w:rPr>
            </w:pPr>
            <w:r w:rsidRPr="00BC513A">
              <w:rPr>
                <w:rFonts w:cs="Arial"/>
                <w:sz w:val="20"/>
                <w:szCs w:val="20"/>
                <w:lang w:val="bg-BG"/>
              </w:rPr>
              <w:t>13 950</w:t>
            </w:r>
          </w:p>
        </w:tc>
        <w:tc>
          <w:tcPr>
            <w:tcW w:w="1560" w:type="dxa"/>
            <w:vAlign w:val="center"/>
          </w:tcPr>
          <w:p w14:paraId="1DB39F68" w14:textId="77777777" w:rsidR="00E8617E" w:rsidRPr="00BC513A" w:rsidRDefault="00E8617E" w:rsidP="00046AF8">
            <w:pPr>
              <w:pStyle w:val="DefaultText"/>
              <w:jc w:val="right"/>
              <w:rPr>
                <w:rFonts w:cs="Arial"/>
                <w:b/>
                <w:sz w:val="20"/>
                <w:szCs w:val="20"/>
                <w:lang w:val="bg-BG"/>
              </w:rPr>
            </w:pPr>
            <w:r w:rsidRPr="00BC513A">
              <w:rPr>
                <w:rFonts w:cs="Arial"/>
                <w:sz w:val="20"/>
                <w:szCs w:val="20"/>
                <w:lang w:val="bg-BG"/>
              </w:rPr>
              <w:t>40 062</w:t>
            </w:r>
          </w:p>
        </w:tc>
        <w:tc>
          <w:tcPr>
            <w:tcW w:w="1496" w:type="dxa"/>
            <w:vAlign w:val="center"/>
          </w:tcPr>
          <w:p w14:paraId="0EF71002" w14:textId="77777777" w:rsidR="00E8617E" w:rsidRPr="00BC513A" w:rsidRDefault="00E8617E" w:rsidP="00922731">
            <w:pPr>
              <w:pStyle w:val="DefaultText"/>
              <w:jc w:val="center"/>
              <w:rPr>
                <w:rFonts w:cs="Arial"/>
                <w:b/>
                <w:sz w:val="20"/>
                <w:szCs w:val="20"/>
                <w:lang w:val="bg-BG"/>
              </w:rPr>
            </w:pPr>
            <w:r w:rsidRPr="00BC513A">
              <w:rPr>
                <w:rFonts w:cs="Arial"/>
                <w:sz w:val="20"/>
                <w:szCs w:val="20"/>
                <w:lang w:val="bg-BG"/>
              </w:rPr>
              <w:t>287%</w:t>
            </w:r>
          </w:p>
        </w:tc>
      </w:tr>
      <w:tr w:rsidR="00E8617E" w:rsidRPr="00BC513A" w14:paraId="5D660AC3" w14:textId="77777777" w:rsidTr="00BC1A5E">
        <w:tc>
          <w:tcPr>
            <w:tcW w:w="469" w:type="dxa"/>
          </w:tcPr>
          <w:p w14:paraId="72D89539" w14:textId="77777777" w:rsidR="00E8617E" w:rsidRPr="00BC513A" w:rsidRDefault="00E8617E" w:rsidP="00922731">
            <w:pPr>
              <w:pStyle w:val="DefaultText"/>
              <w:rPr>
                <w:rFonts w:cs="Arial"/>
                <w:sz w:val="20"/>
                <w:szCs w:val="20"/>
                <w:lang w:val="bg-BG"/>
              </w:rPr>
            </w:pPr>
            <w:r w:rsidRPr="00BC513A">
              <w:rPr>
                <w:rFonts w:cs="Arial"/>
                <w:sz w:val="20"/>
                <w:szCs w:val="20"/>
                <w:lang w:val="bg-BG"/>
              </w:rPr>
              <w:t>2</w:t>
            </w:r>
          </w:p>
        </w:tc>
        <w:tc>
          <w:tcPr>
            <w:tcW w:w="3354" w:type="dxa"/>
            <w:vAlign w:val="center"/>
          </w:tcPr>
          <w:p w14:paraId="79E1B306" w14:textId="77777777" w:rsidR="00E8617E" w:rsidRPr="00BC513A" w:rsidRDefault="00E8617E" w:rsidP="00BC1A5E">
            <w:pPr>
              <w:rPr>
                <w:rFonts w:ascii="Arial" w:hAnsi="Arial" w:cs="Arial"/>
                <w:sz w:val="20"/>
                <w:szCs w:val="20"/>
                <w:lang w:eastAsia="de-DE"/>
              </w:rPr>
            </w:pPr>
            <w:r w:rsidRPr="00BC513A">
              <w:rPr>
                <w:rFonts w:ascii="Arial" w:hAnsi="Arial" w:cs="Arial"/>
                <w:sz w:val="20"/>
                <w:szCs w:val="20"/>
                <w:lang w:eastAsia="de-DE"/>
              </w:rPr>
              <w:t>Увеличение на брутната добавена стойност в подпомогнатите стопанства/предприятия</w:t>
            </w:r>
          </w:p>
        </w:tc>
        <w:tc>
          <w:tcPr>
            <w:tcW w:w="1134" w:type="dxa"/>
            <w:vAlign w:val="center"/>
          </w:tcPr>
          <w:p w14:paraId="629DEF2E" w14:textId="77777777" w:rsidR="00E8617E" w:rsidRPr="00BC513A" w:rsidRDefault="00E8617E" w:rsidP="00922731">
            <w:pPr>
              <w:pStyle w:val="DefaultText"/>
              <w:jc w:val="center"/>
              <w:rPr>
                <w:rFonts w:cs="Arial"/>
                <w:b/>
                <w:sz w:val="20"/>
                <w:szCs w:val="20"/>
                <w:lang w:val="bg-BG"/>
              </w:rPr>
            </w:pPr>
            <w:r w:rsidRPr="00BC513A">
              <w:rPr>
                <w:rFonts w:cs="Arial"/>
                <w:sz w:val="20"/>
                <w:szCs w:val="20"/>
                <w:lang w:val="bg-BG"/>
              </w:rPr>
              <w:t>млн. евро</w:t>
            </w:r>
          </w:p>
        </w:tc>
        <w:tc>
          <w:tcPr>
            <w:tcW w:w="1275" w:type="dxa"/>
            <w:vAlign w:val="center"/>
          </w:tcPr>
          <w:p w14:paraId="5FED973E" w14:textId="77777777" w:rsidR="00E8617E" w:rsidRPr="00BC513A" w:rsidRDefault="00E8617E" w:rsidP="00046AF8">
            <w:pPr>
              <w:pStyle w:val="DefaultText"/>
              <w:jc w:val="right"/>
              <w:rPr>
                <w:rFonts w:cs="Arial"/>
                <w:b/>
                <w:sz w:val="20"/>
                <w:szCs w:val="20"/>
                <w:lang w:val="bg-BG"/>
              </w:rPr>
            </w:pPr>
            <w:r w:rsidRPr="00BC513A">
              <w:rPr>
                <w:rFonts w:cs="Arial"/>
                <w:sz w:val="20"/>
                <w:szCs w:val="20"/>
                <w:lang w:val="bg-BG"/>
              </w:rPr>
              <w:t>17,4</w:t>
            </w:r>
          </w:p>
        </w:tc>
        <w:tc>
          <w:tcPr>
            <w:tcW w:w="1560" w:type="dxa"/>
            <w:vAlign w:val="center"/>
          </w:tcPr>
          <w:p w14:paraId="38D01611" w14:textId="77777777" w:rsidR="00E8617E" w:rsidRPr="00BC513A" w:rsidRDefault="00E8617E" w:rsidP="00046AF8">
            <w:pPr>
              <w:pStyle w:val="DefaultText"/>
              <w:jc w:val="right"/>
              <w:rPr>
                <w:rFonts w:cs="Arial"/>
                <w:b/>
                <w:sz w:val="20"/>
                <w:szCs w:val="20"/>
                <w:lang w:val="bg-BG"/>
              </w:rPr>
            </w:pPr>
            <w:r w:rsidRPr="00BC513A">
              <w:rPr>
                <w:rFonts w:cs="Arial"/>
                <w:sz w:val="20"/>
                <w:szCs w:val="20"/>
                <w:lang w:val="bg-BG"/>
              </w:rPr>
              <w:t>32,8</w:t>
            </w:r>
          </w:p>
        </w:tc>
        <w:tc>
          <w:tcPr>
            <w:tcW w:w="1496" w:type="dxa"/>
            <w:vAlign w:val="center"/>
          </w:tcPr>
          <w:p w14:paraId="21EB5D46" w14:textId="77777777" w:rsidR="00E8617E" w:rsidRPr="00BC513A" w:rsidRDefault="00E8617E" w:rsidP="00922731">
            <w:pPr>
              <w:pStyle w:val="DefaultText"/>
              <w:jc w:val="center"/>
              <w:rPr>
                <w:rFonts w:cs="Arial"/>
                <w:b/>
                <w:sz w:val="20"/>
                <w:szCs w:val="20"/>
                <w:lang w:val="bg-BG"/>
              </w:rPr>
            </w:pPr>
            <w:r w:rsidRPr="00BC513A">
              <w:rPr>
                <w:rFonts w:cs="Arial"/>
                <w:sz w:val="20"/>
                <w:szCs w:val="20"/>
                <w:lang w:val="bg-BG"/>
              </w:rPr>
              <w:t>189%</w:t>
            </w:r>
          </w:p>
        </w:tc>
      </w:tr>
      <w:tr w:rsidR="00E8617E" w:rsidRPr="00BC513A" w14:paraId="10334123" w14:textId="77777777" w:rsidTr="00BC1A5E">
        <w:tc>
          <w:tcPr>
            <w:tcW w:w="469" w:type="dxa"/>
          </w:tcPr>
          <w:p w14:paraId="2EB7CDDB" w14:textId="77777777" w:rsidR="00E8617E" w:rsidRPr="00BC513A" w:rsidRDefault="00E8617E" w:rsidP="00922731">
            <w:pPr>
              <w:pStyle w:val="DefaultText"/>
              <w:rPr>
                <w:rFonts w:cs="Arial"/>
                <w:sz w:val="20"/>
                <w:szCs w:val="20"/>
                <w:lang w:val="bg-BG"/>
              </w:rPr>
            </w:pPr>
            <w:r w:rsidRPr="00BC513A">
              <w:rPr>
                <w:rFonts w:cs="Arial"/>
                <w:sz w:val="20"/>
                <w:szCs w:val="20"/>
                <w:lang w:val="bg-BG"/>
              </w:rPr>
              <w:t>3</w:t>
            </w:r>
          </w:p>
        </w:tc>
        <w:tc>
          <w:tcPr>
            <w:tcW w:w="3354" w:type="dxa"/>
            <w:vAlign w:val="center"/>
          </w:tcPr>
          <w:p w14:paraId="5C611D6E" w14:textId="77777777" w:rsidR="00E8617E" w:rsidRPr="00BC513A" w:rsidRDefault="00E8617E" w:rsidP="00BC1A5E">
            <w:pPr>
              <w:rPr>
                <w:rFonts w:ascii="Arial" w:hAnsi="Arial" w:cs="Arial"/>
                <w:sz w:val="20"/>
                <w:szCs w:val="20"/>
                <w:lang w:eastAsia="de-DE"/>
              </w:rPr>
            </w:pPr>
            <w:r w:rsidRPr="00BC513A">
              <w:rPr>
                <w:rFonts w:ascii="Arial" w:hAnsi="Arial" w:cs="Arial"/>
                <w:sz w:val="20"/>
                <w:szCs w:val="20"/>
                <w:lang w:eastAsia="de-DE"/>
              </w:rPr>
              <w:t>Брой стопанства/предприятия въвели нови продукти и/или нови технологии</w:t>
            </w:r>
          </w:p>
        </w:tc>
        <w:tc>
          <w:tcPr>
            <w:tcW w:w="1134" w:type="dxa"/>
            <w:vAlign w:val="center"/>
          </w:tcPr>
          <w:p w14:paraId="14B2DAC2" w14:textId="77777777" w:rsidR="00E8617E" w:rsidRPr="00BC513A" w:rsidRDefault="00E8617E" w:rsidP="00922731">
            <w:pPr>
              <w:pStyle w:val="DefaultText"/>
              <w:jc w:val="center"/>
              <w:rPr>
                <w:rFonts w:cs="Arial"/>
                <w:b/>
                <w:sz w:val="20"/>
                <w:szCs w:val="20"/>
                <w:lang w:val="bg-BG"/>
              </w:rPr>
            </w:pPr>
            <w:r w:rsidRPr="00BC513A">
              <w:rPr>
                <w:rFonts w:cs="Arial"/>
                <w:sz w:val="20"/>
                <w:szCs w:val="20"/>
                <w:lang w:val="bg-BG"/>
              </w:rPr>
              <w:t>брой</w:t>
            </w:r>
          </w:p>
        </w:tc>
        <w:tc>
          <w:tcPr>
            <w:tcW w:w="1275" w:type="dxa"/>
            <w:vAlign w:val="center"/>
          </w:tcPr>
          <w:p w14:paraId="2C7EF721" w14:textId="77777777" w:rsidR="00E8617E" w:rsidRPr="00BC513A" w:rsidRDefault="00E8617E" w:rsidP="00046AF8">
            <w:pPr>
              <w:pStyle w:val="DefaultText"/>
              <w:jc w:val="right"/>
              <w:rPr>
                <w:rFonts w:cs="Arial"/>
                <w:b/>
                <w:sz w:val="20"/>
                <w:szCs w:val="20"/>
                <w:lang w:val="bg-BG"/>
              </w:rPr>
            </w:pPr>
            <w:r w:rsidRPr="00BC513A">
              <w:rPr>
                <w:rFonts w:cs="Arial"/>
                <w:sz w:val="20"/>
                <w:szCs w:val="20"/>
                <w:lang w:val="bg-BG"/>
              </w:rPr>
              <w:t>4 180</w:t>
            </w:r>
          </w:p>
        </w:tc>
        <w:tc>
          <w:tcPr>
            <w:tcW w:w="1560" w:type="dxa"/>
            <w:vAlign w:val="center"/>
          </w:tcPr>
          <w:p w14:paraId="1DDB7EBD" w14:textId="77777777" w:rsidR="00E8617E" w:rsidRPr="00BC513A" w:rsidRDefault="00E8617E" w:rsidP="00046AF8">
            <w:pPr>
              <w:pStyle w:val="DefaultText"/>
              <w:jc w:val="right"/>
              <w:rPr>
                <w:rFonts w:cs="Arial"/>
                <w:b/>
                <w:sz w:val="20"/>
                <w:szCs w:val="20"/>
                <w:lang w:val="bg-BG"/>
              </w:rPr>
            </w:pPr>
            <w:r w:rsidRPr="00BC513A">
              <w:rPr>
                <w:rFonts w:cs="Arial"/>
                <w:sz w:val="20"/>
                <w:szCs w:val="20"/>
                <w:lang w:val="bg-BG"/>
              </w:rPr>
              <w:t>1497</w:t>
            </w:r>
          </w:p>
        </w:tc>
        <w:tc>
          <w:tcPr>
            <w:tcW w:w="1496" w:type="dxa"/>
            <w:vAlign w:val="center"/>
          </w:tcPr>
          <w:p w14:paraId="0899D2A9" w14:textId="77777777" w:rsidR="00E8617E" w:rsidRPr="00BC513A" w:rsidRDefault="00E8617E" w:rsidP="00922731">
            <w:pPr>
              <w:pStyle w:val="DefaultText"/>
              <w:jc w:val="center"/>
              <w:rPr>
                <w:rFonts w:cs="Arial"/>
                <w:b/>
                <w:sz w:val="20"/>
                <w:szCs w:val="20"/>
                <w:lang w:val="bg-BG"/>
              </w:rPr>
            </w:pPr>
            <w:r w:rsidRPr="00BC513A">
              <w:rPr>
                <w:rFonts w:cs="Arial"/>
                <w:sz w:val="20"/>
                <w:szCs w:val="20"/>
                <w:lang w:val="bg-BG"/>
              </w:rPr>
              <w:t>36%</w:t>
            </w:r>
          </w:p>
        </w:tc>
      </w:tr>
      <w:tr w:rsidR="00E8617E" w:rsidRPr="00BC513A" w14:paraId="03326245" w14:textId="77777777" w:rsidTr="00BC1A5E">
        <w:tc>
          <w:tcPr>
            <w:tcW w:w="469" w:type="dxa"/>
          </w:tcPr>
          <w:p w14:paraId="1956A7D8" w14:textId="77777777" w:rsidR="00E8617E" w:rsidRPr="00BC513A" w:rsidRDefault="00E8617E" w:rsidP="00922731">
            <w:pPr>
              <w:pStyle w:val="DefaultText"/>
              <w:rPr>
                <w:rFonts w:cs="Arial"/>
                <w:sz w:val="20"/>
                <w:szCs w:val="20"/>
                <w:lang w:val="bg-BG"/>
              </w:rPr>
            </w:pPr>
            <w:r w:rsidRPr="00BC513A">
              <w:rPr>
                <w:rFonts w:cs="Arial"/>
                <w:sz w:val="20"/>
                <w:szCs w:val="20"/>
                <w:lang w:val="bg-BG"/>
              </w:rPr>
              <w:t>4</w:t>
            </w:r>
          </w:p>
        </w:tc>
        <w:tc>
          <w:tcPr>
            <w:tcW w:w="3354" w:type="dxa"/>
            <w:vAlign w:val="center"/>
          </w:tcPr>
          <w:p w14:paraId="2C71D1ED" w14:textId="77777777" w:rsidR="00E8617E" w:rsidRPr="00BC513A" w:rsidRDefault="00E8617E" w:rsidP="00BC1A5E">
            <w:pPr>
              <w:rPr>
                <w:rFonts w:ascii="Arial" w:hAnsi="Arial" w:cs="Arial"/>
                <w:sz w:val="20"/>
                <w:szCs w:val="20"/>
                <w:lang w:eastAsia="de-DE"/>
              </w:rPr>
            </w:pPr>
            <w:r w:rsidRPr="00BC513A">
              <w:rPr>
                <w:rFonts w:ascii="Arial" w:hAnsi="Arial" w:cs="Arial"/>
                <w:sz w:val="20"/>
                <w:szCs w:val="20"/>
                <w:lang w:eastAsia="de-DE"/>
              </w:rPr>
              <w:t>Стойност на селскостопанската продукция по разпознаваеми качествени марки/стандарти</w:t>
            </w:r>
          </w:p>
        </w:tc>
        <w:tc>
          <w:tcPr>
            <w:tcW w:w="5465" w:type="dxa"/>
            <w:gridSpan w:val="4"/>
            <w:vAlign w:val="center"/>
          </w:tcPr>
          <w:p w14:paraId="258F3D60" w14:textId="77777777" w:rsidR="00E8617E" w:rsidRPr="00BC513A" w:rsidRDefault="00E8617E" w:rsidP="00922731">
            <w:pPr>
              <w:pStyle w:val="DefaultText"/>
              <w:jc w:val="center"/>
              <w:rPr>
                <w:rFonts w:cs="Arial"/>
                <w:b/>
                <w:sz w:val="20"/>
                <w:szCs w:val="20"/>
                <w:lang w:val="bg-BG"/>
              </w:rPr>
            </w:pPr>
            <w:r w:rsidRPr="00BC513A">
              <w:rPr>
                <w:rFonts w:cs="Arial"/>
                <w:sz w:val="20"/>
                <w:szCs w:val="20"/>
                <w:lang w:val="bg-BG"/>
              </w:rPr>
              <w:t>Този индикатор не е заложен в ПРСР 2007-2013 и съответно не е наблюдаван и мерен.</w:t>
            </w:r>
          </w:p>
        </w:tc>
      </w:tr>
      <w:tr w:rsidR="00E8617E" w:rsidRPr="00BC513A" w14:paraId="4B07323C" w14:textId="77777777" w:rsidTr="00BC1A5E">
        <w:tc>
          <w:tcPr>
            <w:tcW w:w="469" w:type="dxa"/>
          </w:tcPr>
          <w:p w14:paraId="3EF0B51A" w14:textId="77777777" w:rsidR="00E8617E" w:rsidRPr="00BC513A" w:rsidRDefault="00E8617E" w:rsidP="00922731">
            <w:pPr>
              <w:pStyle w:val="DefaultText"/>
              <w:rPr>
                <w:rFonts w:cs="Arial"/>
                <w:sz w:val="20"/>
                <w:szCs w:val="20"/>
                <w:lang w:val="bg-BG"/>
              </w:rPr>
            </w:pPr>
            <w:r w:rsidRPr="00BC513A">
              <w:rPr>
                <w:rFonts w:cs="Arial"/>
                <w:sz w:val="20"/>
                <w:szCs w:val="20"/>
                <w:lang w:val="bg-BG"/>
              </w:rPr>
              <w:t>5</w:t>
            </w:r>
          </w:p>
        </w:tc>
        <w:tc>
          <w:tcPr>
            <w:tcW w:w="3354" w:type="dxa"/>
            <w:vAlign w:val="center"/>
          </w:tcPr>
          <w:p w14:paraId="33607D97" w14:textId="77777777" w:rsidR="00E8617E" w:rsidRPr="00BC513A" w:rsidRDefault="00E8617E" w:rsidP="00BC1A5E">
            <w:pPr>
              <w:rPr>
                <w:rFonts w:ascii="Arial" w:hAnsi="Arial" w:cs="Arial"/>
                <w:sz w:val="20"/>
                <w:szCs w:val="20"/>
                <w:lang w:eastAsia="de-DE"/>
              </w:rPr>
            </w:pPr>
            <w:r w:rsidRPr="00BC513A">
              <w:rPr>
                <w:rFonts w:ascii="Arial" w:hAnsi="Arial" w:cs="Arial"/>
                <w:sz w:val="20"/>
                <w:szCs w:val="20"/>
                <w:lang w:eastAsia="de-DE"/>
              </w:rPr>
              <w:t>Брой на стопанствата</w:t>
            </w:r>
            <w:r w:rsidR="00D23699">
              <w:rPr>
                <w:rFonts w:ascii="Arial" w:hAnsi="Arial" w:cs="Arial"/>
                <w:sz w:val="20"/>
                <w:szCs w:val="20"/>
                <w:lang w:eastAsia="de-DE"/>
              </w:rPr>
              <w:t>,</w:t>
            </w:r>
            <w:r w:rsidRPr="00BC513A">
              <w:rPr>
                <w:rFonts w:ascii="Arial" w:hAnsi="Arial" w:cs="Arial"/>
                <w:sz w:val="20"/>
                <w:szCs w:val="20"/>
                <w:lang w:eastAsia="de-DE"/>
              </w:rPr>
              <w:t xml:space="preserve"> навлезли на пазара</w:t>
            </w:r>
          </w:p>
        </w:tc>
        <w:tc>
          <w:tcPr>
            <w:tcW w:w="1134" w:type="dxa"/>
            <w:vAlign w:val="center"/>
          </w:tcPr>
          <w:p w14:paraId="17BEDDDA" w14:textId="77777777" w:rsidR="00E8617E" w:rsidRPr="00BC513A" w:rsidRDefault="00E8617E" w:rsidP="00922731">
            <w:pPr>
              <w:pStyle w:val="DefaultText"/>
              <w:jc w:val="center"/>
              <w:rPr>
                <w:rFonts w:cs="Arial"/>
                <w:b/>
                <w:sz w:val="20"/>
                <w:szCs w:val="20"/>
                <w:lang w:val="bg-BG"/>
              </w:rPr>
            </w:pPr>
            <w:r w:rsidRPr="00BC513A">
              <w:rPr>
                <w:rFonts w:cs="Arial"/>
                <w:sz w:val="20"/>
                <w:szCs w:val="20"/>
                <w:lang w:val="bg-BG"/>
              </w:rPr>
              <w:t>брой</w:t>
            </w:r>
          </w:p>
        </w:tc>
        <w:tc>
          <w:tcPr>
            <w:tcW w:w="1275" w:type="dxa"/>
            <w:vAlign w:val="center"/>
          </w:tcPr>
          <w:p w14:paraId="1051BF6D" w14:textId="77777777" w:rsidR="00E8617E" w:rsidRPr="00BC513A" w:rsidRDefault="00E8617E" w:rsidP="00046AF8">
            <w:pPr>
              <w:pStyle w:val="DefaultText"/>
              <w:jc w:val="right"/>
              <w:rPr>
                <w:rFonts w:cs="Arial"/>
                <w:b/>
                <w:sz w:val="20"/>
                <w:szCs w:val="20"/>
                <w:lang w:val="bg-BG"/>
              </w:rPr>
            </w:pPr>
            <w:r w:rsidRPr="00BC513A">
              <w:rPr>
                <w:rFonts w:cs="Arial"/>
                <w:sz w:val="20"/>
                <w:szCs w:val="20"/>
                <w:lang w:val="bg-BG"/>
              </w:rPr>
              <w:t>7 204</w:t>
            </w:r>
          </w:p>
        </w:tc>
        <w:tc>
          <w:tcPr>
            <w:tcW w:w="1560" w:type="dxa"/>
            <w:vAlign w:val="center"/>
          </w:tcPr>
          <w:p w14:paraId="2B297A29" w14:textId="77777777" w:rsidR="00E8617E" w:rsidRPr="00BC513A" w:rsidRDefault="00E8617E" w:rsidP="00046AF8">
            <w:pPr>
              <w:pStyle w:val="DefaultText"/>
              <w:jc w:val="right"/>
              <w:rPr>
                <w:rFonts w:cs="Arial"/>
                <w:b/>
                <w:sz w:val="20"/>
                <w:szCs w:val="20"/>
                <w:lang w:val="bg-BG"/>
              </w:rPr>
            </w:pPr>
            <w:r w:rsidRPr="00BC513A">
              <w:rPr>
                <w:rFonts w:cs="Arial"/>
                <w:sz w:val="20"/>
                <w:szCs w:val="20"/>
                <w:lang w:val="bg-BG"/>
              </w:rPr>
              <w:t>1 523</w:t>
            </w:r>
          </w:p>
        </w:tc>
        <w:tc>
          <w:tcPr>
            <w:tcW w:w="1496" w:type="dxa"/>
            <w:vAlign w:val="center"/>
          </w:tcPr>
          <w:p w14:paraId="71404E42" w14:textId="77777777" w:rsidR="00E8617E" w:rsidRPr="00BC513A" w:rsidRDefault="00E8617E" w:rsidP="00922731">
            <w:pPr>
              <w:pStyle w:val="DefaultText"/>
              <w:jc w:val="center"/>
              <w:rPr>
                <w:rFonts w:cs="Arial"/>
                <w:b/>
                <w:sz w:val="20"/>
                <w:szCs w:val="20"/>
                <w:lang w:val="bg-BG"/>
              </w:rPr>
            </w:pPr>
            <w:r w:rsidRPr="00BC513A">
              <w:rPr>
                <w:rFonts w:cs="Arial"/>
                <w:sz w:val="20"/>
                <w:szCs w:val="20"/>
                <w:lang w:val="bg-BG"/>
              </w:rPr>
              <w:t>21%</w:t>
            </w:r>
          </w:p>
        </w:tc>
      </w:tr>
    </w:tbl>
    <w:p w14:paraId="6E1F162A" w14:textId="77777777" w:rsidR="00E8617E" w:rsidRPr="00BC1A5E" w:rsidRDefault="00E8617E" w:rsidP="00E8617E">
      <w:pPr>
        <w:pStyle w:val="DefaultText"/>
        <w:rPr>
          <w:szCs w:val="18"/>
          <w:lang w:val="bg-BG"/>
        </w:rPr>
      </w:pPr>
      <w:r w:rsidRPr="00BC1A5E">
        <w:rPr>
          <w:szCs w:val="18"/>
          <w:lang w:val="bg-BG"/>
        </w:rPr>
        <w:t>Източник: МЗХГ</w:t>
      </w:r>
    </w:p>
    <w:p w14:paraId="39A23874" w14:textId="77777777" w:rsidR="00E8617E" w:rsidRPr="00BC513A" w:rsidRDefault="00E8617E" w:rsidP="00E8617E"/>
    <w:p w14:paraId="1F5C82E6" w14:textId="10EABB7F"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Към постигане на целевата стойност на индикатора за „</w:t>
      </w:r>
      <w:r w:rsidRPr="00BC513A">
        <w:rPr>
          <w:i/>
          <w:sz w:val="22"/>
          <w:szCs w:val="22"/>
          <w:lang w:val="bg-BG"/>
        </w:rPr>
        <w:t>Брой участници</w:t>
      </w:r>
      <w:r w:rsidR="00D23699">
        <w:rPr>
          <w:i/>
          <w:sz w:val="22"/>
          <w:szCs w:val="22"/>
          <w:lang w:val="bg-BG"/>
        </w:rPr>
        <w:t>,</w:t>
      </w:r>
      <w:r w:rsidRPr="00BC513A">
        <w:rPr>
          <w:i/>
          <w:sz w:val="22"/>
          <w:szCs w:val="22"/>
          <w:lang w:val="bg-BG"/>
        </w:rPr>
        <w:t xml:space="preserve"> успешно завършили обучение, свързано със селското стопанство и/или горското стопанство</w:t>
      </w:r>
      <w:r w:rsidRPr="00BC513A">
        <w:rPr>
          <w:sz w:val="22"/>
          <w:szCs w:val="22"/>
          <w:lang w:val="bg-BG"/>
        </w:rPr>
        <w:t>“ принос има само мярка 111. Целевата стойност значително е надвишена, въпреки редуцираният близо 4</w:t>
      </w:r>
      <w:r w:rsidR="00564710">
        <w:rPr>
          <w:sz w:val="22"/>
          <w:szCs w:val="22"/>
          <w:lang w:val="bg-BG"/>
        </w:rPr>
        <w:t>-</w:t>
      </w:r>
      <w:r w:rsidRPr="00BC513A">
        <w:rPr>
          <w:sz w:val="22"/>
          <w:szCs w:val="22"/>
          <w:lang w:val="bg-BG"/>
        </w:rPr>
        <w:t xml:space="preserve">тири пъти бюджет на мярката. Такова високо преизпълнение свидетелства основно за занижено предварително планиране. </w:t>
      </w:r>
      <w:bookmarkStart w:id="79" w:name="_Hlk506671562"/>
      <w:r w:rsidRPr="00BC513A">
        <w:rPr>
          <w:sz w:val="22"/>
          <w:szCs w:val="22"/>
          <w:lang w:val="bg-BG"/>
        </w:rPr>
        <w:t>Въпреки високото изпълнение на мярката</w:t>
      </w:r>
      <w:r w:rsidR="00564710">
        <w:rPr>
          <w:sz w:val="22"/>
          <w:szCs w:val="22"/>
          <w:lang w:val="bg-BG"/>
        </w:rPr>
        <w:t>,</w:t>
      </w:r>
      <w:r w:rsidRPr="00BC513A">
        <w:rPr>
          <w:sz w:val="22"/>
          <w:szCs w:val="22"/>
          <w:lang w:val="bg-BG"/>
        </w:rPr>
        <w:t xml:space="preserve"> засягащо броя на обучените курсисти, тези нива са относително малки на фона на 236 хил. управители на стопанства в България през 2013 </w:t>
      </w:r>
      <w:r w:rsidR="00564710">
        <w:rPr>
          <w:sz w:val="22"/>
          <w:szCs w:val="22"/>
          <w:lang w:val="bg-BG"/>
        </w:rPr>
        <w:t>година, за които е отчетено</w:t>
      </w:r>
      <w:r w:rsidRPr="00BC513A">
        <w:rPr>
          <w:sz w:val="22"/>
          <w:szCs w:val="22"/>
          <w:lang w:val="bg-BG"/>
        </w:rPr>
        <w:t xml:space="preserve"> наличие само на практически опит в земеделието и 58 хил. несемейни работници.</w:t>
      </w:r>
      <w:bookmarkEnd w:id="79"/>
    </w:p>
    <w:p w14:paraId="3B167358" w14:textId="2F28F01F" w:rsidR="00E8617E" w:rsidRPr="00BC513A" w:rsidRDefault="00E8617E" w:rsidP="00E8617E">
      <w:pPr>
        <w:spacing w:after="120" w:line="300" w:lineRule="atLeast"/>
        <w:ind w:firstLine="709"/>
        <w:jc w:val="both"/>
        <w:rPr>
          <w:rFonts w:ascii="Arial" w:hAnsi="Arial" w:cs="Arial"/>
        </w:rPr>
      </w:pPr>
      <w:r w:rsidRPr="00BC513A">
        <w:rPr>
          <w:rFonts w:ascii="Arial" w:eastAsia="Times New Roman" w:hAnsi="Arial" w:cs="Times New Roman"/>
          <w:lang w:eastAsia="nl-NL"/>
        </w:rPr>
        <w:t xml:space="preserve">Мярка 112 допринася </w:t>
      </w:r>
      <w:r w:rsidRPr="00BC513A">
        <w:rPr>
          <w:rFonts w:ascii="Arial" w:hAnsi="Arial" w:cs="Times New Roman"/>
          <w:lang w:eastAsia="nl-NL"/>
        </w:rPr>
        <w:t>за „</w:t>
      </w:r>
      <w:r w:rsidRPr="00BC513A">
        <w:rPr>
          <w:rFonts w:ascii="Arial" w:hAnsi="Arial" w:cs="Times New Roman"/>
          <w:i/>
          <w:lang w:eastAsia="nl-NL"/>
        </w:rPr>
        <w:t>Увеличение на брутната добавена стойност в подпомогнатите стопанства/предприятия</w:t>
      </w:r>
      <w:r w:rsidRPr="00BC513A">
        <w:rPr>
          <w:rFonts w:ascii="Arial" w:hAnsi="Arial" w:cs="Times New Roman"/>
          <w:lang w:eastAsia="nl-NL"/>
        </w:rPr>
        <w:t>“</w:t>
      </w:r>
      <w:r w:rsidRPr="00BC513A">
        <w:t xml:space="preserve">. </w:t>
      </w:r>
      <w:r w:rsidRPr="00BC513A">
        <w:rPr>
          <w:rFonts w:ascii="Arial" w:hAnsi="Arial" w:cs="Arial"/>
        </w:rPr>
        <w:t xml:space="preserve">По този индикатор също се отчита много високо преизпълнение, като създадената добавена стойност в подпомогнатите стопанства възлиза на 32,8 млн. евро, което представлява постижение от 189% спрямо поставената цел. Дори да се приеме, че поставената цел по индикатора е била подценена, тъй като нормалната възвращаемост в отрасъла в зависимост от вида на </w:t>
      </w:r>
      <w:r w:rsidRPr="00BC513A">
        <w:rPr>
          <w:rFonts w:ascii="Arial" w:hAnsi="Arial" w:cs="Arial"/>
        </w:rPr>
        <w:lastRenderedPageBreak/>
        <w:t>инвестициите е между 10-15% и стойността по индикатора трябва да варира между 28-35 млн. евро, то и тогава количествената цел щеше да бъде достигната почти напълно. През програмния период възвращаемостта по мярката възлиза на 18%, което е много добро постижение, допринасящо за изпълнение на целта за нарастване на добавената стойност в подпомогнатите стопанства на млади фермери.</w:t>
      </w:r>
    </w:p>
    <w:p w14:paraId="6753BCE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Не така стоят нещата с последните два индикатора за резултат по ос 1. Целевите стойности относно „</w:t>
      </w:r>
      <w:r w:rsidRPr="00BC513A">
        <w:rPr>
          <w:i/>
          <w:sz w:val="22"/>
          <w:szCs w:val="22"/>
          <w:lang w:val="bg-BG"/>
        </w:rPr>
        <w:t>Брой стопанства/предприятия</w:t>
      </w:r>
      <w:r w:rsidR="00564710">
        <w:rPr>
          <w:i/>
          <w:sz w:val="22"/>
          <w:szCs w:val="22"/>
          <w:lang w:val="bg-BG"/>
        </w:rPr>
        <w:t>,</w:t>
      </w:r>
      <w:r w:rsidRPr="00BC513A">
        <w:rPr>
          <w:i/>
          <w:sz w:val="22"/>
          <w:szCs w:val="22"/>
          <w:lang w:val="bg-BG"/>
        </w:rPr>
        <w:t xml:space="preserve"> въвели нови продукти и/или нови технологии</w:t>
      </w:r>
      <w:r w:rsidRPr="00BC513A">
        <w:rPr>
          <w:sz w:val="22"/>
          <w:szCs w:val="22"/>
          <w:lang w:val="bg-BG"/>
        </w:rPr>
        <w:t>“ и „</w:t>
      </w:r>
      <w:r w:rsidRPr="00BC513A">
        <w:rPr>
          <w:i/>
          <w:sz w:val="22"/>
          <w:szCs w:val="22"/>
          <w:lang w:val="bg-BG"/>
        </w:rPr>
        <w:t>Брой на стопанствата</w:t>
      </w:r>
      <w:r w:rsidR="00564710">
        <w:rPr>
          <w:i/>
          <w:sz w:val="22"/>
          <w:szCs w:val="22"/>
          <w:lang w:val="bg-BG"/>
        </w:rPr>
        <w:t>,</w:t>
      </w:r>
      <w:r w:rsidRPr="00BC513A">
        <w:rPr>
          <w:i/>
          <w:sz w:val="22"/>
          <w:szCs w:val="22"/>
          <w:lang w:val="bg-BG"/>
        </w:rPr>
        <w:t xml:space="preserve"> навлезли на пазара</w:t>
      </w:r>
      <w:r w:rsidRPr="00BC513A">
        <w:rPr>
          <w:sz w:val="22"/>
          <w:szCs w:val="22"/>
          <w:lang w:val="bg-BG"/>
        </w:rPr>
        <w:t xml:space="preserve">“ са постигнати съответно на 25% и 21%. Принос към въвеждането на нови продукти и технологии е очакван от мерки 121, 122 и 123, а към навлизането на пазара на нови стопанства – от мерки 141 и 142.  </w:t>
      </w:r>
    </w:p>
    <w:p w14:paraId="1281C946" w14:textId="50909E64"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 отношение на индикатора „</w:t>
      </w:r>
      <w:r w:rsidRPr="00BC513A">
        <w:rPr>
          <w:i/>
          <w:sz w:val="22"/>
          <w:szCs w:val="22"/>
          <w:lang w:val="bg-BG"/>
        </w:rPr>
        <w:t>Брой стопанства/предприятия</w:t>
      </w:r>
      <w:r w:rsidR="00564710">
        <w:rPr>
          <w:i/>
          <w:sz w:val="22"/>
          <w:szCs w:val="22"/>
          <w:lang w:val="bg-BG"/>
        </w:rPr>
        <w:t>,</w:t>
      </w:r>
      <w:r w:rsidRPr="00BC513A">
        <w:rPr>
          <w:i/>
          <w:sz w:val="22"/>
          <w:szCs w:val="22"/>
          <w:lang w:val="bg-BG"/>
        </w:rPr>
        <w:t xml:space="preserve"> въвели нови продукти и/или нови технологии</w:t>
      </w:r>
      <w:r w:rsidRPr="00BC513A">
        <w:rPr>
          <w:sz w:val="22"/>
          <w:szCs w:val="22"/>
          <w:lang w:val="bg-BG"/>
        </w:rPr>
        <w:t>“ реален принос имат мярка 121 и 123. Мярка 122 няма принос. Неизпълнението е резултат от това, че по мярка 121 приоритетни за стопанствата са били инвестициите в основна материална база, а не в иновации, както и недостатъчно развитата среда и култура в средата за сътрудничество между научните и развойно центрове и земеделските производители. Изпълнението на мярка 122 е много слабо</w:t>
      </w:r>
      <w:r w:rsidR="00564710">
        <w:rPr>
          <w:sz w:val="22"/>
          <w:szCs w:val="22"/>
          <w:lang w:val="bg-BG"/>
        </w:rPr>
        <w:t>,</w:t>
      </w:r>
      <w:r w:rsidRPr="00BC513A">
        <w:rPr>
          <w:sz w:val="22"/>
          <w:szCs w:val="22"/>
          <w:lang w:val="bg-BG"/>
        </w:rPr>
        <w:t xml:space="preserve"> тъй като няма интерес от частните собственици на гори, а участието на общински бенефициенти е под планираното. Мярка 123 постига и малко надминава целевите си стойности по отношение на индикатора (изпълнението е на 114%).</w:t>
      </w:r>
    </w:p>
    <w:p w14:paraId="18134B7D"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Приносът на мярка 141 към индикатора „</w:t>
      </w:r>
      <w:r w:rsidRPr="00BC513A">
        <w:rPr>
          <w:i/>
          <w:sz w:val="22"/>
          <w:szCs w:val="22"/>
          <w:lang w:val="bg-BG"/>
        </w:rPr>
        <w:t>Брой на стопанствата</w:t>
      </w:r>
      <w:r w:rsidR="00564710">
        <w:rPr>
          <w:i/>
          <w:sz w:val="22"/>
          <w:szCs w:val="22"/>
          <w:lang w:val="bg-BG"/>
        </w:rPr>
        <w:t>,</w:t>
      </w:r>
      <w:r w:rsidRPr="00BC513A">
        <w:rPr>
          <w:i/>
          <w:sz w:val="22"/>
          <w:szCs w:val="22"/>
          <w:lang w:val="bg-BG"/>
        </w:rPr>
        <w:t xml:space="preserve"> навлезли на пазара</w:t>
      </w:r>
      <w:r w:rsidRPr="00BC513A">
        <w:rPr>
          <w:sz w:val="22"/>
          <w:szCs w:val="22"/>
          <w:lang w:val="bg-BG"/>
        </w:rPr>
        <w:t>“ е малък</w:t>
      </w:r>
      <w:r w:rsidR="00564710">
        <w:rPr>
          <w:sz w:val="22"/>
          <w:szCs w:val="22"/>
          <w:lang w:val="bg-BG"/>
        </w:rPr>
        <w:t>,</w:t>
      </w:r>
      <w:r w:rsidRPr="00BC513A">
        <w:rPr>
          <w:sz w:val="22"/>
          <w:szCs w:val="22"/>
          <w:lang w:val="bg-BG"/>
        </w:rPr>
        <w:t xml:space="preserve"> тъй като изпълнението на мярката е проблемно. Мярка 142 няма реален принос, тъй като изпълнението отново е много слабо и защото участващите в организациите на производителите стопанства не включват в сдружения и стопанства, които нямат пазарна ориентация.</w:t>
      </w:r>
    </w:p>
    <w:p w14:paraId="3743B1B5" w14:textId="330C3B1F" w:rsidR="00E8617E" w:rsidRPr="00BC513A" w:rsidRDefault="00E8617E" w:rsidP="00E8617E">
      <w:pPr>
        <w:pStyle w:val="Heading3"/>
        <w:numPr>
          <w:ilvl w:val="0"/>
          <w:numId w:val="0"/>
        </w:numPr>
        <w:tabs>
          <w:tab w:val="left" w:pos="709"/>
        </w:tabs>
        <w:ind w:left="709"/>
      </w:pPr>
      <w:bookmarkStart w:id="80" w:name="_Toc504136151"/>
      <w:r w:rsidRPr="00BC513A">
        <w:t>О</w:t>
      </w:r>
      <w:r w:rsidR="00AB2B2B">
        <w:t>с</w:t>
      </w:r>
      <w:r w:rsidRPr="00BC513A">
        <w:t xml:space="preserve"> 2: Подобряване на околната среда и природата</w:t>
      </w:r>
      <w:bookmarkEnd w:id="80"/>
      <w:r w:rsidRPr="00BC513A">
        <w:t xml:space="preserve"> </w:t>
      </w:r>
    </w:p>
    <w:p w14:paraId="3B05488B" w14:textId="77777777" w:rsidR="00E8617E" w:rsidRPr="00BC513A" w:rsidRDefault="00E8617E" w:rsidP="00E8617E">
      <w:pPr>
        <w:pStyle w:val="Caption"/>
        <w:keepNext/>
        <w:spacing w:before="240" w:after="60"/>
        <w:rPr>
          <w:rFonts w:ascii="Arial" w:hAnsi="Arial" w:cs="Arial"/>
          <w:b/>
          <w:i w:val="0"/>
          <w:color w:val="0070C0"/>
          <w:sz w:val="20"/>
          <w:szCs w:val="20"/>
        </w:rPr>
      </w:pPr>
      <w:bookmarkStart w:id="81" w:name="_Toc504136192"/>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20</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Индикатори за резултат ос 2</w:t>
      </w:r>
      <w:bookmarkEnd w:id="81"/>
    </w:p>
    <w:tbl>
      <w:tblPr>
        <w:tblStyle w:val="TableGrid"/>
        <w:tblW w:w="0" w:type="auto"/>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Look w:val="04A0" w:firstRow="1" w:lastRow="0" w:firstColumn="1" w:lastColumn="0" w:noHBand="0" w:noVBand="1"/>
      </w:tblPr>
      <w:tblGrid>
        <w:gridCol w:w="501"/>
        <w:gridCol w:w="3598"/>
        <w:gridCol w:w="1056"/>
        <w:gridCol w:w="1123"/>
        <w:gridCol w:w="1362"/>
        <w:gridCol w:w="1420"/>
      </w:tblGrid>
      <w:tr w:rsidR="00E8617E" w:rsidRPr="00BC513A" w14:paraId="15BF6FE1" w14:textId="77777777" w:rsidTr="00922731">
        <w:tc>
          <w:tcPr>
            <w:tcW w:w="501" w:type="dxa"/>
            <w:shd w:val="clear" w:color="auto" w:fill="DEEAF6" w:themeFill="accent1" w:themeFillTint="33"/>
          </w:tcPr>
          <w:p w14:paraId="54BCC387" w14:textId="77777777" w:rsidR="00E8617E" w:rsidRPr="00BC513A" w:rsidRDefault="00E8617E" w:rsidP="00922731">
            <w:pPr>
              <w:pStyle w:val="DefaultText"/>
              <w:rPr>
                <w:b/>
                <w:sz w:val="20"/>
                <w:szCs w:val="20"/>
                <w:lang w:val="bg-BG"/>
              </w:rPr>
            </w:pPr>
            <w:r w:rsidRPr="00BC513A">
              <w:rPr>
                <w:b/>
                <w:sz w:val="20"/>
                <w:szCs w:val="20"/>
                <w:lang w:val="bg-BG"/>
              </w:rPr>
              <w:t>№</w:t>
            </w:r>
          </w:p>
        </w:tc>
        <w:tc>
          <w:tcPr>
            <w:tcW w:w="3598" w:type="dxa"/>
            <w:shd w:val="clear" w:color="auto" w:fill="DEEAF6" w:themeFill="accent1" w:themeFillTint="33"/>
          </w:tcPr>
          <w:p w14:paraId="68A5F35F" w14:textId="77777777" w:rsidR="00E8617E" w:rsidRPr="00BC513A" w:rsidRDefault="00E8617E" w:rsidP="00922731">
            <w:pPr>
              <w:pStyle w:val="DefaultText"/>
              <w:rPr>
                <w:b/>
                <w:sz w:val="20"/>
                <w:szCs w:val="20"/>
                <w:lang w:val="bg-BG"/>
              </w:rPr>
            </w:pPr>
            <w:r w:rsidRPr="00BC513A">
              <w:rPr>
                <w:b/>
                <w:sz w:val="20"/>
                <w:szCs w:val="20"/>
                <w:lang w:val="bg-BG"/>
              </w:rPr>
              <w:t>Индикатор</w:t>
            </w:r>
          </w:p>
        </w:tc>
        <w:tc>
          <w:tcPr>
            <w:tcW w:w="1056" w:type="dxa"/>
            <w:shd w:val="clear" w:color="auto" w:fill="DEEAF6" w:themeFill="accent1" w:themeFillTint="33"/>
          </w:tcPr>
          <w:p w14:paraId="417681D7" w14:textId="77777777" w:rsidR="00E8617E" w:rsidRPr="00BC513A" w:rsidRDefault="00E8617E" w:rsidP="00922731">
            <w:pPr>
              <w:pStyle w:val="DefaultText"/>
              <w:jc w:val="center"/>
              <w:rPr>
                <w:b/>
                <w:sz w:val="20"/>
                <w:szCs w:val="20"/>
                <w:lang w:val="bg-BG"/>
              </w:rPr>
            </w:pPr>
            <w:r w:rsidRPr="00BC513A">
              <w:rPr>
                <w:b/>
                <w:sz w:val="20"/>
                <w:szCs w:val="20"/>
                <w:lang w:val="bg-BG"/>
              </w:rPr>
              <w:t>Мерна единица</w:t>
            </w:r>
          </w:p>
        </w:tc>
        <w:tc>
          <w:tcPr>
            <w:tcW w:w="1123" w:type="dxa"/>
            <w:shd w:val="clear" w:color="auto" w:fill="DEEAF6" w:themeFill="accent1" w:themeFillTint="33"/>
          </w:tcPr>
          <w:p w14:paraId="7A5FF862" w14:textId="77777777" w:rsidR="00E8617E" w:rsidRPr="00BC513A" w:rsidRDefault="00E8617E" w:rsidP="00922731">
            <w:pPr>
              <w:pStyle w:val="DefaultText"/>
              <w:jc w:val="center"/>
              <w:rPr>
                <w:b/>
                <w:sz w:val="20"/>
                <w:szCs w:val="20"/>
                <w:lang w:val="bg-BG"/>
              </w:rPr>
            </w:pPr>
            <w:r w:rsidRPr="00BC513A">
              <w:rPr>
                <w:b/>
                <w:sz w:val="20"/>
                <w:szCs w:val="20"/>
                <w:lang w:val="bg-BG"/>
              </w:rPr>
              <w:t>Целева стойност</w:t>
            </w:r>
          </w:p>
        </w:tc>
        <w:tc>
          <w:tcPr>
            <w:tcW w:w="1362" w:type="dxa"/>
            <w:shd w:val="clear" w:color="auto" w:fill="DEEAF6" w:themeFill="accent1" w:themeFillTint="33"/>
          </w:tcPr>
          <w:p w14:paraId="4EC8BB4A" w14:textId="77777777" w:rsidR="00E8617E" w:rsidRPr="00BC513A" w:rsidRDefault="00E8617E" w:rsidP="00922731">
            <w:pPr>
              <w:pStyle w:val="DefaultText"/>
              <w:jc w:val="center"/>
              <w:rPr>
                <w:b/>
                <w:sz w:val="20"/>
                <w:szCs w:val="20"/>
                <w:lang w:val="bg-BG"/>
              </w:rPr>
            </w:pPr>
            <w:r w:rsidRPr="00BC513A">
              <w:rPr>
                <w:b/>
                <w:sz w:val="20"/>
                <w:szCs w:val="20"/>
                <w:lang w:val="bg-BG"/>
              </w:rPr>
              <w:t>Постигната стойност</w:t>
            </w:r>
          </w:p>
        </w:tc>
        <w:tc>
          <w:tcPr>
            <w:tcW w:w="1420" w:type="dxa"/>
            <w:shd w:val="clear" w:color="auto" w:fill="DEEAF6" w:themeFill="accent1" w:themeFillTint="33"/>
          </w:tcPr>
          <w:p w14:paraId="05C5F11C" w14:textId="77777777" w:rsidR="00E8617E" w:rsidRPr="00BC513A" w:rsidRDefault="00E8617E" w:rsidP="00922731">
            <w:pPr>
              <w:pStyle w:val="DefaultText"/>
              <w:jc w:val="center"/>
              <w:rPr>
                <w:b/>
                <w:sz w:val="20"/>
                <w:szCs w:val="20"/>
                <w:lang w:val="bg-BG"/>
              </w:rPr>
            </w:pPr>
            <w:r w:rsidRPr="00BC513A">
              <w:rPr>
                <w:b/>
                <w:sz w:val="20"/>
                <w:szCs w:val="20"/>
                <w:lang w:val="bg-BG"/>
              </w:rPr>
              <w:t>% на изпълнение</w:t>
            </w:r>
          </w:p>
        </w:tc>
      </w:tr>
      <w:tr w:rsidR="00E8617E" w:rsidRPr="00BC513A" w14:paraId="1876D142" w14:textId="77777777" w:rsidTr="00922731">
        <w:tc>
          <w:tcPr>
            <w:tcW w:w="9060" w:type="dxa"/>
            <w:gridSpan w:val="6"/>
          </w:tcPr>
          <w:p w14:paraId="6C33C0C2" w14:textId="77777777" w:rsidR="00E8617E" w:rsidRPr="00BC513A" w:rsidRDefault="00E8617E" w:rsidP="00922731">
            <w:pPr>
              <w:pStyle w:val="DefaultText"/>
              <w:spacing w:before="60" w:after="60"/>
              <w:rPr>
                <w:sz w:val="20"/>
                <w:szCs w:val="20"/>
                <w:lang w:val="bg-BG" w:eastAsia="de-DE"/>
              </w:rPr>
            </w:pPr>
            <w:r w:rsidRPr="00BC513A">
              <w:rPr>
                <w:sz w:val="20"/>
                <w:szCs w:val="20"/>
                <w:lang w:val="bg-BG" w:eastAsia="de-DE"/>
              </w:rPr>
              <w:t>Район с успешно управление</w:t>
            </w:r>
            <w:r w:rsidR="00564710">
              <w:rPr>
                <w:sz w:val="20"/>
                <w:szCs w:val="20"/>
                <w:lang w:val="bg-BG" w:eastAsia="de-DE"/>
              </w:rPr>
              <w:t>,</w:t>
            </w:r>
            <w:r w:rsidRPr="00BC513A">
              <w:rPr>
                <w:sz w:val="20"/>
                <w:szCs w:val="20"/>
                <w:lang w:val="bg-BG" w:eastAsia="de-DE"/>
              </w:rPr>
              <w:t xml:space="preserve"> допринасящ за:</w:t>
            </w:r>
          </w:p>
        </w:tc>
      </w:tr>
      <w:tr w:rsidR="00E8617E" w:rsidRPr="00BC513A" w14:paraId="29895224" w14:textId="77777777" w:rsidTr="00BC1A5E">
        <w:tc>
          <w:tcPr>
            <w:tcW w:w="501" w:type="dxa"/>
          </w:tcPr>
          <w:p w14:paraId="21469158" w14:textId="77777777" w:rsidR="00E8617E" w:rsidRPr="00BC513A" w:rsidRDefault="00E8617E" w:rsidP="00BC1A5E">
            <w:pPr>
              <w:pStyle w:val="DefaultText"/>
              <w:rPr>
                <w:rFonts w:cs="Arial"/>
                <w:sz w:val="20"/>
                <w:szCs w:val="20"/>
                <w:lang w:val="bg-BG"/>
              </w:rPr>
            </w:pPr>
            <w:r w:rsidRPr="00BC513A">
              <w:rPr>
                <w:rFonts w:cs="Arial"/>
                <w:sz w:val="20"/>
                <w:szCs w:val="20"/>
                <w:lang w:val="bg-BG"/>
              </w:rPr>
              <w:t>1</w:t>
            </w:r>
          </w:p>
        </w:tc>
        <w:tc>
          <w:tcPr>
            <w:tcW w:w="3598" w:type="dxa"/>
          </w:tcPr>
          <w:p w14:paraId="2B429192" w14:textId="77777777" w:rsidR="00E8617E" w:rsidRPr="00BC513A" w:rsidRDefault="00E8617E" w:rsidP="00BC1A5E">
            <w:pPr>
              <w:spacing w:line="280" w:lineRule="atLeast"/>
              <w:jc w:val="both"/>
              <w:rPr>
                <w:rFonts w:ascii="Arial" w:hAnsi="Arial" w:cs="Arial"/>
                <w:sz w:val="20"/>
                <w:szCs w:val="20"/>
                <w:lang w:eastAsia="de-DE"/>
              </w:rPr>
            </w:pPr>
            <w:r w:rsidRPr="00BC513A">
              <w:rPr>
                <w:rFonts w:ascii="Arial" w:hAnsi="Arial" w:cs="Arial"/>
                <w:sz w:val="20"/>
                <w:szCs w:val="20"/>
                <w:lang w:eastAsia="de-DE"/>
              </w:rPr>
              <w:t>Биоразнообразие и ВПС за земеделие/лесовъдство</w:t>
            </w:r>
          </w:p>
        </w:tc>
        <w:tc>
          <w:tcPr>
            <w:tcW w:w="1056" w:type="dxa"/>
            <w:vAlign w:val="center"/>
          </w:tcPr>
          <w:p w14:paraId="33D75526" w14:textId="77777777" w:rsidR="00E8617E" w:rsidRPr="00BC1A5E" w:rsidRDefault="00E8617E" w:rsidP="00BC1A5E">
            <w:pPr>
              <w:pStyle w:val="DefaultText"/>
              <w:jc w:val="center"/>
              <w:rPr>
                <w:rFonts w:cs="Arial"/>
                <w:sz w:val="20"/>
                <w:szCs w:val="20"/>
                <w:lang w:val="bg-BG"/>
              </w:rPr>
            </w:pPr>
            <w:r w:rsidRPr="00BC1A5E">
              <w:rPr>
                <w:sz w:val="20"/>
                <w:szCs w:val="20"/>
                <w:lang w:val="bg-BG"/>
              </w:rPr>
              <w:t>ha</w:t>
            </w:r>
          </w:p>
        </w:tc>
        <w:tc>
          <w:tcPr>
            <w:tcW w:w="1123" w:type="dxa"/>
            <w:vAlign w:val="center"/>
          </w:tcPr>
          <w:p w14:paraId="66EA54BD" w14:textId="77777777" w:rsidR="00E8617E" w:rsidRPr="00BC1A5E" w:rsidRDefault="00E8617E" w:rsidP="00046AF8">
            <w:pPr>
              <w:pStyle w:val="DefaultText"/>
              <w:jc w:val="right"/>
              <w:rPr>
                <w:rFonts w:cs="Arial"/>
                <w:sz w:val="20"/>
                <w:szCs w:val="20"/>
                <w:lang w:val="bg-BG"/>
              </w:rPr>
            </w:pPr>
            <w:r w:rsidRPr="00BC1A5E">
              <w:rPr>
                <w:sz w:val="20"/>
                <w:szCs w:val="20"/>
                <w:lang w:val="bg-BG"/>
              </w:rPr>
              <w:t>435 000</w:t>
            </w:r>
          </w:p>
        </w:tc>
        <w:tc>
          <w:tcPr>
            <w:tcW w:w="1362" w:type="dxa"/>
            <w:vAlign w:val="center"/>
          </w:tcPr>
          <w:p w14:paraId="46C1D0DE" w14:textId="77777777" w:rsidR="00E8617E" w:rsidRPr="00BC1A5E" w:rsidRDefault="00E8617E" w:rsidP="00046AF8">
            <w:pPr>
              <w:pStyle w:val="DefaultText"/>
              <w:jc w:val="right"/>
              <w:rPr>
                <w:rFonts w:cs="Arial"/>
                <w:sz w:val="20"/>
                <w:szCs w:val="20"/>
                <w:lang w:val="bg-BG"/>
              </w:rPr>
            </w:pPr>
            <w:r w:rsidRPr="00BC1A5E">
              <w:rPr>
                <w:sz w:val="20"/>
                <w:szCs w:val="20"/>
                <w:lang w:val="bg-BG"/>
              </w:rPr>
              <w:t>577 168</w:t>
            </w:r>
          </w:p>
        </w:tc>
        <w:tc>
          <w:tcPr>
            <w:tcW w:w="1420" w:type="dxa"/>
            <w:vAlign w:val="center"/>
          </w:tcPr>
          <w:p w14:paraId="1476B84E" w14:textId="0A5A3CC0" w:rsidR="00E8617E" w:rsidRPr="00BC1A5E" w:rsidRDefault="00E8617E" w:rsidP="00BC1A5E">
            <w:pPr>
              <w:pStyle w:val="DefaultText"/>
              <w:jc w:val="center"/>
              <w:rPr>
                <w:rFonts w:cs="Arial"/>
                <w:sz w:val="20"/>
                <w:szCs w:val="20"/>
                <w:lang w:val="bg-BG"/>
              </w:rPr>
            </w:pPr>
            <w:r w:rsidRPr="00BC1A5E">
              <w:rPr>
                <w:rFonts w:cs="Arial"/>
                <w:sz w:val="20"/>
                <w:szCs w:val="20"/>
                <w:lang w:val="bg-BG"/>
              </w:rPr>
              <w:t>133</w:t>
            </w:r>
            <w:r w:rsidR="00046AF8">
              <w:rPr>
                <w:rFonts w:cs="Arial"/>
                <w:sz w:val="20"/>
                <w:szCs w:val="20"/>
                <w:lang w:val="bg-BG"/>
              </w:rPr>
              <w:t>%</w:t>
            </w:r>
          </w:p>
        </w:tc>
      </w:tr>
      <w:tr w:rsidR="00E8617E" w:rsidRPr="00BC513A" w14:paraId="33E6908E" w14:textId="77777777" w:rsidTr="00BC1A5E">
        <w:tc>
          <w:tcPr>
            <w:tcW w:w="501" w:type="dxa"/>
          </w:tcPr>
          <w:p w14:paraId="142105B3" w14:textId="77777777" w:rsidR="00E8617E" w:rsidRPr="00BC513A" w:rsidRDefault="00E8617E" w:rsidP="00BC1A5E">
            <w:pPr>
              <w:pStyle w:val="DefaultText"/>
              <w:rPr>
                <w:rFonts w:cs="Arial"/>
                <w:sz w:val="20"/>
                <w:szCs w:val="20"/>
                <w:lang w:val="bg-BG"/>
              </w:rPr>
            </w:pPr>
            <w:r w:rsidRPr="00BC513A">
              <w:rPr>
                <w:rFonts w:cs="Arial"/>
                <w:sz w:val="20"/>
                <w:szCs w:val="20"/>
                <w:lang w:val="bg-BG"/>
              </w:rPr>
              <w:t>2</w:t>
            </w:r>
          </w:p>
        </w:tc>
        <w:tc>
          <w:tcPr>
            <w:tcW w:w="3598" w:type="dxa"/>
          </w:tcPr>
          <w:p w14:paraId="51E4569A" w14:textId="77777777" w:rsidR="00E8617E" w:rsidRPr="00BC513A" w:rsidRDefault="00E8617E" w:rsidP="00BC1A5E">
            <w:pPr>
              <w:spacing w:line="280" w:lineRule="atLeast"/>
              <w:jc w:val="both"/>
              <w:rPr>
                <w:rFonts w:ascii="Arial" w:hAnsi="Arial" w:cs="Arial"/>
                <w:sz w:val="20"/>
                <w:szCs w:val="20"/>
                <w:lang w:eastAsia="de-DE"/>
              </w:rPr>
            </w:pPr>
            <w:r w:rsidRPr="00BC513A">
              <w:rPr>
                <w:rFonts w:ascii="Arial" w:hAnsi="Arial" w:cs="Arial"/>
                <w:sz w:val="20"/>
                <w:szCs w:val="20"/>
                <w:lang w:eastAsia="de-DE"/>
              </w:rPr>
              <w:t>Качество на водата</w:t>
            </w:r>
          </w:p>
        </w:tc>
        <w:tc>
          <w:tcPr>
            <w:tcW w:w="1056" w:type="dxa"/>
            <w:vAlign w:val="center"/>
          </w:tcPr>
          <w:p w14:paraId="3FDB4316" w14:textId="77777777" w:rsidR="00E8617E" w:rsidRPr="00BC1A5E" w:rsidRDefault="00E8617E" w:rsidP="00BC1A5E">
            <w:pPr>
              <w:pStyle w:val="DefaultText"/>
              <w:jc w:val="center"/>
              <w:rPr>
                <w:rFonts w:cs="Arial"/>
                <w:sz w:val="20"/>
                <w:szCs w:val="20"/>
                <w:lang w:val="bg-BG"/>
              </w:rPr>
            </w:pPr>
            <w:r w:rsidRPr="00BC1A5E">
              <w:rPr>
                <w:sz w:val="20"/>
                <w:szCs w:val="20"/>
                <w:lang w:val="bg-BG"/>
              </w:rPr>
              <w:t>ha</w:t>
            </w:r>
          </w:p>
        </w:tc>
        <w:tc>
          <w:tcPr>
            <w:tcW w:w="1123" w:type="dxa"/>
            <w:vAlign w:val="center"/>
          </w:tcPr>
          <w:p w14:paraId="59A98778" w14:textId="77777777" w:rsidR="00E8617E" w:rsidRPr="00BC1A5E" w:rsidRDefault="00E8617E" w:rsidP="00046AF8">
            <w:pPr>
              <w:pStyle w:val="DefaultText"/>
              <w:jc w:val="right"/>
              <w:rPr>
                <w:rFonts w:cs="Arial"/>
                <w:sz w:val="20"/>
                <w:szCs w:val="20"/>
                <w:lang w:val="bg-BG"/>
              </w:rPr>
            </w:pPr>
            <w:r w:rsidRPr="00BC1A5E">
              <w:rPr>
                <w:sz w:val="20"/>
                <w:szCs w:val="20"/>
                <w:lang w:val="bg-BG"/>
              </w:rPr>
              <w:t>179 000</w:t>
            </w:r>
          </w:p>
        </w:tc>
        <w:tc>
          <w:tcPr>
            <w:tcW w:w="1362" w:type="dxa"/>
            <w:vAlign w:val="center"/>
          </w:tcPr>
          <w:p w14:paraId="57BEF6AF" w14:textId="77777777" w:rsidR="00E8617E" w:rsidRPr="00BC1A5E" w:rsidRDefault="00E8617E" w:rsidP="00046AF8">
            <w:pPr>
              <w:pStyle w:val="DefaultText"/>
              <w:jc w:val="right"/>
              <w:rPr>
                <w:rFonts w:cs="Arial"/>
                <w:sz w:val="20"/>
                <w:szCs w:val="20"/>
                <w:lang w:val="bg-BG"/>
              </w:rPr>
            </w:pPr>
            <w:r w:rsidRPr="00BC1A5E">
              <w:rPr>
                <w:sz w:val="20"/>
                <w:szCs w:val="20"/>
                <w:lang w:val="bg-BG"/>
              </w:rPr>
              <w:t>564 467</w:t>
            </w:r>
          </w:p>
        </w:tc>
        <w:tc>
          <w:tcPr>
            <w:tcW w:w="1420" w:type="dxa"/>
            <w:vAlign w:val="center"/>
          </w:tcPr>
          <w:p w14:paraId="540A8D96" w14:textId="42D95436" w:rsidR="00E8617E" w:rsidRPr="00BC1A5E" w:rsidRDefault="00E8617E" w:rsidP="00BC1A5E">
            <w:pPr>
              <w:pStyle w:val="DefaultText"/>
              <w:jc w:val="center"/>
              <w:rPr>
                <w:rFonts w:cs="Arial"/>
                <w:sz w:val="20"/>
                <w:szCs w:val="20"/>
                <w:lang w:val="bg-BG"/>
              </w:rPr>
            </w:pPr>
            <w:r w:rsidRPr="00BC1A5E">
              <w:rPr>
                <w:rFonts w:cs="Arial"/>
                <w:sz w:val="20"/>
                <w:szCs w:val="20"/>
                <w:lang w:val="bg-BG"/>
              </w:rPr>
              <w:t>315</w:t>
            </w:r>
            <w:r w:rsidR="00046AF8">
              <w:rPr>
                <w:rFonts w:cs="Arial"/>
                <w:sz w:val="20"/>
                <w:szCs w:val="20"/>
                <w:lang w:val="bg-BG"/>
              </w:rPr>
              <w:t>%</w:t>
            </w:r>
          </w:p>
        </w:tc>
      </w:tr>
      <w:tr w:rsidR="00E8617E" w:rsidRPr="00BC513A" w14:paraId="162BC62B" w14:textId="77777777" w:rsidTr="00BC1A5E">
        <w:tc>
          <w:tcPr>
            <w:tcW w:w="501" w:type="dxa"/>
          </w:tcPr>
          <w:p w14:paraId="2F4461FE" w14:textId="77777777" w:rsidR="00E8617E" w:rsidRPr="00BC513A" w:rsidRDefault="00E8617E" w:rsidP="00BC1A5E">
            <w:pPr>
              <w:pStyle w:val="DefaultText"/>
              <w:rPr>
                <w:rFonts w:cs="Arial"/>
                <w:sz w:val="20"/>
                <w:szCs w:val="20"/>
                <w:lang w:val="bg-BG"/>
              </w:rPr>
            </w:pPr>
            <w:r w:rsidRPr="00BC513A">
              <w:rPr>
                <w:rFonts w:cs="Arial"/>
                <w:sz w:val="20"/>
                <w:szCs w:val="20"/>
                <w:lang w:val="bg-BG"/>
              </w:rPr>
              <w:t>3</w:t>
            </w:r>
          </w:p>
        </w:tc>
        <w:tc>
          <w:tcPr>
            <w:tcW w:w="3598" w:type="dxa"/>
          </w:tcPr>
          <w:p w14:paraId="6D700EE8" w14:textId="77777777" w:rsidR="00E8617E" w:rsidRPr="00BC513A" w:rsidRDefault="00E8617E" w:rsidP="00BC1A5E">
            <w:pPr>
              <w:spacing w:line="280" w:lineRule="atLeast"/>
              <w:jc w:val="both"/>
              <w:rPr>
                <w:rFonts w:ascii="Arial" w:hAnsi="Arial" w:cs="Arial"/>
                <w:sz w:val="20"/>
                <w:szCs w:val="20"/>
                <w:lang w:eastAsia="de-DE"/>
              </w:rPr>
            </w:pPr>
            <w:r w:rsidRPr="00BC513A">
              <w:rPr>
                <w:rFonts w:ascii="Arial" w:hAnsi="Arial" w:cs="Arial"/>
                <w:sz w:val="20"/>
                <w:szCs w:val="20"/>
                <w:lang w:eastAsia="de-DE"/>
              </w:rPr>
              <w:t>Изменението на климата</w:t>
            </w:r>
          </w:p>
        </w:tc>
        <w:tc>
          <w:tcPr>
            <w:tcW w:w="1056" w:type="dxa"/>
            <w:vAlign w:val="center"/>
          </w:tcPr>
          <w:p w14:paraId="7EF8DEFA" w14:textId="77777777" w:rsidR="00E8617E" w:rsidRPr="00BC1A5E" w:rsidRDefault="00E8617E" w:rsidP="00BC1A5E">
            <w:pPr>
              <w:pStyle w:val="DefaultText"/>
              <w:jc w:val="center"/>
              <w:rPr>
                <w:rFonts w:cs="Arial"/>
                <w:sz w:val="20"/>
                <w:szCs w:val="20"/>
                <w:lang w:val="bg-BG"/>
              </w:rPr>
            </w:pPr>
            <w:r w:rsidRPr="00BC1A5E">
              <w:rPr>
                <w:sz w:val="20"/>
                <w:szCs w:val="20"/>
                <w:lang w:val="bg-BG"/>
              </w:rPr>
              <w:t>ha</w:t>
            </w:r>
          </w:p>
        </w:tc>
        <w:tc>
          <w:tcPr>
            <w:tcW w:w="1123" w:type="dxa"/>
            <w:vAlign w:val="center"/>
          </w:tcPr>
          <w:p w14:paraId="2C8F1109" w14:textId="77777777" w:rsidR="00E8617E" w:rsidRPr="00BC1A5E" w:rsidRDefault="00E8617E" w:rsidP="00046AF8">
            <w:pPr>
              <w:pStyle w:val="DefaultText"/>
              <w:jc w:val="right"/>
              <w:rPr>
                <w:rFonts w:cs="Arial"/>
                <w:sz w:val="20"/>
                <w:szCs w:val="20"/>
                <w:lang w:val="bg-BG"/>
              </w:rPr>
            </w:pPr>
            <w:r w:rsidRPr="00BC1A5E">
              <w:rPr>
                <w:sz w:val="20"/>
                <w:szCs w:val="20"/>
                <w:lang w:val="bg-BG"/>
              </w:rPr>
              <w:t>178 000</w:t>
            </w:r>
          </w:p>
        </w:tc>
        <w:tc>
          <w:tcPr>
            <w:tcW w:w="1362" w:type="dxa"/>
            <w:vAlign w:val="center"/>
          </w:tcPr>
          <w:p w14:paraId="078D559F" w14:textId="77777777" w:rsidR="00E8617E" w:rsidRPr="00BC1A5E" w:rsidRDefault="00E8617E" w:rsidP="00046AF8">
            <w:pPr>
              <w:pStyle w:val="DefaultText"/>
              <w:jc w:val="right"/>
              <w:rPr>
                <w:rFonts w:cs="Arial"/>
                <w:sz w:val="20"/>
                <w:szCs w:val="20"/>
                <w:lang w:val="bg-BG"/>
              </w:rPr>
            </w:pPr>
            <w:r w:rsidRPr="00BC1A5E">
              <w:rPr>
                <w:sz w:val="20"/>
                <w:szCs w:val="20"/>
                <w:lang w:val="bg-BG"/>
              </w:rPr>
              <w:t>591 297</w:t>
            </w:r>
          </w:p>
        </w:tc>
        <w:tc>
          <w:tcPr>
            <w:tcW w:w="1420" w:type="dxa"/>
            <w:vAlign w:val="center"/>
          </w:tcPr>
          <w:p w14:paraId="541A75F3" w14:textId="268079E1" w:rsidR="00E8617E" w:rsidRPr="00BC1A5E" w:rsidRDefault="00E8617E" w:rsidP="00BC1A5E">
            <w:pPr>
              <w:pStyle w:val="DefaultText"/>
              <w:jc w:val="center"/>
              <w:rPr>
                <w:rFonts w:cs="Arial"/>
                <w:sz w:val="20"/>
                <w:szCs w:val="20"/>
                <w:lang w:val="bg-BG"/>
              </w:rPr>
            </w:pPr>
            <w:r w:rsidRPr="00BC1A5E">
              <w:rPr>
                <w:rFonts w:cs="Arial"/>
                <w:sz w:val="20"/>
                <w:szCs w:val="20"/>
                <w:lang w:val="bg-BG"/>
              </w:rPr>
              <w:t>332</w:t>
            </w:r>
            <w:r w:rsidR="00046AF8">
              <w:rPr>
                <w:rFonts w:cs="Arial"/>
                <w:sz w:val="20"/>
                <w:szCs w:val="20"/>
                <w:lang w:val="bg-BG"/>
              </w:rPr>
              <w:t>%</w:t>
            </w:r>
          </w:p>
        </w:tc>
      </w:tr>
      <w:tr w:rsidR="00E8617E" w:rsidRPr="00BC513A" w14:paraId="25370FCB" w14:textId="77777777" w:rsidTr="00BC1A5E">
        <w:tc>
          <w:tcPr>
            <w:tcW w:w="501" w:type="dxa"/>
          </w:tcPr>
          <w:p w14:paraId="285E1FC3" w14:textId="77777777" w:rsidR="00E8617E" w:rsidRPr="00BC513A" w:rsidRDefault="00E8617E" w:rsidP="00BC1A5E">
            <w:pPr>
              <w:pStyle w:val="DefaultText"/>
              <w:rPr>
                <w:rFonts w:cs="Arial"/>
                <w:sz w:val="20"/>
                <w:szCs w:val="20"/>
                <w:lang w:val="bg-BG"/>
              </w:rPr>
            </w:pPr>
            <w:r w:rsidRPr="00BC513A">
              <w:rPr>
                <w:rFonts w:cs="Arial"/>
                <w:sz w:val="20"/>
                <w:szCs w:val="20"/>
                <w:lang w:val="bg-BG"/>
              </w:rPr>
              <w:t>4</w:t>
            </w:r>
          </w:p>
        </w:tc>
        <w:tc>
          <w:tcPr>
            <w:tcW w:w="3598" w:type="dxa"/>
          </w:tcPr>
          <w:p w14:paraId="3DF541E6" w14:textId="77777777" w:rsidR="00E8617E" w:rsidRPr="00BC513A" w:rsidRDefault="00E8617E" w:rsidP="00BC1A5E">
            <w:pPr>
              <w:spacing w:line="280" w:lineRule="atLeast"/>
              <w:jc w:val="both"/>
              <w:rPr>
                <w:rFonts w:ascii="Arial" w:hAnsi="Arial" w:cs="Arial"/>
                <w:sz w:val="20"/>
                <w:szCs w:val="20"/>
                <w:lang w:eastAsia="de-DE"/>
              </w:rPr>
            </w:pPr>
            <w:r w:rsidRPr="00BC513A">
              <w:rPr>
                <w:rFonts w:ascii="Arial" w:hAnsi="Arial" w:cs="Arial"/>
                <w:sz w:val="20"/>
                <w:szCs w:val="20"/>
                <w:lang w:eastAsia="de-DE"/>
              </w:rPr>
              <w:t>Качеството на почвите</w:t>
            </w:r>
          </w:p>
        </w:tc>
        <w:tc>
          <w:tcPr>
            <w:tcW w:w="1056" w:type="dxa"/>
            <w:vAlign w:val="center"/>
          </w:tcPr>
          <w:p w14:paraId="04EDE807" w14:textId="77777777" w:rsidR="00E8617E" w:rsidRPr="00BC1A5E" w:rsidRDefault="00E8617E" w:rsidP="00BC1A5E">
            <w:pPr>
              <w:pStyle w:val="DefaultText"/>
              <w:jc w:val="center"/>
              <w:rPr>
                <w:rFonts w:cs="Arial"/>
                <w:sz w:val="20"/>
                <w:szCs w:val="20"/>
                <w:lang w:val="bg-BG"/>
              </w:rPr>
            </w:pPr>
            <w:r w:rsidRPr="00BC1A5E">
              <w:rPr>
                <w:sz w:val="20"/>
                <w:szCs w:val="20"/>
                <w:lang w:val="bg-BG"/>
              </w:rPr>
              <w:t>ha</w:t>
            </w:r>
          </w:p>
        </w:tc>
        <w:tc>
          <w:tcPr>
            <w:tcW w:w="1123" w:type="dxa"/>
            <w:vAlign w:val="center"/>
          </w:tcPr>
          <w:p w14:paraId="35EB155B" w14:textId="77777777" w:rsidR="00E8617E" w:rsidRPr="00BC1A5E" w:rsidRDefault="00E8617E" w:rsidP="00046AF8">
            <w:pPr>
              <w:pStyle w:val="DefaultText"/>
              <w:jc w:val="right"/>
              <w:rPr>
                <w:rFonts w:cs="Arial"/>
                <w:sz w:val="20"/>
                <w:szCs w:val="20"/>
                <w:lang w:val="bg-BG"/>
              </w:rPr>
            </w:pPr>
            <w:r w:rsidRPr="00BC1A5E">
              <w:rPr>
                <w:sz w:val="20"/>
                <w:szCs w:val="20"/>
                <w:lang w:val="bg-BG"/>
              </w:rPr>
              <w:t>233 000</w:t>
            </w:r>
          </w:p>
        </w:tc>
        <w:tc>
          <w:tcPr>
            <w:tcW w:w="1362" w:type="dxa"/>
            <w:vAlign w:val="center"/>
          </w:tcPr>
          <w:p w14:paraId="169F2279" w14:textId="77777777" w:rsidR="00E8617E" w:rsidRPr="00BC1A5E" w:rsidRDefault="00E8617E" w:rsidP="00046AF8">
            <w:pPr>
              <w:pStyle w:val="DefaultText"/>
              <w:jc w:val="right"/>
              <w:rPr>
                <w:rFonts w:cs="Arial"/>
                <w:sz w:val="20"/>
                <w:szCs w:val="20"/>
                <w:lang w:val="bg-BG"/>
              </w:rPr>
            </w:pPr>
            <w:r w:rsidRPr="00BC1A5E">
              <w:rPr>
                <w:sz w:val="20"/>
                <w:szCs w:val="20"/>
                <w:lang w:val="bg-BG"/>
              </w:rPr>
              <w:t>565 777</w:t>
            </w:r>
          </w:p>
        </w:tc>
        <w:tc>
          <w:tcPr>
            <w:tcW w:w="1420" w:type="dxa"/>
            <w:vAlign w:val="center"/>
          </w:tcPr>
          <w:p w14:paraId="71FA2A56" w14:textId="29D0738C" w:rsidR="00E8617E" w:rsidRPr="00BC1A5E" w:rsidRDefault="00E8617E" w:rsidP="00BC1A5E">
            <w:pPr>
              <w:pStyle w:val="DefaultText"/>
              <w:jc w:val="center"/>
              <w:rPr>
                <w:rFonts w:cs="Arial"/>
                <w:sz w:val="20"/>
                <w:szCs w:val="20"/>
                <w:lang w:val="bg-BG"/>
              </w:rPr>
            </w:pPr>
            <w:r w:rsidRPr="00BC1A5E">
              <w:rPr>
                <w:rFonts w:cs="Arial"/>
                <w:sz w:val="20"/>
                <w:szCs w:val="20"/>
                <w:lang w:val="bg-BG"/>
              </w:rPr>
              <w:t>243</w:t>
            </w:r>
            <w:r w:rsidR="00046AF8">
              <w:rPr>
                <w:rFonts w:cs="Arial"/>
                <w:sz w:val="20"/>
                <w:szCs w:val="20"/>
                <w:lang w:val="bg-BG"/>
              </w:rPr>
              <w:t>%</w:t>
            </w:r>
          </w:p>
        </w:tc>
      </w:tr>
      <w:tr w:rsidR="00E8617E" w:rsidRPr="00BC513A" w14:paraId="4F20970A" w14:textId="77777777" w:rsidTr="00BC1A5E">
        <w:tc>
          <w:tcPr>
            <w:tcW w:w="501" w:type="dxa"/>
          </w:tcPr>
          <w:p w14:paraId="4C659D9C" w14:textId="77777777" w:rsidR="00E8617E" w:rsidRPr="00BC513A" w:rsidRDefault="00E8617E" w:rsidP="00BC1A5E">
            <w:pPr>
              <w:pStyle w:val="DefaultText"/>
              <w:rPr>
                <w:rFonts w:cs="Arial"/>
                <w:sz w:val="20"/>
                <w:szCs w:val="20"/>
                <w:lang w:val="bg-BG"/>
              </w:rPr>
            </w:pPr>
            <w:r w:rsidRPr="00BC513A">
              <w:rPr>
                <w:rFonts w:cs="Arial"/>
                <w:sz w:val="20"/>
                <w:szCs w:val="20"/>
                <w:lang w:val="bg-BG"/>
              </w:rPr>
              <w:t>5</w:t>
            </w:r>
          </w:p>
        </w:tc>
        <w:tc>
          <w:tcPr>
            <w:tcW w:w="3598" w:type="dxa"/>
          </w:tcPr>
          <w:p w14:paraId="715C52B8" w14:textId="77777777" w:rsidR="00E8617E" w:rsidRPr="00BC513A" w:rsidRDefault="00E8617E" w:rsidP="00BC1A5E">
            <w:pPr>
              <w:spacing w:line="280" w:lineRule="atLeast"/>
              <w:jc w:val="both"/>
              <w:rPr>
                <w:rFonts w:ascii="Arial" w:hAnsi="Arial" w:cs="Arial"/>
                <w:sz w:val="20"/>
                <w:szCs w:val="20"/>
                <w:lang w:eastAsia="de-DE"/>
              </w:rPr>
            </w:pPr>
            <w:r w:rsidRPr="00BC513A">
              <w:rPr>
                <w:rFonts w:ascii="Arial" w:hAnsi="Arial" w:cs="Arial"/>
                <w:sz w:val="20"/>
                <w:szCs w:val="20"/>
                <w:lang w:eastAsia="de-DE"/>
              </w:rPr>
              <w:t>Предотвратяване на маргинализацията и изоставянето на земи</w:t>
            </w:r>
          </w:p>
        </w:tc>
        <w:tc>
          <w:tcPr>
            <w:tcW w:w="1056" w:type="dxa"/>
            <w:vAlign w:val="center"/>
          </w:tcPr>
          <w:p w14:paraId="7DDE5001" w14:textId="77777777" w:rsidR="00E8617E" w:rsidRPr="00BC1A5E" w:rsidRDefault="00E8617E" w:rsidP="00BC1A5E">
            <w:pPr>
              <w:pStyle w:val="DefaultText"/>
              <w:jc w:val="center"/>
              <w:rPr>
                <w:rFonts w:cs="Arial"/>
                <w:sz w:val="20"/>
                <w:szCs w:val="20"/>
                <w:lang w:val="bg-BG"/>
              </w:rPr>
            </w:pPr>
            <w:r w:rsidRPr="00BC1A5E">
              <w:rPr>
                <w:sz w:val="20"/>
                <w:szCs w:val="20"/>
                <w:lang w:val="bg-BG"/>
              </w:rPr>
              <w:t>ha</w:t>
            </w:r>
          </w:p>
        </w:tc>
        <w:tc>
          <w:tcPr>
            <w:tcW w:w="1123" w:type="dxa"/>
            <w:vAlign w:val="center"/>
          </w:tcPr>
          <w:p w14:paraId="54B03D9C" w14:textId="77777777" w:rsidR="00E8617E" w:rsidRPr="00BC1A5E" w:rsidRDefault="00E8617E" w:rsidP="00046AF8">
            <w:pPr>
              <w:pStyle w:val="DefaultText"/>
              <w:jc w:val="right"/>
              <w:rPr>
                <w:rFonts w:cs="Arial"/>
                <w:sz w:val="20"/>
                <w:szCs w:val="20"/>
                <w:lang w:val="bg-BG"/>
              </w:rPr>
            </w:pPr>
            <w:r w:rsidRPr="00BC1A5E">
              <w:rPr>
                <w:sz w:val="20"/>
                <w:szCs w:val="20"/>
                <w:lang w:val="bg-BG"/>
              </w:rPr>
              <w:t>618 000</w:t>
            </w:r>
          </w:p>
        </w:tc>
        <w:tc>
          <w:tcPr>
            <w:tcW w:w="1362" w:type="dxa"/>
            <w:vAlign w:val="center"/>
          </w:tcPr>
          <w:p w14:paraId="75853350" w14:textId="26A7E8FD" w:rsidR="00E8617E" w:rsidRPr="00BC1A5E" w:rsidRDefault="00E8617E" w:rsidP="00046AF8">
            <w:pPr>
              <w:pStyle w:val="DefaultText"/>
              <w:jc w:val="right"/>
              <w:rPr>
                <w:sz w:val="20"/>
                <w:szCs w:val="20"/>
                <w:lang w:val="bg-BG"/>
              </w:rPr>
            </w:pPr>
            <w:r w:rsidRPr="00BC1A5E">
              <w:rPr>
                <w:sz w:val="20"/>
                <w:szCs w:val="20"/>
                <w:lang w:val="bg-BG"/>
              </w:rPr>
              <w:t>326 286</w:t>
            </w:r>
          </w:p>
        </w:tc>
        <w:tc>
          <w:tcPr>
            <w:tcW w:w="1420" w:type="dxa"/>
            <w:vAlign w:val="center"/>
          </w:tcPr>
          <w:p w14:paraId="120E7163" w14:textId="3CED8E49" w:rsidR="00E8617E" w:rsidRPr="00BC1A5E" w:rsidRDefault="00E8617E" w:rsidP="00BC1A5E">
            <w:pPr>
              <w:pStyle w:val="DefaultText"/>
              <w:jc w:val="center"/>
              <w:rPr>
                <w:rFonts w:cs="Arial"/>
                <w:sz w:val="20"/>
                <w:szCs w:val="20"/>
                <w:lang w:val="bg-BG"/>
              </w:rPr>
            </w:pPr>
            <w:r w:rsidRPr="00BC1A5E">
              <w:rPr>
                <w:rFonts w:cs="Arial"/>
                <w:sz w:val="20"/>
                <w:szCs w:val="20"/>
                <w:lang w:val="bg-BG"/>
              </w:rPr>
              <w:t>53</w:t>
            </w:r>
            <w:r w:rsidR="00046AF8">
              <w:rPr>
                <w:rFonts w:cs="Arial"/>
                <w:sz w:val="20"/>
                <w:szCs w:val="20"/>
                <w:lang w:val="bg-BG"/>
              </w:rPr>
              <w:t>%</w:t>
            </w:r>
          </w:p>
        </w:tc>
      </w:tr>
      <w:tr w:rsidR="00E8617E" w:rsidRPr="00BC513A" w14:paraId="6FA8E7DF" w14:textId="77777777" w:rsidTr="00BC1A5E">
        <w:tc>
          <w:tcPr>
            <w:tcW w:w="501" w:type="dxa"/>
          </w:tcPr>
          <w:p w14:paraId="304F3DB0" w14:textId="77777777" w:rsidR="00E8617E" w:rsidRPr="00BC513A" w:rsidRDefault="00E8617E" w:rsidP="00BC1A5E">
            <w:pPr>
              <w:pStyle w:val="DefaultText"/>
              <w:rPr>
                <w:rFonts w:cs="Arial"/>
                <w:sz w:val="20"/>
                <w:szCs w:val="20"/>
                <w:lang w:val="bg-BG"/>
              </w:rPr>
            </w:pPr>
            <w:r w:rsidRPr="00BC513A">
              <w:rPr>
                <w:rFonts w:cs="Arial"/>
                <w:sz w:val="20"/>
                <w:szCs w:val="20"/>
                <w:lang w:val="bg-BG"/>
              </w:rPr>
              <w:t>6</w:t>
            </w:r>
          </w:p>
        </w:tc>
        <w:tc>
          <w:tcPr>
            <w:tcW w:w="3598" w:type="dxa"/>
          </w:tcPr>
          <w:p w14:paraId="6AFE67B8" w14:textId="77777777" w:rsidR="00E8617E" w:rsidRPr="00BC513A" w:rsidRDefault="00E8617E" w:rsidP="00BC1A5E">
            <w:pPr>
              <w:spacing w:line="280" w:lineRule="atLeast"/>
              <w:jc w:val="both"/>
              <w:rPr>
                <w:rFonts w:ascii="Arial" w:hAnsi="Arial" w:cs="Arial"/>
                <w:sz w:val="20"/>
                <w:szCs w:val="20"/>
                <w:lang w:eastAsia="de-DE"/>
              </w:rPr>
            </w:pPr>
            <w:r w:rsidRPr="00BC513A">
              <w:rPr>
                <w:rFonts w:ascii="Arial" w:hAnsi="Arial" w:cs="Arial"/>
                <w:sz w:val="20"/>
                <w:szCs w:val="20"/>
                <w:lang w:eastAsia="de-DE"/>
              </w:rPr>
              <w:t>Биологично земеделие</w:t>
            </w:r>
          </w:p>
          <w:p w14:paraId="3CDDF56E" w14:textId="77777777" w:rsidR="00E8617E" w:rsidRPr="00BC513A" w:rsidRDefault="00E8617E" w:rsidP="00BC1A5E">
            <w:pPr>
              <w:spacing w:line="280" w:lineRule="atLeast"/>
              <w:jc w:val="both"/>
              <w:rPr>
                <w:rFonts w:ascii="Arial" w:hAnsi="Arial" w:cs="Arial"/>
                <w:sz w:val="16"/>
                <w:szCs w:val="16"/>
                <w:lang w:eastAsia="de-DE"/>
              </w:rPr>
            </w:pPr>
            <w:r w:rsidRPr="00BC513A">
              <w:rPr>
                <w:rFonts w:ascii="Arial" w:hAnsi="Arial" w:cs="Arial"/>
                <w:sz w:val="16"/>
                <w:szCs w:val="16"/>
                <w:lang w:eastAsia="de-DE"/>
              </w:rPr>
              <w:t>(Национален индикатор)</w:t>
            </w:r>
          </w:p>
        </w:tc>
        <w:tc>
          <w:tcPr>
            <w:tcW w:w="1056" w:type="dxa"/>
            <w:vAlign w:val="center"/>
          </w:tcPr>
          <w:p w14:paraId="2A1D52E8" w14:textId="77777777" w:rsidR="00E8617E" w:rsidRPr="00BC1A5E" w:rsidRDefault="00E8617E" w:rsidP="00BC1A5E">
            <w:pPr>
              <w:pStyle w:val="DefaultText"/>
              <w:jc w:val="center"/>
              <w:rPr>
                <w:sz w:val="20"/>
                <w:szCs w:val="20"/>
                <w:lang w:val="bg-BG"/>
              </w:rPr>
            </w:pPr>
            <w:r w:rsidRPr="00BC1A5E">
              <w:rPr>
                <w:sz w:val="20"/>
                <w:szCs w:val="20"/>
                <w:lang w:val="bg-BG"/>
              </w:rPr>
              <w:t>ha</w:t>
            </w:r>
          </w:p>
        </w:tc>
        <w:tc>
          <w:tcPr>
            <w:tcW w:w="1123" w:type="dxa"/>
            <w:vAlign w:val="center"/>
          </w:tcPr>
          <w:p w14:paraId="42024EDF" w14:textId="77777777" w:rsidR="00E8617E" w:rsidRPr="00BC1A5E" w:rsidRDefault="00E8617E" w:rsidP="00046AF8">
            <w:pPr>
              <w:pStyle w:val="DefaultText"/>
              <w:jc w:val="right"/>
              <w:rPr>
                <w:sz w:val="20"/>
                <w:szCs w:val="20"/>
                <w:lang w:val="bg-BG"/>
              </w:rPr>
            </w:pPr>
            <w:r w:rsidRPr="00BC1A5E">
              <w:rPr>
                <w:sz w:val="20"/>
                <w:szCs w:val="20"/>
                <w:lang w:val="bg-BG"/>
              </w:rPr>
              <w:t>63 000</w:t>
            </w:r>
          </w:p>
        </w:tc>
        <w:tc>
          <w:tcPr>
            <w:tcW w:w="1362" w:type="dxa"/>
            <w:vAlign w:val="center"/>
          </w:tcPr>
          <w:p w14:paraId="6D988A84" w14:textId="77777777" w:rsidR="00E8617E" w:rsidRPr="00BC1A5E" w:rsidRDefault="00E8617E" w:rsidP="00046AF8">
            <w:pPr>
              <w:pStyle w:val="DefaultText"/>
              <w:jc w:val="right"/>
              <w:rPr>
                <w:sz w:val="20"/>
                <w:szCs w:val="20"/>
                <w:lang w:val="bg-BG"/>
              </w:rPr>
            </w:pPr>
            <w:r w:rsidRPr="00BC1A5E">
              <w:rPr>
                <w:sz w:val="20"/>
                <w:szCs w:val="20"/>
                <w:lang w:val="bg-BG"/>
              </w:rPr>
              <w:t>29 849</w:t>
            </w:r>
          </w:p>
        </w:tc>
        <w:tc>
          <w:tcPr>
            <w:tcW w:w="1420" w:type="dxa"/>
            <w:vAlign w:val="center"/>
          </w:tcPr>
          <w:p w14:paraId="1006CB10" w14:textId="00786ADA" w:rsidR="00E8617E" w:rsidRPr="00BC1A5E" w:rsidRDefault="00E8617E" w:rsidP="00BC1A5E">
            <w:pPr>
              <w:pStyle w:val="DefaultText"/>
              <w:jc w:val="center"/>
              <w:rPr>
                <w:rFonts w:cs="Arial"/>
                <w:sz w:val="20"/>
                <w:szCs w:val="20"/>
                <w:lang w:val="bg-BG"/>
              </w:rPr>
            </w:pPr>
            <w:r w:rsidRPr="00BC1A5E">
              <w:rPr>
                <w:rFonts w:cs="Arial"/>
                <w:sz w:val="20"/>
                <w:szCs w:val="20"/>
                <w:lang w:val="bg-BG"/>
              </w:rPr>
              <w:t>47</w:t>
            </w:r>
            <w:r w:rsidR="00046AF8">
              <w:rPr>
                <w:rFonts w:cs="Arial"/>
                <w:sz w:val="20"/>
                <w:szCs w:val="20"/>
                <w:lang w:val="bg-BG"/>
              </w:rPr>
              <w:t>%</w:t>
            </w:r>
          </w:p>
        </w:tc>
      </w:tr>
    </w:tbl>
    <w:p w14:paraId="3DD445A8" w14:textId="77777777" w:rsidR="00E8617E" w:rsidRPr="00BC1A5E" w:rsidRDefault="00E8617E" w:rsidP="00E8617E">
      <w:pPr>
        <w:pStyle w:val="DefaultText"/>
        <w:rPr>
          <w:szCs w:val="18"/>
          <w:lang w:val="bg-BG"/>
        </w:rPr>
      </w:pPr>
      <w:r w:rsidRPr="00BC1A5E">
        <w:rPr>
          <w:szCs w:val="18"/>
          <w:lang w:val="bg-BG"/>
        </w:rPr>
        <w:t xml:space="preserve">Източник: ПРСР 2007-2013, Годишен доклад за изпълнението на ПРСР 2007-2013 г. за 2015г. и приложенията към него </w:t>
      </w:r>
    </w:p>
    <w:p w14:paraId="13810A63" w14:textId="77777777" w:rsidR="00E8617E" w:rsidRPr="00BC513A" w:rsidRDefault="00E8617E" w:rsidP="00E8617E">
      <w:pPr>
        <w:pStyle w:val="DefaultText"/>
        <w:rPr>
          <w:szCs w:val="18"/>
          <w:lang w:val="bg-BG"/>
        </w:rPr>
      </w:pPr>
    </w:p>
    <w:p w14:paraId="58782EF6" w14:textId="2CB4B79A"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Целта на ПРСР за биоразнообразието и високата природна стойност на земеделските земи е постигната на 133% в сравнение с поставената цел. Този принос се осигурява от плащанията на площ по всички мерки по ос 2. Приносът на мерки 211, 212 и 214 се изчислява на базата на подпомагана площ с местообитания на ливаден блатар както са посочени в </w:t>
      </w:r>
      <w:r w:rsidR="00564710">
        <w:rPr>
          <w:sz w:val="22"/>
          <w:szCs w:val="22"/>
          <w:lang w:val="bg-BG"/>
        </w:rPr>
        <w:t>п</w:t>
      </w:r>
      <w:r w:rsidRPr="00BC513A">
        <w:rPr>
          <w:sz w:val="22"/>
          <w:szCs w:val="22"/>
          <w:lang w:val="bg-BG"/>
        </w:rPr>
        <w:t xml:space="preserve">риложенията към Наредбата за изпълнение на мярка 214, а също така и на зимуващи гъски. Приносът за смекчаването на промените в климата от подпомаганите горски площи по мярка 223 и мярка 226 е повече от 58%, като по отношение на мярка 226 са взети всички подпомагани площи. </w:t>
      </w:r>
    </w:p>
    <w:p w14:paraId="15AE79A6" w14:textId="2BF45A1A" w:rsidR="00E8617E" w:rsidRPr="00BC513A" w:rsidRDefault="00E8617E" w:rsidP="00E8617E">
      <w:pPr>
        <w:pStyle w:val="DefaultText"/>
        <w:spacing w:after="120" w:line="300" w:lineRule="atLeast"/>
        <w:ind w:firstLine="709"/>
        <w:rPr>
          <w:sz w:val="20"/>
          <w:szCs w:val="20"/>
          <w:lang w:val="bg-BG"/>
        </w:rPr>
      </w:pPr>
      <w:r w:rsidRPr="00BC513A">
        <w:rPr>
          <w:sz w:val="22"/>
          <w:szCs w:val="22"/>
          <w:lang w:val="bg-BG"/>
        </w:rPr>
        <w:t xml:space="preserve">Поддържане на местообитанията (ВПС4) по мярка 214 </w:t>
      </w:r>
      <w:r w:rsidR="000162FF">
        <w:rPr>
          <w:sz w:val="22"/>
          <w:szCs w:val="22"/>
          <w:lang w:val="bg-BG"/>
        </w:rPr>
        <w:t>–</w:t>
      </w:r>
      <w:r w:rsidRPr="00BC513A">
        <w:rPr>
          <w:sz w:val="22"/>
          <w:szCs w:val="22"/>
          <w:lang w:val="bg-BG"/>
        </w:rPr>
        <w:t xml:space="preserve"> подпомагана площ с местообитания на ливаден блатар и на зимуващи гъски е представено на фигурите в Приложение 4.</w:t>
      </w:r>
    </w:p>
    <w:p w14:paraId="617D8675"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Целевата стойност на индикатора за </w:t>
      </w:r>
      <w:r w:rsidRPr="00BC513A">
        <w:rPr>
          <w:b/>
          <w:i/>
          <w:sz w:val="22"/>
          <w:szCs w:val="22"/>
          <w:lang w:val="bg-BG"/>
        </w:rPr>
        <w:t>подобряване на качеството на водите</w:t>
      </w:r>
      <w:r w:rsidRPr="00BC513A">
        <w:rPr>
          <w:sz w:val="22"/>
          <w:szCs w:val="22"/>
          <w:lang w:val="bg-BG"/>
        </w:rPr>
        <w:t xml:space="preserve"> е преизпълнена и е постигната на 315%. Около една трета от приноса идва от подкрепата по мерки 211 и  212, както и на мярка 213 площи в населени места, определени като нитратно уязвими зони (илюстрирани в картите в Приложение 4). Друга част е от усвояване по пакетите за почви и води по мярка 214 за обработваеми земи, а най-голям е приносът на мерките по горите и най-вече на мярка 226, като за нея са взети всички подпомагани площи. </w:t>
      </w:r>
    </w:p>
    <w:p w14:paraId="279C1657" w14:textId="670DE7C8"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Приносът за </w:t>
      </w:r>
      <w:r w:rsidRPr="00BC513A">
        <w:rPr>
          <w:b/>
          <w:sz w:val="22"/>
          <w:szCs w:val="22"/>
          <w:lang w:val="bg-BG"/>
        </w:rPr>
        <w:t>смекчаването на промените в климата</w:t>
      </w:r>
      <w:r w:rsidRPr="00BC513A">
        <w:rPr>
          <w:sz w:val="22"/>
          <w:szCs w:val="22"/>
          <w:lang w:val="bg-BG"/>
        </w:rPr>
        <w:t xml:space="preserve"> е постигнат на 332%. За земеделските земи приносът се изчислява въз основа на всички постоянни пасища, подпомагани по мерки 211, 212 и 214, така и по мярка 213 Плащания по Натура 2000 и плащания, свързани с Директива 2000/60/ЕО </w:t>
      </w:r>
      <w:r w:rsidR="000162FF">
        <w:rPr>
          <w:sz w:val="22"/>
          <w:szCs w:val="22"/>
          <w:lang w:val="bg-BG"/>
        </w:rPr>
        <w:t>–</w:t>
      </w:r>
      <w:r w:rsidRPr="00BC513A">
        <w:rPr>
          <w:sz w:val="22"/>
          <w:szCs w:val="22"/>
          <w:lang w:val="bg-BG"/>
        </w:rPr>
        <w:t xml:space="preserve"> за земеделски земи“</w:t>
      </w:r>
      <w:r w:rsidR="000162FF">
        <w:rPr>
          <w:sz w:val="22"/>
          <w:szCs w:val="22"/>
          <w:lang w:val="bg-BG"/>
        </w:rPr>
        <w:t>.</w:t>
      </w:r>
      <w:r w:rsidRPr="00BC513A">
        <w:rPr>
          <w:sz w:val="22"/>
          <w:szCs w:val="22"/>
          <w:lang w:val="bg-BG"/>
        </w:rPr>
        <w:t xml:space="preserve"> Приносът за смекчаването на промените в климата от подпомаганите горски площи – мярка 223 и 226</w:t>
      </w:r>
      <w:r w:rsidR="000162FF">
        <w:rPr>
          <w:sz w:val="22"/>
          <w:szCs w:val="22"/>
          <w:lang w:val="bg-BG"/>
        </w:rPr>
        <w:t>,</w:t>
      </w:r>
      <w:r w:rsidRPr="00BC513A">
        <w:rPr>
          <w:sz w:val="22"/>
          <w:szCs w:val="22"/>
          <w:lang w:val="bg-BG"/>
        </w:rPr>
        <w:t xml:space="preserve"> е повече от 55%, като по отношение на мярка 226 са взети всички подпомагани площи. </w:t>
      </w:r>
    </w:p>
    <w:p w14:paraId="2A11C74C" w14:textId="1B81D57A"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Целта за подобряване на </w:t>
      </w:r>
      <w:r w:rsidRPr="00BC513A">
        <w:rPr>
          <w:b/>
          <w:sz w:val="22"/>
          <w:szCs w:val="22"/>
          <w:lang w:val="bg-BG"/>
        </w:rPr>
        <w:t>качеството на почвите</w:t>
      </w:r>
      <w:r w:rsidRPr="00BC513A">
        <w:rPr>
          <w:sz w:val="22"/>
          <w:szCs w:val="22"/>
          <w:lang w:val="bg-BG"/>
        </w:rPr>
        <w:t xml:space="preserve"> е постигната на 243%. Част от изпълнението е заради площите по мерки 211 и 212 в населени места с идентифицирани проблеми с водната ерозия, както са идентифицирани в </w:t>
      </w:r>
      <w:r w:rsidR="000162FF">
        <w:rPr>
          <w:sz w:val="22"/>
          <w:szCs w:val="22"/>
          <w:lang w:val="bg-BG"/>
        </w:rPr>
        <w:t>п</w:t>
      </w:r>
      <w:r w:rsidRPr="00BC513A">
        <w:rPr>
          <w:sz w:val="22"/>
          <w:szCs w:val="22"/>
          <w:lang w:val="bg-BG"/>
        </w:rPr>
        <w:t xml:space="preserve">риложенията на Наредбата за изпълнение на мярка 214. Принос има както и при изпълнение на мярка 213, така и подмярка Опазване на почвите и водите по мярка 214, а най-голям (повече от половината) е приносът на мерките по горите и най-вече на мярка 226, като за нея са взети всички подпомагани площи. </w:t>
      </w:r>
    </w:p>
    <w:p w14:paraId="07177139" w14:textId="6211FE8D"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Целта за резултат за избягване на маргинализацията и изоставянето на земята е постигната на 53%, което е изчислено чрез размера от всички подпомагани земи по мерки 223 и 226. Не е ясно защо при изчисляване на резултата не е взет приноса на мярка 211, чиято цел е предотвратяването изоставянето на земята и обезлюдяването и на мярка 212, чиято цел е предотвратяването на процеса на обезлюдяване в селските райони. Подпомогнатите по тях площи възлизат на 359 760 ha и 257 079 ha или сумарно на 616 8</w:t>
      </w:r>
      <w:r w:rsidR="000162FF">
        <w:rPr>
          <w:sz w:val="22"/>
          <w:szCs w:val="22"/>
          <w:lang w:val="bg-BG"/>
        </w:rPr>
        <w:t>39</w:t>
      </w:r>
      <w:r w:rsidRPr="00BC513A">
        <w:rPr>
          <w:sz w:val="22"/>
          <w:szCs w:val="22"/>
          <w:lang w:val="bg-BG"/>
        </w:rPr>
        <w:t xml:space="preserve"> ha и като се вземат предвид и тези площи, то изпълнението на целта ще стане 99,8%.</w:t>
      </w:r>
    </w:p>
    <w:p w14:paraId="295F5D8B"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Националният индикатор за подпомагане на биологичното земеделие е постигнат на 47%. </w:t>
      </w:r>
    </w:p>
    <w:p w14:paraId="4A945C10" w14:textId="2880C35D" w:rsidR="00E8617E" w:rsidRPr="00BC513A" w:rsidRDefault="00E8617E" w:rsidP="00E8617E">
      <w:pPr>
        <w:pStyle w:val="Heading3"/>
        <w:numPr>
          <w:ilvl w:val="0"/>
          <w:numId w:val="0"/>
        </w:numPr>
        <w:tabs>
          <w:tab w:val="left" w:pos="709"/>
        </w:tabs>
        <w:ind w:left="709"/>
      </w:pPr>
      <w:bookmarkStart w:id="82" w:name="_Toc504136152"/>
      <w:r w:rsidRPr="00BC513A">
        <w:lastRenderedPageBreak/>
        <w:t>О</w:t>
      </w:r>
      <w:r w:rsidR="00AB2B2B">
        <w:t>с</w:t>
      </w:r>
      <w:r w:rsidR="000162FF">
        <w:t xml:space="preserve"> </w:t>
      </w:r>
      <w:r w:rsidRPr="00BC513A">
        <w:t>3: Качество на живот в селските райони и разнообразяване на селската икономика</w:t>
      </w:r>
      <w:bookmarkEnd w:id="82"/>
    </w:p>
    <w:p w14:paraId="389C9EFD" w14:textId="77777777" w:rsidR="00E8617E" w:rsidRPr="00BC513A" w:rsidRDefault="00E8617E" w:rsidP="00E8617E">
      <w:pPr>
        <w:pStyle w:val="Caption"/>
        <w:spacing w:before="240" w:after="0"/>
        <w:rPr>
          <w:rFonts w:ascii="Arial" w:hAnsi="Arial" w:cs="Arial"/>
          <w:b/>
          <w:i w:val="0"/>
          <w:color w:val="0070C0"/>
          <w:sz w:val="20"/>
          <w:szCs w:val="20"/>
        </w:rPr>
      </w:pPr>
      <w:bookmarkStart w:id="83" w:name="_Toc504136193"/>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21</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Индикатори за резултат ос 3</w:t>
      </w:r>
      <w:bookmarkEnd w:id="83"/>
    </w:p>
    <w:tbl>
      <w:tblPr>
        <w:tblW w:w="9067" w:type="dxa"/>
        <w:tblBorders>
          <w:top w:val="single" w:sz="4" w:space="0" w:color="385623" w:themeColor="accent6" w:themeShade="80"/>
          <w:left w:val="single" w:sz="4" w:space="0" w:color="385623" w:themeColor="accent6" w:themeShade="80"/>
          <w:bottom w:val="single" w:sz="4" w:space="0" w:color="385623" w:themeColor="accent6" w:themeShade="80"/>
          <w:right w:val="single" w:sz="4" w:space="0" w:color="385623" w:themeColor="accent6" w:themeShade="80"/>
          <w:insideH w:val="single" w:sz="4" w:space="0" w:color="385623" w:themeColor="accent6" w:themeShade="80"/>
          <w:insideV w:val="single" w:sz="4" w:space="0" w:color="385623" w:themeColor="accent6" w:themeShade="80"/>
        </w:tblBorders>
        <w:tblLook w:val="04A0" w:firstRow="1" w:lastRow="0" w:firstColumn="1" w:lastColumn="0" w:noHBand="0" w:noVBand="1"/>
      </w:tblPr>
      <w:tblGrid>
        <w:gridCol w:w="450"/>
        <w:gridCol w:w="3212"/>
        <w:gridCol w:w="1446"/>
        <w:gridCol w:w="1133"/>
        <w:gridCol w:w="1406"/>
        <w:gridCol w:w="1420"/>
      </w:tblGrid>
      <w:tr w:rsidR="00E8617E" w:rsidRPr="00BC513A" w14:paraId="4E7F3D10" w14:textId="77777777" w:rsidTr="00922731">
        <w:tc>
          <w:tcPr>
            <w:tcW w:w="450" w:type="dxa"/>
            <w:shd w:val="clear" w:color="auto" w:fill="E2EFD9" w:themeFill="accent6" w:themeFillTint="33"/>
          </w:tcPr>
          <w:p w14:paraId="6B8C2D32" w14:textId="77777777" w:rsidR="00E8617E" w:rsidRPr="00BC513A" w:rsidRDefault="00E8617E" w:rsidP="00922731">
            <w:pPr>
              <w:pStyle w:val="DefaultText"/>
              <w:rPr>
                <w:b/>
                <w:sz w:val="20"/>
                <w:szCs w:val="20"/>
                <w:lang w:val="bg-BG"/>
              </w:rPr>
            </w:pPr>
            <w:r w:rsidRPr="00BC513A">
              <w:rPr>
                <w:b/>
                <w:sz w:val="20"/>
                <w:szCs w:val="20"/>
                <w:lang w:val="bg-BG"/>
              </w:rPr>
              <w:t>№</w:t>
            </w:r>
          </w:p>
        </w:tc>
        <w:tc>
          <w:tcPr>
            <w:tcW w:w="3212" w:type="dxa"/>
            <w:shd w:val="clear" w:color="auto" w:fill="E2EFD9" w:themeFill="accent6" w:themeFillTint="33"/>
          </w:tcPr>
          <w:p w14:paraId="7BAEB678" w14:textId="77777777" w:rsidR="00E8617E" w:rsidRPr="00BC513A" w:rsidRDefault="00E8617E" w:rsidP="00922731">
            <w:pPr>
              <w:pStyle w:val="DefaultText"/>
              <w:rPr>
                <w:b/>
                <w:sz w:val="20"/>
                <w:szCs w:val="20"/>
                <w:lang w:val="bg-BG"/>
              </w:rPr>
            </w:pPr>
            <w:r w:rsidRPr="00BC513A">
              <w:rPr>
                <w:b/>
                <w:sz w:val="20"/>
                <w:szCs w:val="20"/>
                <w:lang w:val="bg-BG"/>
              </w:rPr>
              <w:t>Индикатор</w:t>
            </w:r>
          </w:p>
        </w:tc>
        <w:tc>
          <w:tcPr>
            <w:tcW w:w="1446" w:type="dxa"/>
            <w:shd w:val="clear" w:color="auto" w:fill="E2EFD9" w:themeFill="accent6" w:themeFillTint="33"/>
          </w:tcPr>
          <w:p w14:paraId="789B1B97" w14:textId="77777777" w:rsidR="00E8617E" w:rsidRPr="00BC513A" w:rsidRDefault="00E8617E" w:rsidP="00922731">
            <w:pPr>
              <w:pStyle w:val="DefaultText"/>
              <w:jc w:val="center"/>
              <w:rPr>
                <w:b/>
                <w:sz w:val="20"/>
                <w:szCs w:val="20"/>
                <w:lang w:val="bg-BG"/>
              </w:rPr>
            </w:pPr>
            <w:r w:rsidRPr="00BC513A">
              <w:rPr>
                <w:b/>
                <w:sz w:val="20"/>
                <w:szCs w:val="20"/>
                <w:lang w:val="bg-BG"/>
              </w:rPr>
              <w:t>Мерна единица</w:t>
            </w:r>
          </w:p>
        </w:tc>
        <w:tc>
          <w:tcPr>
            <w:tcW w:w="1133" w:type="dxa"/>
            <w:shd w:val="clear" w:color="auto" w:fill="E2EFD9" w:themeFill="accent6" w:themeFillTint="33"/>
          </w:tcPr>
          <w:p w14:paraId="717E75C0" w14:textId="77777777" w:rsidR="00E8617E" w:rsidRPr="00BC513A" w:rsidRDefault="00E8617E" w:rsidP="00922731">
            <w:pPr>
              <w:pStyle w:val="DefaultText"/>
              <w:jc w:val="center"/>
              <w:rPr>
                <w:b/>
                <w:sz w:val="20"/>
                <w:szCs w:val="20"/>
                <w:lang w:val="bg-BG"/>
              </w:rPr>
            </w:pPr>
            <w:r w:rsidRPr="00BC513A">
              <w:rPr>
                <w:b/>
                <w:sz w:val="20"/>
                <w:szCs w:val="20"/>
                <w:lang w:val="bg-BG"/>
              </w:rPr>
              <w:t>Целева стойност</w:t>
            </w:r>
          </w:p>
        </w:tc>
        <w:tc>
          <w:tcPr>
            <w:tcW w:w="1406" w:type="dxa"/>
            <w:shd w:val="clear" w:color="auto" w:fill="E2EFD9" w:themeFill="accent6" w:themeFillTint="33"/>
          </w:tcPr>
          <w:p w14:paraId="1B78375F" w14:textId="77777777" w:rsidR="00E8617E" w:rsidRPr="00BC513A" w:rsidRDefault="00E8617E" w:rsidP="00922731">
            <w:pPr>
              <w:pStyle w:val="DefaultText"/>
              <w:jc w:val="center"/>
              <w:rPr>
                <w:b/>
                <w:sz w:val="20"/>
                <w:szCs w:val="20"/>
                <w:lang w:val="bg-BG"/>
              </w:rPr>
            </w:pPr>
            <w:r w:rsidRPr="00BC513A">
              <w:rPr>
                <w:b/>
                <w:sz w:val="20"/>
                <w:szCs w:val="20"/>
                <w:lang w:val="bg-BG"/>
              </w:rPr>
              <w:t>Постигната стойност</w:t>
            </w:r>
          </w:p>
        </w:tc>
        <w:tc>
          <w:tcPr>
            <w:tcW w:w="1420" w:type="dxa"/>
            <w:shd w:val="clear" w:color="auto" w:fill="E2EFD9" w:themeFill="accent6" w:themeFillTint="33"/>
          </w:tcPr>
          <w:p w14:paraId="6DF0EB49" w14:textId="77777777" w:rsidR="00E8617E" w:rsidRPr="00BC513A" w:rsidRDefault="00E8617E" w:rsidP="00922731">
            <w:pPr>
              <w:pStyle w:val="DefaultText"/>
              <w:jc w:val="center"/>
              <w:rPr>
                <w:b/>
                <w:sz w:val="20"/>
                <w:szCs w:val="20"/>
                <w:lang w:val="bg-BG"/>
              </w:rPr>
            </w:pPr>
            <w:r w:rsidRPr="00BC513A">
              <w:rPr>
                <w:b/>
                <w:sz w:val="20"/>
                <w:szCs w:val="20"/>
                <w:lang w:val="bg-BG"/>
              </w:rPr>
              <w:t>% на изпълнение</w:t>
            </w:r>
          </w:p>
        </w:tc>
      </w:tr>
      <w:tr w:rsidR="00E8617E" w:rsidRPr="00BC513A" w14:paraId="79EA4B49" w14:textId="77777777" w:rsidTr="00922731">
        <w:tc>
          <w:tcPr>
            <w:tcW w:w="450" w:type="dxa"/>
          </w:tcPr>
          <w:p w14:paraId="02567E3C" w14:textId="77777777" w:rsidR="00E8617E" w:rsidRPr="00BC513A" w:rsidRDefault="00E8617E" w:rsidP="00922731">
            <w:pPr>
              <w:pStyle w:val="DefaultText"/>
              <w:rPr>
                <w:rFonts w:cs="Arial"/>
                <w:sz w:val="20"/>
                <w:szCs w:val="20"/>
                <w:lang w:val="bg-BG"/>
              </w:rPr>
            </w:pPr>
            <w:r w:rsidRPr="00BC513A">
              <w:rPr>
                <w:rFonts w:cs="Arial"/>
                <w:sz w:val="20"/>
                <w:szCs w:val="20"/>
                <w:lang w:val="bg-BG"/>
              </w:rPr>
              <w:t>1</w:t>
            </w:r>
          </w:p>
        </w:tc>
        <w:tc>
          <w:tcPr>
            <w:tcW w:w="3212" w:type="dxa"/>
          </w:tcPr>
          <w:p w14:paraId="4B357B18" w14:textId="77777777" w:rsidR="00E8617E" w:rsidRPr="00BC513A" w:rsidRDefault="00E8617E" w:rsidP="00BC1A5E">
            <w:pPr>
              <w:spacing w:after="0" w:line="280" w:lineRule="atLeast"/>
              <w:jc w:val="both"/>
              <w:rPr>
                <w:rFonts w:ascii="Arial" w:hAnsi="Arial" w:cs="Arial"/>
                <w:sz w:val="20"/>
                <w:szCs w:val="20"/>
                <w:lang w:eastAsia="de-DE"/>
              </w:rPr>
            </w:pPr>
            <w:r w:rsidRPr="00BC513A">
              <w:rPr>
                <w:rFonts w:ascii="Arial" w:hAnsi="Arial" w:cs="Arial"/>
                <w:sz w:val="20"/>
                <w:szCs w:val="20"/>
                <w:lang w:eastAsia="de-DE"/>
              </w:rPr>
              <w:t>Увеличение на неземеделски БВП в подкрепените предприятия</w:t>
            </w:r>
          </w:p>
        </w:tc>
        <w:tc>
          <w:tcPr>
            <w:tcW w:w="1446" w:type="dxa"/>
            <w:vAlign w:val="center"/>
          </w:tcPr>
          <w:p w14:paraId="5DC02382" w14:textId="77777777" w:rsidR="00E8617E" w:rsidRPr="00BC513A" w:rsidRDefault="00E8617E" w:rsidP="00922731">
            <w:pPr>
              <w:pStyle w:val="DefaultText"/>
              <w:jc w:val="left"/>
              <w:rPr>
                <w:rFonts w:cs="Arial"/>
                <w:sz w:val="20"/>
                <w:szCs w:val="20"/>
                <w:lang w:val="bg-BG"/>
              </w:rPr>
            </w:pPr>
            <w:r w:rsidRPr="00BC513A">
              <w:rPr>
                <w:rFonts w:cs="Arial"/>
                <w:sz w:val="20"/>
                <w:szCs w:val="20"/>
                <w:lang w:val="bg-BG"/>
              </w:rPr>
              <w:t>милиони евра</w:t>
            </w:r>
          </w:p>
        </w:tc>
        <w:tc>
          <w:tcPr>
            <w:tcW w:w="1133" w:type="dxa"/>
            <w:vAlign w:val="center"/>
          </w:tcPr>
          <w:p w14:paraId="2F1F1043" w14:textId="77777777" w:rsidR="00E8617E" w:rsidRPr="00BC513A" w:rsidRDefault="00E8617E" w:rsidP="00046AF8">
            <w:pPr>
              <w:pStyle w:val="DefaultText"/>
              <w:jc w:val="right"/>
              <w:rPr>
                <w:rFonts w:cs="Arial"/>
                <w:sz w:val="20"/>
                <w:szCs w:val="20"/>
                <w:lang w:val="bg-BG"/>
              </w:rPr>
            </w:pPr>
            <w:r w:rsidRPr="00BC513A">
              <w:rPr>
                <w:rFonts w:cs="Arial"/>
                <w:sz w:val="20"/>
                <w:szCs w:val="20"/>
                <w:lang w:val="bg-BG"/>
              </w:rPr>
              <w:t>56</w:t>
            </w:r>
          </w:p>
        </w:tc>
        <w:tc>
          <w:tcPr>
            <w:tcW w:w="1406" w:type="dxa"/>
            <w:shd w:val="clear" w:color="auto" w:fill="FFFFFF" w:themeFill="background1"/>
            <w:vAlign w:val="center"/>
          </w:tcPr>
          <w:p w14:paraId="55BFB29B" w14:textId="77777777" w:rsidR="00E8617E" w:rsidRPr="00BC513A" w:rsidRDefault="00E8617E" w:rsidP="00046AF8">
            <w:pPr>
              <w:pStyle w:val="DefaultText"/>
              <w:jc w:val="right"/>
              <w:rPr>
                <w:rFonts w:cs="Arial"/>
                <w:sz w:val="20"/>
                <w:szCs w:val="20"/>
                <w:lang w:val="bg-BG"/>
              </w:rPr>
            </w:pPr>
            <w:r w:rsidRPr="00BC513A">
              <w:rPr>
                <w:rFonts w:cs="Arial"/>
                <w:sz w:val="20"/>
                <w:szCs w:val="20"/>
                <w:lang w:val="bg-BG"/>
              </w:rPr>
              <w:t>112</w:t>
            </w:r>
          </w:p>
        </w:tc>
        <w:tc>
          <w:tcPr>
            <w:tcW w:w="1420" w:type="dxa"/>
            <w:vAlign w:val="center"/>
          </w:tcPr>
          <w:p w14:paraId="3633BD19" w14:textId="77777777" w:rsidR="00E8617E" w:rsidRPr="00BC513A" w:rsidRDefault="00E8617E" w:rsidP="00046AF8">
            <w:pPr>
              <w:pStyle w:val="DefaultText"/>
              <w:jc w:val="center"/>
              <w:rPr>
                <w:rFonts w:cs="Arial"/>
                <w:sz w:val="20"/>
                <w:szCs w:val="20"/>
                <w:lang w:val="bg-BG"/>
              </w:rPr>
            </w:pPr>
            <w:r w:rsidRPr="00BC513A">
              <w:rPr>
                <w:rFonts w:cs="Arial"/>
                <w:sz w:val="20"/>
                <w:szCs w:val="20"/>
                <w:lang w:val="bg-BG"/>
              </w:rPr>
              <w:t>200%</w:t>
            </w:r>
          </w:p>
        </w:tc>
      </w:tr>
      <w:tr w:rsidR="00E8617E" w:rsidRPr="00BC513A" w14:paraId="558D1C0F" w14:textId="77777777" w:rsidTr="00922731">
        <w:tc>
          <w:tcPr>
            <w:tcW w:w="450" w:type="dxa"/>
          </w:tcPr>
          <w:p w14:paraId="2C571C3E" w14:textId="77777777" w:rsidR="00E8617E" w:rsidRPr="00BC513A" w:rsidRDefault="00E8617E" w:rsidP="00922731">
            <w:pPr>
              <w:pStyle w:val="DefaultText"/>
              <w:rPr>
                <w:rFonts w:cs="Arial"/>
                <w:sz w:val="20"/>
                <w:szCs w:val="20"/>
                <w:lang w:val="bg-BG"/>
              </w:rPr>
            </w:pPr>
            <w:r w:rsidRPr="00BC513A">
              <w:rPr>
                <w:rFonts w:cs="Arial"/>
                <w:sz w:val="20"/>
                <w:szCs w:val="20"/>
                <w:lang w:val="bg-BG"/>
              </w:rPr>
              <w:t>2</w:t>
            </w:r>
          </w:p>
        </w:tc>
        <w:tc>
          <w:tcPr>
            <w:tcW w:w="3212" w:type="dxa"/>
          </w:tcPr>
          <w:p w14:paraId="24E33F95" w14:textId="77777777" w:rsidR="00E8617E" w:rsidRPr="00BC513A" w:rsidRDefault="00E8617E" w:rsidP="00BC1A5E">
            <w:pPr>
              <w:spacing w:after="0" w:line="280" w:lineRule="atLeast"/>
              <w:jc w:val="both"/>
              <w:rPr>
                <w:rFonts w:ascii="Arial" w:hAnsi="Arial" w:cs="Arial"/>
                <w:sz w:val="20"/>
                <w:szCs w:val="20"/>
                <w:lang w:eastAsia="de-DE"/>
              </w:rPr>
            </w:pPr>
            <w:r w:rsidRPr="00BC513A">
              <w:rPr>
                <w:rFonts w:ascii="Arial" w:hAnsi="Arial" w:cs="Arial"/>
                <w:sz w:val="20"/>
                <w:szCs w:val="20"/>
                <w:lang w:eastAsia="de-DE"/>
              </w:rPr>
              <w:t>Брутен брой създадени работни места</w:t>
            </w:r>
          </w:p>
        </w:tc>
        <w:tc>
          <w:tcPr>
            <w:tcW w:w="1446" w:type="dxa"/>
            <w:vAlign w:val="center"/>
          </w:tcPr>
          <w:p w14:paraId="3D0AEE6D" w14:textId="77777777" w:rsidR="00E8617E" w:rsidRPr="00BC513A" w:rsidRDefault="00E8617E" w:rsidP="00922731">
            <w:pPr>
              <w:pStyle w:val="DefaultText"/>
              <w:jc w:val="left"/>
              <w:rPr>
                <w:rFonts w:cs="Arial"/>
                <w:sz w:val="20"/>
                <w:szCs w:val="20"/>
                <w:lang w:val="bg-BG"/>
              </w:rPr>
            </w:pPr>
            <w:r w:rsidRPr="00BC513A">
              <w:rPr>
                <w:rFonts w:cs="Arial"/>
                <w:sz w:val="20"/>
                <w:szCs w:val="20"/>
                <w:lang w:val="bg-BG"/>
              </w:rPr>
              <w:t>брой</w:t>
            </w:r>
          </w:p>
        </w:tc>
        <w:tc>
          <w:tcPr>
            <w:tcW w:w="1133" w:type="dxa"/>
            <w:vAlign w:val="center"/>
          </w:tcPr>
          <w:p w14:paraId="6769A762" w14:textId="77777777" w:rsidR="00E8617E" w:rsidRPr="00BC513A" w:rsidRDefault="00E8617E" w:rsidP="00046AF8">
            <w:pPr>
              <w:pStyle w:val="DefaultText"/>
              <w:jc w:val="right"/>
              <w:rPr>
                <w:rFonts w:cs="Arial"/>
                <w:sz w:val="20"/>
                <w:szCs w:val="20"/>
                <w:lang w:val="bg-BG"/>
              </w:rPr>
            </w:pPr>
            <w:r w:rsidRPr="00BC513A">
              <w:rPr>
                <w:rFonts w:cs="Arial"/>
                <w:sz w:val="20"/>
                <w:szCs w:val="20"/>
                <w:lang w:val="bg-BG"/>
              </w:rPr>
              <w:t>12 800</w:t>
            </w:r>
          </w:p>
        </w:tc>
        <w:tc>
          <w:tcPr>
            <w:tcW w:w="1406" w:type="dxa"/>
            <w:vAlign w:val="center"/>
          </w:tcPr>
          <w:p w14:paraId="5B4747FF" w14:textId="77777777" w:rsidR="00E8617E" w:rsidRPr="00BC513A" w:rsidRDefault="00E8617E" w:rsidP="00046AF8">
            <w:pPr>
              <w:pStyle w:val="DefaultText"/>
              <w:jc w:val="right"/>
              <w:rPr>
                <w:rFonts w:cs="Arial"/>
                <w:sz w:val="20"/>
                <w:szCs w:val="20"/>
                <w:lang w:val="bg-BG"/>
              </w:rPr>
            </w:pPr>
            <w:r w:rsidRPr="00BC513A">
              <w:rPr>
                <w:rFonts w:cs="Arial"/>
                <w:sz w:val="20"/>
                <w:szCs w:val="20"/>
                <w:lang w:val="bg-BG"/>
              </w:rPr>
              <w:t>5 377</w:t>
            </w:r>
          </w:p>
        </w:tc>
        <w:tc>
          <w:tcPr>
            <w:tcW w:w="1420" w:type="dxa"/>
            <w:vAlign w:val="center"/>
          </w:tcPr>
          <w:p w14:paraId="58A1E2F8" w14:textId="77777777" w:rsidR="00E8617E" w:rsidRPr="00BC513A" w:rsidRDefault="00E8617E" w:rsidP="00046AF8">
            <w:pPr>
              <w:pStyle w:val="DefaultText"/>
              <w:jc w:val="center"/>
              <w:rPr>
                <w:rFonts w:cs="Arial"/>
                <w:sz w:val="20"/>
                <w:szCs w:val="20"/>
                <w:lang w:val="bg-BG"/>
              </w:rPr>
            </w:pPr>
            <w:r w:rsidRPr="00BC513A">
              <w:rPr>
                <w:rFonts w:cs="Arial"/>
                <w:sz w:val="20"/>
                <w:szCs w:val="20"/>
                <w:lang w:val="bg-BG"/>
              </w:rPr>
              <w:t>42%</w:t>
            </w:r>
          </w:p>
        </w:tc>
      </w:tr>
      <w:tr w:rsidR="00E8617E" w:rsidRPr="00BC513A" w14:paraId="5804D023" w14:textId="77777777" w:rsidTr="00922731">
        <w:tc>
          <w:tcPr>
            <w:tcW w:w="450" w:type="dxa"/>
          </w:tcPr>
          <w:p w14:paraId="217A4EBB" w14:textId="77777777" w:rsidR="00E8617E" w:rsidRPr="00BC513A" w:rsidRDefault="00E8617E" w:rsidP="00922731">
            <w:pPr>
              <w:pStyle w:val="DefaultText"/>
              <w:rPr>
                <w:rFonts w:cs="Arial"/>
                <w:sz w:val="20"/>
                <w:szCs w:val="20"/>
                <w:lang w:val="bg-BG"/>
              </w:rPr>
            </w:pPr>
            <w:r w:rsidRPr="00BC513A">
              <w:rPr>
                <w:rFonts w:cs="Arial"/>
                <w:sz w:val="20"/>
                <w:szCs w:val="20"/>
                <w:lang w:val="bg-BG"/>
              </w:rPr>
              <w:t>3</w:t>
            </w:r>
          </w:p>
        </w:tc>
        <w:tc>
          <w:tcPr>
            <w:tcW w:w="3212" w:type="dxa"/>
          </w:tcPr>
          <w:p w14:paraId="6C2B2942" w14:textId="77777777" w:rsidR="00E8617E" w:rsidRPr="00BC513A" w:rsidRDefault="00E8617E" w:rsidP="00BC1A5E">
            <w:pPr>
              <w:spacing w:after="0" w:line="280" w:lineRule="atLeast"/>
              <w:jc w:val="both"/>
              <w:rPr>
                <w:rFonts w:ascii="Arial" w:hAnsi="Arial" w:cs="Arial"/>
                <w:sz w:val="20"/>
                <w:szCs w:val="20"/>
                <w:lang w:eastAsia="de-DE"/>
              </w:rPr>
            </w:pPr>
            <w:r w:rsidRPr="00BC513A">
              <w:rPr>
                <w:rFonts w:ascii="Arial" w:hAnsi="Arial" w:cs="Arial"/>
                <w:sz w:val="20"/>
                <w:szCs w:val="20"/>
                <w:lang w:eastAsia="de-DE"/>
              </w:rPr>
              <w:t>Допълнителен брой туристи</w:t>
            </w:r>
          </w:p>
        </w:tc>
        <w:tc>
          <w:tcPr>
            <w:tcW w:w="1446" w:type="dxa"/>
            <w:vAlign w:val="center"/>
          </w:tcPr>
          <w:p w14:paraId="4EDAB433" w14:textId="77777777" w:rsidR="00E8617E" w:rsidRPr="00BC513A" w:rsidRDefault="00E8617E" w:rsidP="00922731">
            <w:pPr>
              <w:pStyle w:val="DefaultText"/>
              <w:jc w:val="left"/>
              <w:rPr>
                <w:rFonts w:cs="Arial"/>
                <w:sz w:val="20"/>
                <w:szCs w:val="20"/>
                <w:lang w:val="bg-BG"/>
              </w:rPr>
            </w:pPr>
            <w:r w:rsidRPr="00BC513A">
              <w:rPr>
                <w:rFonts w:cs="Arial"/>
                <w:sz w:val="20"/>
                <w:szCs w:val="20"/>
                <w:lang w:val="bg-BG"/>
              </w:rPr>
              <w:t>брой</w:t>
            </w:r>
          </w:p>
        </w:tc>
        <w:tc>
          <w:tcPr>
            <w:tcW w:w="1133" w:type="dxa"/>
            <w:vAlign w:val="center"/>
          </w:tcPr>
          <w:p w14:paraId="373FDFAB" w14:textId="77777777" w:rsidR="00E8617E" w:rsidRPr="00BC513A" w:rsidRDefault="00E8617E" w:rsidP="00046AF8">
            <w:pPr>
              <w:pStyle w:val="DefaultText"/>
              <w:jc w:val="right"/>
              <w:rPr>
                <w:rFonts w:cs="Arial"/>
                <w:sz w:val="20"/>
                <w:szCs w:val="20"/>
                <w:lang w:val="bg-BG"/>
              </w:rPr>
            </w:pPr>
            <w:r w:rsidRPr="00BC513A">
              <w:rPr>
                <w:rFonts w:cs="Arial"/>
                <w:sz w:val="20"/>
                <w:szCs w:val="20"/>
                <w:lang w:val="bg-BG"/>
              </w:rPr>
              <w:t>4 000</w:t>
            </w:r>
          </w:p>
        </w:tc>
        <w:tc>
          <w:tcPr>
            <w:tcW w:w="1406" w:type="dxa"/>
            <w:vAlign w:val="center"/>
          </w:tcPr>
          <w:p w14:paraId="2874867A" w14:textId="77777777" w:rsidR="00E8617E" w:rsidRPr="00BC513A" w:rsidRDefault="00E8617E" w:rsidP="00046AF8">
            <w:pPr>
              <w:pStyle w:val="DefaultText"/>
              <w:jc w:val="right"/>
              <w:rPr>
                <w:rFonts w:cs="Arial"/>
                <w:sz w:val="20"/>
                <w:lang w:val="bg-BG"/>
              </w:rPr>
            </w:pPr>
            <w:r w:rsidRPr="00BC513A">
              <w:rPr>
                <w:rFonts w:cs="Arial"/>
                <w:sz w:val="20"/>
                <w:lang w:val="bg-BG"/>
              </w:rPr>
              <w:t>253 186</w:t>
            </w:r>
          </w:p>
        </w:tc>
        <w:tc>
          <w:tcPr>
            <w:tcW w:w="1420" w:type="dxa"/>
            <w:vAlign w:val="center"/>
          </w:tcPr>
          <w:p w14:paraId="1957CA9E" w14:textId="77777777" w:rsidR="00E8617E" w:rsidRPr="00BC513A" w:rsidRDefault="00E8617E" w:rsidP="00046AF8">
            <w:pPr>
              <w:pStyle w:val="DefaultText"/>
              <w:jc w:val="center"/>
              <w:rPr>
                <w:rFonts w:cs="Arial"/>
                <w:sz w:val="20"/>
                <w:szCs w:val="20"/>
                <w:lang w:val="bg-BG"/>
              </w:rPr>
            </w:pPr>
            <w:r w:rsidRPr="00BC513A">
              <w:rPr>
                <w:rFonts w:cs="Arial"/>
                <w:sz w:val="20"/>
                <w:szCs w:val="20"/>
                <w:lang w:val="bg-BG"/>
              </w:rPr>
              <w:t>6329%</w:t>
            </w:r>
          </w:p>
        </w:tc>
      </w:tr>
      <w:tr w:rsidR="00E8617E" w:rsidRPr="00BC513A" w14:paraId="439A295F" w14:textId="77777777" w:rsidTr="00922731">
        <w:tc>
          <w:tcPr>
            <w:tcW w:w="450" w:type="dxa"/>
          </w:tcPr>
          <w:p w14:paraId="4BB1A628" w14:textId="77777777" w:rsidR="00E8617E" w:rsidRPr="00BC513A" w:rsidRDefault="00E8617E" w:rsidP="00922731">
            <w:pPr>
              <w:pStyle w:val="DefaultText"/>
              <w:rPr>
                <w:rFonts w:cs="Arial"/>
                <w:sz w:val="20"/>
                <w:szCs w:val="20"/>
                <w:lang w:val="bg-BG"/>
              </w:rPr>
            </w:pPr>
            <w:r w:rsidRPr="00BC513A">
              <w:rPr>
                <w:rFonts w:cs="Arial"/>
                <w:sz w:val="20"/>
                <w:szCs w:val="20"/>
                <w:lang w:val="bg-BG"/>
              </w:rPr>
              <w:t>4</w:t>
            </w:r>
          </w:p>
        </w:tc>
        <w:tc>
          <w:tcPr>
            <w:tcW w:w="3212" w:type="dxa"/>
          </w:tcPr>
          <w:p w14:paraId="79402565" w14:textId="77777777" w:rsidR="00E8617E" w:rsidRPr="00BC513A" w:rsidRDefault="00E8617E" w:rsidP="00BC1A5E">
            <w:pPr>
              <w:spacing w:after="0" w:line="280" w:lineRule="atLeast"/>
              <w:jc w:val="both"/>
              <w:rPr>
                <w:rFonts w:ascii="Arial" w:hAnsi="Arial" w:cs="Arial"/>
                <w:sz w:val="20"/>
                <w:szCs w:val="20"/>
                <w:lang w:eastAsia="de-DE"/>
              </w:rPr>
            </w:pPr>
            <w:r w:rsidRPr="00BC513A">
              <w:rPr>
                <w:rFonts w:ascii="Arial" w:hAnsi="Arial" w:cs="Arial"/>
                <w:sz w:val="20"/>
                <w:szCs w:val="20"/>
                <w:lang w:eastAsia="de-DE"/>
              </w:rPr>
              <w:t>Население в селските райони</w:t>
            </w:r>
            <w:r w:rsidR="000162FF">
              <w:rPr>
                <w:rFonts w:ascii="Arial" w:hAnsi="Arial" w:cs="Arial"/>
                <w:sz w:val="20"/>
                <w:szCs w:val="20"/>
                <w:lang w:eastAsia="de-DE"/>
              </w:rPr>
              <w:t>,</w:t>
            </w:r>
            <w:r w:rsidRPr="00BC513A">
              <w:rPr>
                <w:rFonts w:ascii="Arial" w:hAnsi="Arial" w:cs="Arial"/>
                <w:sz w:val="20"/>
                <w:szCs w:val="20"/>
                <w:lang w:eastAsia="de-DE"/>
              </w:rPr>
              <w:t xml:space="preserve"> възползващо се от подобрените услуги</w:t>
            </w:r>
          </w:p>
        </w:tc>
        <w:tc>
          <w:tcPr>
            <w:tcW w:w="1446" w:type="dxa"/>
            <w:vAlign w:val="center"/>
          </w:tcPr>
          <w:p w14:paraId="2CE77DDE" w14:textId="77777777" w:rsidR="00E8617E" w:rsidRPr="00BC513A" w:rsidRDefault="00E8617E" w:rsidP="00922731">
            <w:pPr>
              <w:pStyle w:val="DefaultText"/>
              <w:jc w:val="left"/>
              <w:rPr>
                <w:rFonts w:cs="Arial"/>
                <w:sz w:val="20"/>
                <w:szCs w:val="20"/>
                <w:lang w:val="bg-BG"/>
              </w:rPr>
            </w:pPr>
          </w:p>
        </w:tc>
        <w:tc>
          <w:tcPr>
            <w:tcW w:w="1133" w:type="dxa"/>
            <w:vAlign w:val="center"/>
          </w:tcPr>
          <w:p w14:paraId="47D46FF6" w14:textId="77777777" w:rsidR="00E8617E" w:rsidRPr="00BC513A" w:rsidRDefault="00E8617E" w:rsidP="00046AF8">
            <w:pPr>
              <w:pStyle w:val="DefaultText"/>
              <w:jc w:val="right"/>
              <w:rPr>
                <w:rFonts w:cs="Arial"/>
                <w:sz w:val="20"/>
                <w:szCs w:val="20"/>
                <w:lang w:val="bg-BG"/>
              </w:rPr>
            </w:pPr>
            <w:r w:rsidRPr="00BC513A">
              <w:rPr>
                <w:rFonts w:cs="Arial"/>
                <w:sz w:val="20"/>
                <w:szCs w:val="20"/>
                <w:lang w:val="bg-BG"/>
              </w:rPr>
              <w:t>820 000</w:t>
            </w:r>
          </w:p>
        </w:tc>
        <w:tc>
          <w:tcPr>
            <w:tcW w:w="1406" w:type="dxa"/>
            <w:vAlign w:val="center"/>
          </w:tcPr>
          <w:p w14:paraId="3BD800B1" w14:textId="77777777" w:rsidR="00E8617E" w:rsidRPr="00BC513A" w:rsidRDefault="00E8617E" w:rsidP="00046AF8">
            <w:pPr>
              <w:pStyle w:val="DefaultText"/>
              <w:jc w:val="right"/>
              <w:rPr>
                <w:rFonts w:cs="Arial"/>
                <w:sz w:val="20"/>
                <w:lang w:val="bg-BG"/>
              </w:rPr>
            </w:pPr>
            <w:r w:rsidRPr="00BC513A">
              <w:rPr>
                <w:rFonts w:cs="Arial"/>
                <w:sz w:val="20"/>
                <w:lang w:val="bg-BG"/>
              </w:rPr>
              <w:t>1 127 793</w:t>
            </w:r>
          </w:p>
        </w:tc>
        <w:tc>
          <w:tcPr>
            <w:tcW w:w="1420" w:type="dxa"/>
            <w:vAlign w:val="center"/>
          </w:tcPr>
          <w:p w14:paraId="689F5559" w14:textId="77777777" w:rsidR="00E8617E" w:rsidRPr="00BC513A" w:rsidRDefault="00E8617E" w:rsidP="00046AF8">
            <w:pPr>
              <w:pStyle w:val="DefaultText"/>
              <w:jc w:val="center"/>
              <w:rPr>
                <w:rFonts w:cs="Arial"/>
                <w:sz w:val="20"/>
                <w:lang w:val="bg-BG"/>
              </w:rPr>
            </w:pPr>
            <w:r w:rsidRPr="00BC513A">
              <w:rPr>
                <w:rFonts w:cs="Arial"/>
                <w:sz w:val="20"/>
                <w:lang w:val="bg-BG"/>
              </w:rPr>
              <w:t>138%</w:t>
            </w:r>
          </w:p>
        </w:tc>
      </w:tr>
      <w:tr w:rsidR="00E8617E" w:rsidRPr="00BC513A" w14:paraId="4AF3A861" w14:textId="77777777" w:rsidTr="00922731">
        <w:tc>
          <w:tcPr>
            <w:tcW w:w="450" w:type="dxa"/>
          </w:tcPr>
          <w:p w14:paraId="0C320CE3" w14:textId="77777777" w:rsidR="00E8617E" w:rsidRPr="00BC513A" w:rsidRDefault="00E8617E" w:rsidP="00922731">
            <w:pPr>
              <w:pStyle w:val="DefaultText"/>
              <w:rPr>
                <w:rFonts w:cs="Arial"/>
                <w:sz w:val="20"/>
                <w:szCs w:val="20"/>
                <w:lang w:val="bg-BG"/>
              </w:rPr>
            </w:pPr>
            <w:r w:rsidRPr="00BC513A">
              <w:rPr>
                <w:rFonts w:cs="Arial"/>
                <w:sz w:val="20"/>
                <w:szCs w:val="20"/>
                <w:lang w:val="bg-BG"/>
              </w:rPr>
              <w:t>5</w:t>
            </w:r>
          </w:p>
        </w:tc>
        <w:tc>
          <w:tcPr>
            <w:tcW w:w="3212" w:type="dxa"/>
          </w:tcPr>
          <w:p w14:paraId="77251F1A" w14:textId="77777777" w:rsidR="00E8617E" w:rsidRPr="00BC513A" w:rsidRDefault="00E8617E" w:rsidP="007C3883">
            <w:pPr>
              <w:spacing w:after="0" w:line="280" w:lineRule="atLeast"/>
              <w:rPr>
                <w:rFonts w:ascii="Arial" w:hAnsi="Arial" w:cs="Arial"/>
                <w:sz w:val="20"/>
                <w:szCs w:val="20"/>
                <w:lang w:eastAsia="de-DE"/>
              </w:rPr>
            </w:pPr>
            <w:r w:rsidRPr="00BC513A">
              <w:rPr>
                <w:rFonts w:ascii="Arial" w:hAnsi="Arial" w:cs="Arial"/>
                <w:sz w:val="20"/>
                <w:szCs w:val="20"/>
                <w:lang w:eastAsia="de-DE"/>
              </w:rPr>
              <w:t>Увеличаване на разпространението на Интернет в селските райони</w:t>
            </w:r>
          </w:p>
        </w:tc>
        <w:tc>
          <w:tcPr>
            <w:tcW w:w="1446" w:type="dxa"/>
            <w:vAlign w:val="center"/>
          </w:tcPr>
          <w:p w14:paraId="662722F3" w14:textId="77777777" w:rsidR="00E8617E" w:rsidRPr="00BC513A" w:rsidRDefault="00E8617E" w:rsidP="00922731">
            <w:pPr>
              <w:pStyle w:val="DefaultText"/>
              <w:jc w:val="left"/>
              <w:rPr>
                <w:rFonts w:cs="Arial"/>
                <w:sz w:val="20"/>
                <w:szCs w:val="20"/>
                <w:lang w:val="bg-BG"/>
              </w:rPr>
            </w:pPr>
            <w:r w:rsidRPr="00BC513A">
              <w:rPr>
                <w:rFonts w:cs="Arial"/>
                <w:sz w:val="20"/>
                <w:szCs w:val="20"/>
                <w:lang w:val="bg-BG"/>
              </w:rPr>
              <w:t>Брой жители с достъп до шроколентов интернет</w:t>
            </w:r>
          </w:p>
        </w:tc>
        <w:tc>
          <w:tcPr>
            <w:tcW w:w="1133" w:type="dxa"/>
            <w:vAlign w:val="center"/>
          </w:tcPr>
          <w:p w14:paraId="0674C3E2" w14:textId="77777777" w:rsidR="00E8617E" w:rsidRPr="00BC513A" w:rsidRDefault="00E8617E" w:rsidP="00046AF8">
            <w:pPr>
              <w:pStyle w:val="DefaultText"/>
              <w:jc w:val="right"/>
              <w:rPr>
                <w:rFonts w:cs="Arial"/>
                <w:sz w:val="20"/>
                <w:szCs w:val="20"/>
                <w:lang w:val="bg-BG"/>
              </w:rPr>
            </w:pPr>
            <w:r w:rsidRPr="00BC513A">
              <w:rPr>
                <w:rFonts w:cs="Arial"/>
                <w:sz w:val="20"/>
                <w:szCs w:val="20"/>
                <w:lang w:val="bg-BG"/>
              </w:rPr>
              <w:t>300 000</w:t>
            </w:r>
          </w:p>
        </w:tc>
        <w:tc>
          <w:tcPr>
            <w:tcW w:w="1406" w:type="dxa"/>
            <w:vAlign w:val="center"/>
          </w:tcPr>
          <w:p w14:paraId="488B7564" w14:textId="77777777" w:rsidR="00E8617E" w:rsidRPr="00BC513A" w:rsidRDefault="00E8617E" w:rsidP="00046AF8">
            <w:pPr>
              <w:pStyle w:val="DefaultText"/>
              <w:jc w:val="right"/>
              <w:rPr>
                <w:rFonts w:cs="Arial"/>
                <w:sz w:val="20"/>
                <w:lang w:val="bg-BG"/>
              </w:rPr>
            </w:pPr>
            <w:r w:rsidRPr="00BC513A">
              <w:rPr>
                <w:rFonts w:cs="Arial"/>
                <w:sz w:val="20"/>
                <w:lang w:val="bg-BG"/>
              </w:rPr>
              <w:t>0</w:t>
            </w:r>
          </w:p>
        </w:tc>
        <w:tc>
          <w:tcPr>
            <w:tcW w:w="1420" w:type="dxa"/>
            <w:vAlign w:val="center"/>
          </w:tcPr>
          <w:p w14:paraId="29235153" w14:textId="77777777" w:rsidR="00E8617E" w:rsidRPr="00BC513A" w:rsidRDefault="00E8617E" w:rsidP="00046AF8">
            <w:pPr>
              <w:pStyle w:val="DefaultText"/>
              <w:jc w:val="center"/>
              <w:rPr>
                <w:rFonts w:cs="Arial"/>
                <w:sz w:val="20"/>
                <w:lang w:val="bg-BG"/>
              </w:rPr>
            </w:pPr>
            <w:r w:rsidRPr="00BC513A">
              <w:rPr>
                <w:rFonts w:cs="Arial"/>
                <w:sz w:val="20"/>
                <w:lang w:val="bg-BG"/>
              </w:rPr>
              <w:t>0%</w:t>
            </w:r>
          </w:p>
        </w:tc>
      </w:tr>
      <w:tr w:rsidR="00E8617E" w:rsidRPr="00BC513A" w14:paraId="26DB3D63" w14:textId="77777777" w:rsidTr="00922731">
        <w:tc>
          <w:tcPr>
            <w:tcW w:w="450" w:type="dxa"/>
          </w:tcPr>
          <w:p w14:paraId="008F792B" w14:textId="77777777" w:rsidR="00E8617E" w:rsidRPr="00BC513A" w:rsidRDefault="00E8617E" w:rsidP="00922731">
            <w:pPr>
              <w:pStyle w:val="DefaultText"/>
              <w:rPr>
                <w:rFonts w:cs="Arial"/>
                <w:sz w:val="20"/>
                <w:szCs w:val="20"/>
                <w:lang w:val="bg-BG"/>
              </w:rPr>
            </w:pPr>
            <w:r w:rsidRPr="00BC513A">
              <w:rPr>
                <w:rFonts w:cs="Arial"/>
                <w:sz w:val="20"/>
                <w:szCs w:val="20"/>
                <w:lang w:val="bg-BG"/>
              </w:rPr>
              <w:t>6</w:t>
            </w:r>
          </w:p>
        </w:tc>
        <w:tc>
          <w:tcPr>
            <w:tcW w:w="3212" w:type="dxa"/>
          </w:tcPr>
          <w:p w14:paraId="1B2817A0" w14:textId="77777777" w:rsidR="00E8617E" w:rsidRPr="00BC513A" w:rsidRDefault="00E8617E" w:rsidP="00BC1A5E">
            <w:pPr>
              <w:spacing w:after="0" w:line="280" w:lineRule="atLeast"/>
              <w:jc w:val="both"/>
              <w:rPr>
                <w:rFonts w:ascii="Arial" w:hAnsi="Arial" w:cs="Arial"/>
                <w:sz w:val="20"/>
                <w:szCs w:val="20"/>
                <w:lang w:eastAsia="de-DE"/>
              </w:rPr>
            </w:pPr>
            <w:r w:rsidRPr="00BC513A">
              <w:rPr>
                <w:rFonts w:ascii="Arial" w:hAnsi="Arial" w:cs="Arial"/>
                <w:sz w:val="20"/>
                <w:szCs w:val="20"/>
                <w:lang w:eastAsia="de-DE"/>
              </w:rPr>
              <w:t>Брой участници, които успешно са завършили обучение</w:t>
            </w:r>
          </w:p>
        </w:tc>
        <w:tc>
          <w:tcPr>
            <w:tcW w:w="1446" w:type="dxa"/>
            <w:vAlign w:val="center"/>
          </w:tcPr>
          <w:p w14:paraId="6C1F2705" w14:textId="77777777" w:rsidR="00E8617E" w:rsidRPr="00BC513A" w:rsidRDefault="00E8617E" w:rsidP="00922731">
            <w:pPr>
              <w:pStyle w:val="DefaultText"/>
              <w:jc w:val="left"/>
              <w:rPr>
                <w:rFonts w:cs="Arial"/>
                <w:sz w:val="20"/>
                <w:szCs w:val="20"/>
                <w:lang w:val="bg-BG"/>
              </w:rPr>
            </w:pPr>
            <w:r w:rsidRPr="00BC513A">
              <w:rPr>
                <w:rFonts w:cs="Arial"/>
                <w:sz w:val="20"/>
                <w:szCs w:val="20"/>
                <w:lang w:val="bg-BG"/>
              </w:rPr>
              <w:t>брой</w:t>
            </w:r>
          </w:p>
        </w:tc>
        <w:tc>
          <w:tcPr>
            <w:tcW w:w="1133" w:type="dxa"/>
            <w:vAlign w:val="center"/>
          </w:tcPr>
          <w:p w14:paraId="0228E49E" w14:textId="77777777" w:rsidR="00E8617E" w:rsidRPr="00BC513A" w:rsidRDefault="00E8617E" w:rsidP="00046AF8">
            <w:pPr>
              <w:pStyle w:val="DefaultText"/>
              <w:jc w:val="right"/>
              <w:rPr>
                <w:rFonts w:cs="Arial"/>
                <w:sz w:val="20"/>
                <w:szCs w:val="20"/>
                <w:lang w:val="bg-BG"/>
              </w:rPr>
            </w:pPr>
            <w:r w:rsidRPr="00BC513A">
              <w:rPr>
                <w:rFonts w:cs="Arial"/>
                <w:sz w:val="20"/>
                <w:szCs w:val="20"/>
                <w:lang w:val="bg-BG"/>
              </w:rPr>
              <w:t>-</w:t>
            </w:r>
          </w:p>
        </w:tc>
        <w:tc>
          <w:tcPr>
            <w:tcW w:w="1406" w:type="dxa"/>
            <w:vAlign w:val="center"/>
          </w:tcPr>
          <w:p w14:paraId="75D72B95" w14:textId="77777777" w:rsidR="00E8617E" w:rsidRPr="00BC513A" w:rsidRDefault="00E8617E" w:rsidP="00046AF8">
            <w:pPr>
              <w:pStyle w:val="DefaultText"/>
              <w:jc w:val="right"/>
              <w:rPr>
                <w:rFonts w:cs="Arial"/>
                <w:sz w:val="20"/>
                <w:lang w:val="bg-BG"/>
              </w:rPr>
            </w:pPr>
            <w:r w:rsidRPr="00BC513A">
              <w:rPr>
                <w:rFonts w:cs="Arial"/>
                <w:sz w:val="20"/>
                <w:lang w:val="bg-BG"/>
              </w:rPr>
              <w:t>12 636</w:t>
            </w:r>
          </w:p>
        </w:tc>
        <w:tc>
          <w:tcPr>
            <w:tcW w:w="1420" w:type="dxa"/>
            <w:vAlign w:val="center"/>
          </w:tcPr>
          <w:p w14:paraId="5AAFD716" w14:textId="77777777" w:rsidR="00E8617E" w:rsidRPr="00BC513A" w:rsidRDefault="00E8617E" w:rsidP="00046AF8">
            <w:pPr>
              <w:pStyle w:val="DefaultText"/>
              <w:jc w:val="center"/>
              <w:rPr>
                <w:rFonts w:cs="Arial"/>
                <w:sz w:val="20"/>
                <w:szCs w:val="20"/>
                <w:lang w:val="bg-BG"/>
              </w:rPr>
            </w:pPr>
            <w:r w:rsidRPr="00BC513A">
              <w:rPr>
                <w:rFonts w:cs="Arial"/>
                <w:sz w:val="20"/>
                <w:szCs w:val="20"/>
                <w:lang w:val="bg-BG"/>
              </w:rPr>
              <w:t>-</w:t>
            </w:r>
          </w:p>
        </w:tc>
      </w:tr>
    </w:tbl>
    <w:p w14:paraId="43CEC300" w14:textId="77777777" w:rsidR="00E8617E" w:rsidRPr="00BC513A" w:rsidRDefault="00E8617E" w:rsidP="00E8617E">
      <w:pPr>
        <w:pStyle w:val="DefaultText"/>
        <w:rPr>
          <w:szCs w:val="18"/>
          <w:lang w:val="bg-BG"/>
        </w:rPr>
      </w:pPr>
      <w:r w:rsidRPr="00BC513A">
        <w:rPr>
          <w:sz w:val="20"/>
          <w:szCs w:val="20"/>
          <w:lang w:val="bg-BG"/>
        </w:rPr>
        <w:t xml:space="preserve">Източник: </w:t>
      </w:r>
      <w:r w:rsidRPr="00BC513A">
        <w:rPr>
          <w:szCs w:val="18"/>
          <w:lang w:val="bg-BG"/>
        </w:rPr>
        <w:t xml:space="preserve">ПРСР 2007-2013, Годишен доклад за изпълнението на ПРСР 2007-2013 г. за 2015г. и приложенията към него </w:t>
      </w:r>
    </w:p>
    <w:p w14:paraId="6E1BAE24" w14:textId="77777777" w:rsidR="00E8617E" w:rsidRPr="00BC513A" w:rsidRDefault="00E8617E" w:rsidP="00E8617E">
      <w:pPr>
        <w:pStyle w:val="DefaultText"/>
        <w:rPr>
          <w:sz w:val="20"/>
          <w:szCs w:val="20"/>
          <w:lang w:val="bg-BG"/>
        </w:rPr>
      </w:pPr>
    </w:p>
    <w:p w14:paraId="36F47E6F"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За индикатор № 1 „Увеличение на неземеделски брутен вътрешен продукт (БВП)  в подкрепените предприятия“ принос има мярка 312.</w:t>
      </w:r>
    </w:p>
    <w:p w14:paraId="5CA33CC4"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За индикатор № 2 „</w:t>
      </w:r>
      <w:r w:rsidRPr="00BC513A">
        <w:rPr>
          <w:i/>
          <w:sz w:val="22"/>
          <w:szCs w:val="22"/>
          <w:lang w:val="bg-BG"/>
        </w:rPr>
        <w:t>Брутен брой създадени работни места</w:t>
      </w:r>
      <w:r w:rsidRPr="00BC513A">
        <w:rPr>
          <w:sz w:val="22"/>
          <w:szCs w:val="22"/>
          <w:lang w:val="bg-BG"/>
        </w:rPr>
        <w:t>“ принос има</w:t>
      </w:r>
      <w:r w:rsidR="000162FF">
        <w:rPr>
          <w:sz w:val="22"/>
          <w:szCs w:val="22"/>
          <w:lang w:val="bg-BG"/>
        </w:rPr>
        <w:t>т</w:t>
      </w:r>
      <w:r w:rsidRPr="00BC513A">
        <w:rPr>
          <w:sz w:val="22"/>
          <w:szCs w:val="22"/>
          <w:lang w:val="bg-BG"/>
        </w:rPr>
        <w:t xml:space="preserve"> мерки 311, 312 и 313. Принос имат също мерки 321 и 322, но той не е мерен, тъй като създадената заетост по двете мерки е заложена като индикатор за въздействие – „Създаване на заетост (нетно създадени допълнителни работни места на пълен работен ден)“. Поради това представените в таблицата резултати вероятно са подценени.</w:t>
      </w:r>
    </w:p>
    <w:p w14:paraId="7D5F203D" w14:textId="17A6223D"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За индикатор № 3 „</w:t>
      </w:r>
      <w:r w:rsidRPr="00BC513A">
        <w:rPr>
          <w:i/>
          <w:sz w:val="22"/>
          <w:szCs w:val="22"/>
          <w:lang w:val="bg-BG"/>
        </w:rPr>
        <w:t>Допълнителен брой туристи</w:t>
      </w:r>
      <w:r w:rsidRPr="00BC513A">
        <w:rPr>
          <w:sz w:val="22"/>
          <w:szCs w:val="22"/>
          <w:lang w:val="bg-BG"/>
        </w:rPr>
        <w:t xml:space="preserve">“ са посочени данни само за мярка 313, тъй като този индикатор за резултат се измерва само по тази мярка. Пояснение: първоначално по ПРСР 2007-2013 за мярка 313 е заложен индикатор за резултат „Допълнителен брой туристи“. В последната версия на програмата, индикаторът е разделен на Брой еднодневни посещения и Брой </w:t>
      </w:r>
      <w:r w:rsidR="000162FF">
        <w:rPr>
          <w:sz w:val="22"/>
          <w:szCs w:val="22"/>
          <w:lang w:val="bg-BG"/>
        </w:rPr>
        <w:t xml:space="preserve">– </w:t>
      </w:r>
      <w:r w:rsidRPr="00BC513A">
        <w:rPr>
          <w:sz w:val="22"/>
          <w:szCs w:val="22"/>
          <w:lang w:val="bg-BG"/>
        </w:rPr>
        <w:t>всеки със стойност 4 000. Постигнатите стойности са: еднодневни посещения 877</w:t>
      </w:r>
      <w:r w:rsidR="000162FF">
        <w:rPr>
          <w:sz w:val="22"/>
          <w:szCs w:val="22"/>
          <w:lang w:val="bg-BG"/>
        </w:rPr>
        <w:t> </w:t>
      </w:r>
      <w:r w:rsidRPr="00BC513A">
        <w:rPr>
          <w:sz w:val="22"/>
          <w:szCs w:val="22"/>
          <w:lang w:val="bg-BG"/>
        </w:rPr>
        <w:t xml:space="preserve">754 / настанявания – </w:t>
      </w:r>
      <w:r w:rsidR="000162FF">
        <w:rPr>
          <w:sz w:val="22"/>
          <w:szCs w:val="22"/>
          <w:lang w:val="bg-BG"/>
        </w:rPr>
        <w:t xml:space="preserve">                  </w:t>
      </w:r>
      <w:r w:rsidRPr="00BC513A">
        <w:rPr>
          <w:sz w:val="22"/>
          <w:szCs w:val="22"/>
          <w:lang w:val="bg-BG"/>
        </w:rPr>
        <w:t>253</w:t>
      </w:r>
      <w:r w:rsidR="000162FF">
        <w:rPr>
          <w:sz w:val="22"/>
          <w:szCs w:val="22"/>
          <w:lang w:val="bg-BG"/>
        </w:rPr>
        <w:t> </w:t>
      </w:r>
      <w:r w:rsidRPr="00BC513A">
        <w:rPr>
          <w:sz w:val="22"/>
          <w:szCs w:val="22"/>
          <w:lang w:val="bg-BG"/>
        </w:rPr>
        <w:t>186.</w:t>
      </w:r>
    </w:p>
    <w:p w14:paraId="4564B9B9"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За индикатор № 4 „</w:t>
      </w:r>
      <w:r w:rsidRPr="00BC513A">
        <w:rPr>
          <w:i/>
          <w:sz w:val="22"/>
          <w:szCs w:val="22"/>
          <w:lang w:val="bg-BG"/>
        </w:rPr>
        <w:t xml:space="preserve">Население в селските райони, възползващо се от </w:t>
      </w:r>
      <w:r w:rsidRPr="00BC513A">
        <w:rPr>
          <w:sz w:val="22"/>
          <w:szCs w:val="22"/>
          <w:lang w:val="bg-BG"/>
        </w:rPr>
        <w:t xml:space="preserve">подобрените услуги“ принос имат мярка 321 и мярка 322. </w:t>
      </w:r>
    </w:p>
    <w:p w14:paraId="4435C7E5" w14:textId="5B7C3635"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За индикатор № 6 „</w:t>
      </w:r>
      <w:r w:rsidRPr="00BC513A">
        <w:rPr>
          <w:i/>
          <w:sz w:val="22"/>
          <w:szCs w:val="22"/>
          <w:lang w:val="bg-BG"/>
        </w:rPr>
        <w:t>Брой участници, които успешно са завършили обучение</w:t>
      </w:r>
      <w:r w:rsidRPr="00BC513A">
        <w:rPr>
          <w:sz w:val="22"/>
          <w:szCs w:val="22"/>
          <w:lang w:val="bg-BG"/>
        </w:rPr>
        <w:t xml:space="preserve">“ са посочени данни </w:t>
      </w:r>
      <w:r w:rsidR="000162FF">
        <w:rPr>
          <w:sz w:val="22"/>
          <w:szCs w:val="22"/>
          <w:lang w:val="bg-BG"/>
        </w:rPr>
        <w:t>в</w:t>
      </w:r>
      <w:r w:rsidR="000162FF" w:rsidRPr="00BC513A">
        <w:rPr>
          <w:sz w:val="22"/>
          <w:szCs w:val="22"/>
          <w:lang w:val="bg-BG"/>
        </w:rPr>
        <w:t xml:space="preserve"> </w:t>
      </w:r>
      <w:r w:rsidRPr="00BC513A">
        <w:rPr>
          <w:sz w:val="22"/>
          <w:szCs w:val="22"/>
          <w:lang w:val="bg-BG"/>
        </w:rPr>
        <w:t xml:space="preserve">едно от приложенията на Годишния доклад за 2015 г., но не е ясно тези данни от къде са. </w:t>
      </w:r>
    </w:p>
    <w:p w14:paraId="5E42864A" w14:textId="77777777" w:rsidR="00E8617E" w:rsidRPr="00BC513A" w:rsidRDefault="00E8617E" w:rsidP="00EE73FE">
      <w:pPr>
        <w:pStyle w:val="Heading3"/>
        <w:numPr>
          <w:ilvl w:val="0"/>
          <w:numId w:val="0"/>
        </w:numPr>
        <w:tabs>
          <w:tab w:val="left" w:pos="709"/>
        </w:tabs>
        <w:ind w:left="709"/>
      </w:pPr>
      <w:bookmarkStart w:id="84" w:name="_Toc504136153"/>
      <w:r w:rsidRPr="00BC513A">
        <w:lastRenderedPageBreak/>
        <w:t>Общи индикатори за въздействие</w:t>
      </w:r>
      <w:bookmarkEnd w:id="84"/>
    </w:p>
    <w:p w14:paraId="3926A684" w14:textId="77777777" w:rsidR="00E8617E" w:rsidRPr="00BC513A" w:rsidRDefault="00E8617E" w:rsidP="00BC1A5E">
      <w:pPr>
        <w:pStyle w:val="Caption"/>
        <w:keepNext/>
        <w:spacing w:before="240" w:after="60"/>
        <w:rPr>
          <w:rFonts w:ascii="Arial" w:hAnsi="Arial" w:cs="Arial"/>
          <w:b/>
          <w:i w:val="0"/>
          <w:color w:val="0070C0"/>
          <w:sz w:val="20"/>
          <w:szCs w:val="20"/>
        </w:rPr>
      </w:pPr>
      <w:bookmarkStart w:id="85" w:name="_Toc504136194"/>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22</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Общи индикатори за въздействие</w:t>
      </w:r>
      <w:bookmarkEnd w:id="85"/>
    </w:p>
    <w:tbl>
      <w:tblPr>
        <w:tblStyle w:val="TableGrid"/>
        <w:tblW w:w="9493"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415"/>
        <w:gridCol w:w="1565"/>
        <w:gridCol w:w="1523"/>
        <w:gridCol w:w="1425"/>
        <w:gridCol w:w="1730"/>
        <w:gridCol w:w="1275"/>
        <w:gridCol w:w="1560"/>
      </w:tblGrid>
      <w:tr w:rsidR="00E8617E" w:rsidRPr="00BC513A" w14:paraId="5F3AF379" w14:textId="77777777" w:rsidTr="00046AF8">
        <w:trPr>
          <w:tblHeader/>
        </w:trPr>
        <w:tc>
          <w:tcPr>
            <w:tcW w:w="415" w:type="dxa"/>
            <w:shd w:val="clear" w:color="auto" w:fill="1F4E79" w:themeFill="accent1" w:themeFillShade="80"/>
          </w:tcPr>
          <w:p w14:paraId="1ACEE36E" w14:textId="77777777" w:rsidR="00E8617E" w:rsidRPr="00BC513A" w:rsidRDefault="00E8617E" w:rsidP="00922731">
            <w:pPr>
              <w:pStyle w:val="DefaultText"/>
              <w:rPr>
                <w:b/>
                <w:color w:val="FFFFFF" w:themeColor="background1"/>
                <w:sz w:val="20"/>
                <w:szCs w:val="20"/>
                <w:lang w:val="bg-BG"/>
              </w:rPr>
            </w:pPr>
            <w:r w:rsidRPr="00BC513A">
              <w:rPr>
                <w:b/>
                <w:color w:val="FFFFFF" w:themeColor="background1"/>
                <w:sz w:val="20"/>
                <w:szCs w:val="20"/>
                <w:lang w:val="bg-BG"/>
              </w:rPr>
              <w:t>№</w:t>
            </w:r>
          </w:p>
        </w:tc>
        <w:tc>
          <w:tcPr>
            <w:tcW w:w="3088" w:type="dxa"/>
            <w:gridSpan w:val="2"/>
            <w:shd w:val="clear" w:color="auto" w:fill="1F4E79" w:themeFill="accent1" w:themeFillShade="80"/>
          </w:tcPr>
          <w:p w14:paraId="0DF7C5C3" w14:textId="77777777" w:rsidR="00E8617E" w:rsidRPr="00BC513A" w:rsidRDefault="00E8617E" w:rsidP="00922731">
            <w:pPr>
              <w:pStyle w:val="DefaultText"/>
              <w:rPr>
                <w:b/>
                <w:color w:val="FFFFFF" w:themeColor="background1"/>
                <w:sz w:val="20"/>
                <w:szCs w:val="20"/>
                <w:lang w:val="bg-BG"/>
              </w:rPr>
            </w:pPr>
            <w:r w:rsidRPr="00BC513A">
              <w:rPr>
                <w:b/>
                <w:color w:val="FFFFFF" w:themeColor="background1"/>
                <w:sz w:val="20"/>
                <w:szCs w:val="20"/>
                <w:lang w:val="bg-BG"/>
              </w:rPr>
              <w:t>Индикатор</w:t>
            </w:r>
          </w:p>
        </w:tc>
        <w:tc>
          <w:tcPr>
            <w:tcW w:w="1425" w:type="dxa"/>
            <w:shd w:val="clear" w:color="auto" w:fill="1F4E79" w:themeFill="accent1" w:themeFillShade="80"/>
          </w:tcPr>
          <w:p w14:paraId="756A724C" w14:textId="77777777" w:rsidR="00E8617E" w:rsidRPr="00BC513A" w:rsidRDefault="00E8617E" w:rsidP="00922731">
            <w:pPr>
              <w:pStyle w:val="DefaultText"/>
              <w:jc w:val="center"/>
              <w:rPr>
                <w:b/>
                <w:color w:val="FFFFFF" w:themeColor="background1"/>
                <w:sz w:val="20"/>
                <w:szCs w:val="20"/>
                <w:lang w:val="bg-BG"/>
              </w:rPr>
            </w:pPr>
            <w:r w:rsidRPr="00BC513A">
              <w:rPr>
                <w:b/>
                <w:color w:val="FFFFFF" w:themeColor="background1"/>
                <w:sz w:val="20"/>
                <w:szCs w:val="20"/>
                <w:lang w:val="bg-BG"/>
              </w:rPr>
              <w:t>Мерна единица</w:t>
            </w:r>
          </w:p>
        </w:tc>
        <w:tc>
          <w:tcPr>
            <w:tcW w:w="1730" w:type="dxa"/>
            <w:shd w:val="clear" w:color="auto" w:fill="1F4E79" w:themeFill="accent1" w:themeFillShade="80"/>
          </w:tcPr>
          <w:p w14:paraId="0FAFD11D" w14:textId="77777777" w:rsidR="00E8617E" w:rsidRPr="00BC513A" w:rsidRDefault="00E8617E" w:rsidP="00922731">
            <w:pPr>
              <w:pStyle w:val="DefaultText"/>
              <w:jc w:val="center"/>
              <w:rPr>
                <w:b/>
                <w:color w:val="FFFFFF" w:themeColor="background1"/>
                <w:sz w:val="20"/>
                <w:szCs w:val="20"/>
                <w:lang w:val="bg-BG"/>
              </w:rPr>
            </w:pPr>
            <w:r w:rsidRPr="00BC513A">
              <w:rPr>
                <w:b/>
                <w:color w:val="FFFFFF" w:themeColor="background1"/>
                <w:sz w:val="20"/>
                <w:szCs w:val="20"/>
                <w:lang w:val="bg-BG"/>
              </w:rPr>
              <w:t>Целева стойност</w:t>
            </w:r>
          </w:p>
        </w:tc>
        <w:tc>
          <w:tcPr>
            <w:tcW w:w="1275" w:type="dxa"/>
            <w:shd w:val="clear" w:color="auto" w:fill="1F4E79" w:themeFill="accent1" w:themeFillShade="80"/>
          </w:tcPr>
          <w:p w14:paraId="66F5F09E" w14:textId="77777777" w:rsidR="00E8617E" w:rsidRPr="00BC513A" w:rsidRDefault="00E8617E" w:rsidP="00922731">
            <w:pPr>
              <w:pStyle w:val="DefaultText"/>
              <w:jc w:val="center"/>
              <w:rPr>
                <w:b/>
                <w:color w:val="FFFFFF" w:themeColor="background1"/>
                <w:sz w:val="20"/>
                <w:szCs w:val="20"/>
                <w:lang w:val="bg-BG"/>
              </w:rPr>
            </w:pPr>
            <w:r w:rsidRPr="00BC513A">
              <w:rPr>
                <w:b/>
                <w:color w:val="FFFFFF" w:themeColor="background1"/>
                <w:sz w:val="20"/>
                <w:szCs w:val="20"/>
                <w:lang w:val="bg-BG"/>
              </w:rPr>
              <w:t>Постигната стойност</w:t>
            </w:r>
          </w:p>
        </w:tc>
        <w:tc>
          <w:tcPr>
            <w:tcW w:w="1560" w:type="dxa"/>
            <w:shd w:val="clear" w:color="auto" w:fill="1F4E79" w:themeFill="accent1" w:themeFillShade="80"/>
          </w:tcPr>
          <w:p w14:paraId="041CC840" w14:textId="77777777" w:rsidR="00E8617E" w:rsidRPr="00BC513A" w:rsidRDefault="00E8617E" w:rsidP="00922731">
            <w:pPr>
              <w:pStyle w:val="DefaultText"/>
              <w:jc w:val="center"/>
              <w:rPr>
                <w:b/>
                <w:color w:val="FFFFFF" w:themeColor="background1"/>
                <w:sz w:val="20"/>
                <w:szCs w:val="20"/>
                <w:lang w:val="bg-BG"/>
              </w:rPr>
            </w:pPr>
            <w:r w:rsidRPr="00BC513A">
              <w:rPr>
                <w:b/>
                <w:color w:val="FFFFFF" w:themeColor="background1"/>
                <w:sz w:val="20"/>
                <w:szCs w:val="20"/>
                <w:lang w:val="bg-BG"/>
              </w:rPr>
              <w:t>% на изпълнение</w:t>
            </w:r>
          </w:p>
        </w:tc>
      </w:tr>
      <w:tr w:rsidR="00E8617E" w:rsidRPr="00AE71CA" w14:paraId="21E2022E" w14:textId="77777777" w:rsidTr="00046AF8">
        <w:trPr>
          <w:trHeight w:val="89"/>
        </w:trPr>
        <w:tc>
          <w:tcPr>
            <w:tcW w:w="415" w:type="dxa"/>
            <w:vMerge w:val="restart"/>
          </w:tcPr>
          <w:p w14:paraId="739B59F2" w14:textId="77777777" w:rsidR="00E8617E" w:rsidRPr="00AE71CA" w:rsidRDefault="00E8617E" w:rsidP="00922731">
            <w:pPr>
              <w:pStyle w:val="DefaultText"/>
              <w:rPr>
                <w:rFonts w:cs="Arial"/>
                <w:szCs w:val="18"/>
                <w:lang w:val="bg-BG"/>
              </w:rPr>
            </w:pPr>
            <w:r w:rsidRPr="00AE71CA">
              <w:rPr>
                <w:rFonts w:cs="Arial"/>
                <w:szCs w:val="18"/>
                <w:lang w:val="bg-BG"/>
              </w:rPr>
              <w:t>1</w:t>
            </w:r>
          </w:p>
        </w:tc>
        <w:tc>
          <w:tcPr>
            <w:tcW w:w="1565" w:type="dxa"/>
            <w:vMerge w:val="restart"/>
            <w:vAlign w:val="center"/>
          </w:tcPr>
          <w:p w14:paraId="29D695D2" w14:textId="77777777" w:rsidR="00E8617E" w:rsidRPr="00AE71CA" w:rsidRDefault="00E8617E" w:rsidP="00922731">
            <w:pPr>
              <w:spacing w:after="120" w:line="280" w:lineRule="atLeast"/>
              <w:jc w:val="center"/>
              <w:rPr>
                <w:rFonts w:ascii="Arial" w:hAnsi="Arial" w:cs="Arial"/>
                <w:sz w:val="18"/>
                <w:szCs w:val="18"/>
                <w:lang w:eastAsia="de-DE"/>
              </w:rPr>
            </w:pPr>
            <w:r w:rsidRPr="00AE71CA">
              <w:rPr>
                <w:rFonts w:ascii="Arial" w:hAnsi="Arial" w:cs="Arial"/>
                <w:sz w:val="18"/>
                <w:szCs w:val="18"/>
                <w:lang w:eastAsia="de-DE"/>
              </w:rPr>
              <w:t>Икономически растеж</w:t>
            </w:r>
          </w:p>
        </w:tc>
        <w:tc>
          <w:tcPr>
            <w:tcW w:w="1523" w:type="dxa"/>
            <w:shd w:val="clear" w:color="auto" w:fill="DEEAF6" w:themeFill="accent1" w:themeFillTint="33"/>
            <w:vAlign w:val="center"/>
          </w:tcPr>
          <w:p w14:paraId="283E6B56" w14:textId="77777777" w:rsidR="00E8617E" w:rsidRPr="00AE71CA" w:rsidRDefault="00E8617E" w:rsidP="00922731">
            <w:pPr>
              <w:spacing w:after="120" w:line="280" w:lineRule="atLeast"/>
              <w:rPr>
                <w:rFonts w:ascii="Arial" w:hAnsi="Arial" w:cs="Arial"/>
                <w:sz w:val="18"/>
                <w:szCs w:val="18"/>
                <w:lang w:eastAsia="de-DE"/>
              </w:rPr>
            </w:pPr>
            <w:r w:rsidRPr="00AE71CA">
              <w:rPr>
                <w:rFonts w:ascii="Arial" w:hAnsi="Arial" w:cs="Arial"/>
                <w:sz w:val="18"/>
                <w:szCs w:val="18"/>
                <w:lang w:eastAsia="de-DE"/>
              </w:rPr>
              <w:t>Общо</w:t>
            </w:r>
          </w:p>
        </w:tc>
        <w:tc>
          <w:tcPr>
            <w:tcW w:w="1425" w:type="dxa"/>
            <w:shd w:val="clear" w:color="auto" w:fill="DEEAF6" w:themeFill="accent1" w:themeFillTint="33"/>
            <w:vAlign w:val="center"/>
          </w:tcPr>
          <w:p w14:paraId="7DA8981B" w14:textId="77777777" w:rsidR="00E8617E" w:rsidRPr="00AE71CA" w:rsidRDefault="00E8617E" w:rsidP="00046AF8">
            <w:pPr>
              <w:pStyle w:val="DefaultText"/>
              <w:jc w:val="center"/>
              <w:rPr>
                <w:rFonts w:cs="Arial"/>
                <w:b/>
                <w:szCs w:val="18"/>
                <w:lang w:val="bg-BG"/>
              </w:rPr>
            </w:pPr>
            <w:r w:rsidRPr="00AE71CA">
              <w:rPr>
                <w:rFonts w:cs="Arial"/>
                <w:szCs w:val="18"/>
                <w:lang w:val="bg-BG"/>
              </w:rPr>
              <w:t>евро</w:t>
            </w:r>
          </w:p>
        </w:tc>
        <w:tc>
          <w:tcPr>
            <w:tcW w:w="1730" w:type="dxa"/>
            <w:shd w:val="clear" w:color="auto" w:fill="DEEAF6" w:themeFill="accent1" w:themeFillTint="33"/>
            <w:vAlign w:val="center"/>
          </w:tcPr>
          <w:p w14:paraId="47E04A28" w14:textId="77777777" w:rsidR="00E8617E" w:rsidRPr="00AE71CA" w:rsidRDefault="00E8617E" w:rsidP="00046AF8">
            <w:pPr>
              <w:pStyle w:val="Footer"/>
              <w:keepNext/>
              <w:spacing w:before="40" w:after="40"/>
              <w:jc w:val="center"/>
              <w:rPr>
                <w:rFonts w:cs="Arial"/>
                <w:szCs w:val="18"/>
                <w:lang w:val="bg-BG"/>
              </w:rPr>
            </w:pPr>
            <w:r w:rsidRPr="00AE71CA">
              <w:rPr>
                <w:rFonts w:cs="Arial"/>
                <w:szCs w:val="18"/>
                <w:lang w:val="bg-BG"/>
              </w:rPr>
              <w:t>206 000 000</w:t>
            </w:r>
          </w:p>
        </w:tc>
        <w:tc>
          <w:tcPr>
            <w:tcW w:w="1275" w:type="dxa"/>
            <w:shd w:val="clear" w:color="auto" w:fill="DEEAF6" w:themeFill="accent1" w:themeFillTint="33"/>
            <w:vAlign w:val="center"/>
          </w:tcPr>
          <w:p w14:paraId="0289AE3C" w14:textId="77777777" w:rsidR="00E8617E" w:rsidRPr="00AE71CA" w:rsidRDefault="00E8617E" w:rsidP="00046AF8">
            <w:pPr>
              <w:pStyle w:val="DefaultText"/>
              <w:jc w:val="center"/>
              <w:rPr>
                <w:rFonts w:cs="Arial"/>
                <w:b/>
                <w:szCs w:val="18"/>
                <w:lang w:val="bg-BG"/>
              </w:rPr>
            </w:pPr>
            <w:r w:rsidRPr="00AE71CA">
              <w:rPr>
                <w:rFonts w:cs="Arial"/>
                <w:szCs w:val="18"/>
                <w:lang w:val="bg-BG"/>
              </w:rPr>
              <w:t>954 600 000</w:t>
            </w:r>
          </w:p>
        </w:tc>
        <w:tc>
          <w:tcPr>
            <w:tcW w:w="1560" w:type="dxa"/>
            <w:shd w:val="clear" w:color="auto" w:fill="DEEAF6" w:themeFill="accent1" w:themeFillTint="33"/>
            <w:vAlign w:val="center"/>
          </w:tcPr>
          <w:p w14:paraId="76EDF522" w14:textId="77777777" w:rsidR="00E8617E" w:rsidRPr="00AE71CA" w:rsidRDefault="00E8617E" w:rsidP="00046AF8">
            <w:pPr>
              <w:pStyle w:val="DefaultText"/>
              <w:jc w:val="center"/>
              <w:rPr>
                <w:rFonts w:cs="Arial"/>
                <w:b/>
                <w:szCs w:val="18"/>
                <w:lang w:val="bg-BG"/>
              </w:rPr>
            </w:pPr>
            <w:r w:rsidRPr="00AE71CA">
              <w:rPr>
                <w:rFonts w:cs="Arial"/>
                <w:szCs w:val="18"/>
                <w:lang w:val="bg-BG"/>
              </w:rPr>
              <w:t>463%</w:t>
            </w:r>
          </w:p>
        </w:tc>
      </w:tr>
      <w:tr w:rsidR="00E8617E" w:rsidRPr="00AE71CA" w14:paraId="58055F17" w14:textId="77777777" w:rsidTr="00046AF8">
        <w:trPr>
          <w:trHeight w:val="87"/>
        </w:trPr>
        <w:tc>
          <w:tcPr>
            <w:tcW w:w="415" w:type="dxa"/>
            <w:vMerge/>
          </w:tcPr>
          <w:p w14:paraId="767A6D9C" w14:textId="77777777" w:rsidR="00E8617E" w:rsidRPr="00AE71CA" w:rsidRDefault="00E8617E" w:rsidP="00922731">
            <w:pPr>
              <w:pStyle w:val="DefaultText"/>
              <w:rPr>
                <w:rFonts w:cs="Arial"/>
                <w:szCs w:val="18"/>
                <w:lang w:val="bg-BG"/>
              </w:rPr>
            </w:pPr>
          </w:p>
        </w:tc>
        <w:tc>
          <w:tcPr>
            <w:tcW w:w="1565" w:type="dxa"/>
            <w:vMerge/>
            <w:vAlign w:val="center"/>
          </w:tcPr>
          <w:p w14:paraId="51CBDDC6" w14:textId="77777777" w:rsidR="00E8617E" w:rsidRPr="00AE71CA" w:rsidRDefault="00E8617E" w:rsidP="00922731">
            <w:pPr>
              <w:spacing w:after="120" w:line="280" w:lineRule="atLeast"/>
              <w:jc w:val="center"/>
              <w:rPr>
                <w:rFonts w:ascii="Arial" w:hAnsi="Arial" w:cs="Arial"/>
                <w:sz w:val="18"/>
                <w:szCs w:val="18"/>
                <w:lang w:eastAsia="de-DE"/>
              </w:rPr>
            </w:pPr>
          </w:p>
        </w:tc>
        <w:tc>
          <w:tcPr>
            <w:tcW w:w="1523" w:type="dxa"/>
            <w:vAlign w:val="center"/>
          </w:tcPr>
          <w:p w14:paraId="1507E88C" w14:textId="77777777" w:rsidR="00E8617E" w:rsidRPr="00AE71CA" w:rsidRDefault="00E8617E" w:rsidP="00922731">
            <w:pPr>
              <w:spacing w:after="120" w:line="280" w:lineRule="atLeast"/>
              <w:rPr>
                <w:rFonts w:ascii="Arial" w:hAnsi="Arial" w:cs="Arial"/>
                <w:sz w:val="18"/>
                <w:szCs w:val="18"/>
                <w:lang w:eastAsia="de-DE"/>
              </w:rPr>
            </w:pPr>
            <w:r w:rsidRPr="00AE71CA">
              <w:rPr>
                <w:rFonts w:ascii="Arial" w:hAnsi="Arial" w:cs="Arial"/>
                <w:sz w:val="18"/>
                <w:szCs w:val="18"/>
                <w:lang w:eastAsia="de-DE"/>
              </w:rPr>
              <w:t>От който в земеделието</w:t>
            </w:r>
          </w:p>
        </w:tc>
        <w:tc>
          <w:tcPr>
            <w:tcW w:w="1425" w:type="dxa"/>
            <w:vAlign w:val="center"/>
          </w:tcPr>
          <w:p w14:paraId="6B7100BF" w14:textId="77777777" w:rsidR="00E8617E" w:rsidRPr="00AE71CA" w:rsidRDefault="00E8617E" w:rsidP="00046AF8">
            <w:pPr>
              <w:jc w:val="center"/>
              <w:rPr>
                <w:rFonts w:ascii="Arial" w:hAnsi="Arial" w:cs="Arial"/>
                <w:sz w:val="18"/>
                <w:szCs w:val="18"/>
              </w:rPr>
            </w:pPr>
            <w:r w:rsidRPr="00AE71CA">
              <w:rPr>
                <w:rFonts w:ascii="Arial" w:hAnsi="Arial" w:cs="Arial"/>
                <w:sz w:val="18"/>
                <w:szCs w:val="18"/>
              </w:rPr>
              <w:t>евро</w:t>
            </w:r>
          </w:p>
        </w:tc>
        <w:tc>
          <w:tcPr>
            <w:tcW w:w="1730" w:type="dxa"/>
            <w:vAlign w:val="center"/>
          </w:tcPr>
          <w:p w14:paraId="6936A0F0" w14:textId="77777777" w:rsidR="00E8617E" w:rsidRPr="00AE71CA" w:rsidRDefault="00E8617E" w:rsidP="00046AF8">
            <w:pPr>
              <w:keepNext/>
              <w:spacing w:before="40" w:after="40"/>
              <w:jc w:val="center"/>
              <w:rPr>
                <w:rFonts w:ascii="Arial" w:hAnsi="Arial" w:cs="Arial"/>
                <w:sz w:val="18"/>
                <w:szCs w:val="18"/>
              </w:rPr>
            </w:pPr>
            <w:r w:rsidRPr="00AE71CA">
              <w:rPr>
                <w:rFonts w:ascii="Arial" w:hAnsi="Arial" w:cs="Arial"/>
                <w:sz w:val="18"/>
                <w:szCs w:val="18"/>
              </w:rPr>
              <w:t>140 800 225</w:t>
            </w:r>
          </w:p>
        </w:tc>
        <w:tc>
          <w:tcPr>
            <w:tcW w:w="1275" w:type="dxa"/>
            <w:vAlign w:val="center"/>
          </w:tcPr>
          <w:p w14:paraId="6FC8F346" w14:textId="77777777" w:rsidR="00E8617E" w:rsidRPr="00AE71CA" w:rsidRDefault="00E8617E" w:rsidP="00046AF8">
            <w:pPr>
              <w:pStyle w:val="DefaultText"/>
              <w:jc w:val="center"/>
              <w:rPr>
                <w:rFonts w:cs="Arial"/>
                <w:b/>
                <w:szCs w:val="18"/>
                <w:lang w:val="bg-BG"/>
              </w:rPr>
            </w:pPr>
            <w:r w:rsidRPr="00AE71CA">
              <w:rPr>
                <w:rFonts w:cs="Arial"/>
                <w:szCs w:val="18"/>
                <w:lang w:val="bg-BG"/>
              </w:rPr>
              <w:t>332 800 000</w:t>
            </w:r>
          </w:p>
        </w:tc>
        <w:tc>
          <w:tcPr>
            <w:tcW w:w="1560" w:type="dxa"/>
            <w:vAlign w:val="center"/>
          </w:tcPr>
          <w:p w14:paraId="0B29A757" w14:textId="77777777" w:rsidR="00E8617E" w:rsidRPr="00AE71CA" w:rsidRDefault="00E8617E" w:rsidP="00046AF8">
            <w:pPr>
              <w:pStyle w:val="DefaultText"/>
              <w:jc w:val="center"/>
              <w:rPr>
                <w:rFonts w:cs="Arial"/>
                <w:b/>
                <w:szCs w:val="18"/>
                <w:lang w:val="bg-BG"/>
              </w:rPr>
            </w:pPr>
            <w:r w:rsidRPr="00AE71CA">
              <w:rPr>
                <w:rFonts w:cs="Arial"/>
                <w:szCs w:val="18"/>
                <w:lang w:val="bg-BG"/>
              </w:rPr>
              <w:t>236%</w:t>
            </w:r>
          </w:p>
        </w:tc>
      </w:tr>
      <w:tr w:rsidR="00E8617E" w:rsidRPr="00AE71CA" w14:paraId="474107EA" w14:textId="77777777" w:rsidTr="00046AF8">
        <w:trPr>
          <w:trHeight w:val="87"/>
        </w:trPr>
        <w:tc>
          <w:tcPr>
            <w:tcW w:w="415" w:type="dxa"/>
            <w:vMerge/>
          </w:tcPr>
          <w:p w14:paraId="611DCED1" w14:textId="77777777" w:rsidR="00E8617E" w:rsidRPr="00AE71CA" w:rsidRDefault="00E8617E" w:rsidP="00922731">
            <w:pPr>
              <w:pStyle w:val="DefaultText"/>
              <w:rPr>
                <w:rFonts w:cs="Arial"/>
                <w:szCs w:val="18"/>
                <w:lang w:val="bg-BG"/>
              </w:rPr>
            </w:pPr>
          </w:p>
        </w:tc>
        <w:tc>
          <w:tcPr>
            <w:tcW w:w="1565" w:type="dxa"/>
            <w:vMerge/>
            <w:vAlign w:val="center"/>
          </w:tcPr>
          <w:p w14:paraId="4F94237B" w14:textId="77777777" w:rsidR="00E8617E" w:rsidRPr="00AE71CA" w:rsidRDefault="00E8617E" w:rsidP="00922731">
            <w:pPr>
              <w:spacing w:after="120" w:line="280" w:lineRule="atLeast"/>
              <w:jc w:val="center"/>
              <w:rPr>
                <w:rFonts w:ascii="Arial" w:hAnsi="Arial" w:cs="Arial"/>
                <w:sz w:val="18"/>
                <w:szCs w:val="18"/>
                <w:lang w:eastAsia="de-DE"/>
              </w:rPr>
            </w:pPr>
          </w:p>
        </w:tc>
        <w:tc>
          <w:tcPr>
            <w:tcW w:w="1523" w:type="dxa"/>
            <w:vAlign w:val="center"/>
          </w:tcPr>
          <w:p w14:paraId="012213AF" w14:textId="77777777" w:rsidR="00E8617E" w:rsidRPr="00AE71CA" w:rsidRDefault="00E8617E" w:rsidP="00922731">
            <w:pPr>
              <w:spacing w:after="120" w:line="280" w:lineRule="atLeast"/>
              <w:rPr>
                <w:rFonts w:ascii="Arial" w:hAnsi="Arial" w:cs="Arial"/>
                <w:sz w:val="18"/>
                <w:szCs w:val="18"/>
                <w:lang w:eastAsia="de-DE"/>
              </w:rPr>
            </w:pPr>
            <w:r w:rsidRPr="00AE71CA">
              <w:rPr>
                <w:rFonts w:ascii="Arial" w:hAnsi="Arial" w:cs="Arial"/>
                <w:sz w:val="18"/>
                <w:szCs w:val="18"/>
                <w:lang w:eastAsia="de-DE"/>
              </w:rPr>
              <w:t>От който в горския сектор</w:t>
            </w:r>
          </w:p>
        </w:tc>
        <w:tc>
          <w:tcPr>
            <w:tcW w:w="1425" w:type="dxa"/>
            <w:vAlign w:val="center"/>
          </w:tcPr>
          <w:p w14:paraId="1359C691" w14:textId="77777777" w:rsidR="00E8617E" w:rsidRPr="00AE71CA" w:rsidRDefault="00E8617E" w:rsidP="00046AF8">
            <w:pPr>
              <w:jc w:val="center"/>
              <w:rPr>
                <w:rFonts w:ascii="Arial" w:hAnsi="Arial" w:cs="Arial"/>
                <w:sz w:val="18"/>
                <w:szCs w:val="18"/>
              </w:rPr>
            </w:pPr>
            <w:r w:rsidRPr="00AE71CA">
              <w:rPr>
                <w:rFonts w:ascii="Arial" w:hAnsi="Arial" w:cs="Arial"/>
                <w:sz w:val="18"/>
                <w:szCs w:val="18"/>
              </w:rPr>
              <w:t>евро</w:t>
            </w:r>
          </w:p>
        </w:tc>
        <w:tc>
          <w:tcPr>
            <w:tcW w:w="1730" w:type="dxa"/>
            <w:vAlign w:val="center"/>
          </w:tcPr>
          <w:p w14:paraId="76235FAC" w14:textId="77777777" w:rsidR="00E8617E" w:rsidRPr="00AE71CA" w:rsidRDefault="00E8617E" w:rsidP="00046AF8">
            <w:pPr>
              <w:keepNext/>
              <w:spacing w:before="40" w:after="40"/>
              <w:jc w:val="center"/>
              <w:rPr>
                <w:rFonts w:ascii="Arial" w:hAnsi="Arial" w:cs="Arial"/>
                <w:sz w:val="18"/>
                <w:szCs w:val="18"/>
              </w:rPr>
            </w:pPr>
            <w:r w:rsidRPr="00AE71CA">
              <w:rPr>
                <w:rFonts w:ascii="Arial" w:hAnsi="Arial" w:cs="Arial"/>
                <w:sz w:val="18"/>
                <w:szCs w:val="18"/>
              </w:rPr>
              <w:t>9 400 000</w:t>
            </w:r>
          </w:p>
        </w:tc>
        <w:tc>
          <w:tcPr>
            <w:tcW w:w="1275" w:type="dxa"/>
            <w:vAlign w:val="center"/>
          </w:tcPr>
          <w:p w14:paraId="461A3B43" w14:textId="77777777" w:rsidR="00E8617E" w:rsidRPr="00AE71CA" w:rsidRDefault="00E8617E" w:rsidP="00046AF8">
            <w:pPr>
              <w:pStyle w:val="DefaultText"/>
              <w:jc w:val="center"/>
              <w:rPr>
                <w:rFonts w:cs="Arial"/>
                <w:b/>
                <w:szCs w:val="18"/>
                <w:lang w:val="bg-BG"/>
              </w:rPr>
            </w:pPr>
            <w:r w:rsidRPr="00AE71CA">
              <w:rPr>
                <w:rFonts w:cs="Arial"/>
                <w:szCs w:val="18"/>
                <w:lang w:val="bg-BG"/>
              </w:rPr>
              <w:t>Няма данни</w:t>
            </w:r>
          </w:p>
        </w:tc>
        <w:tc>
          <w:tcPr>
            <w:tcW w:w="1560" w:type="dxa"/>
            <w:vAlign w:val="center"/>
          </w:tcPr>
          <w:p w14:paraId="77605F9D" w14:textId="77777777" w:rsidR="00E8617E" w:rsidRPr="00AE71CA" w:rsidRDefault="00E8617E" w:rsidP="00046AF8">
            <w:pPr>
              <w:pStyle w:val="DefaultText"/>
              <w:jc w:val="center"/>
              <w:rPr>
                <w:rFonts w:cs="Arial"/>
                <w:b/>
                <w:szCs w:val="18"/>
                <w:lang w:val="bg-BG"/>
              </w:rPr>
            </w:pPr>
          </w:p>
        </w:tc>
      </w:tr>
      <w:tr w:rsidR="00E8617E" w:rsidRPr="00AE71CA" w14:paraId="1D8AD922" w14:textId="77777777" w:rsidTr="00046AF8">
        <w:trPr>
          <w:trHeight w:val="87"/>
        </w:trPr>
        <w:tc>
          <w:tcPr>
            <w:tcW w:w="415" w:type="dxa"/>
            <w:vMerge/>
          </w:tcPr>
          <w:p w14:paraId="24D97BD8" w14:textId="77777777" w:rsidR="00E8617E" w:rsidRPr="00AE71CA" w:rsidRDefault="00E8617E" w:rsidP="00922731">
            <w:pPr>
              <w:pStyle w:val="DefaultText"/>
              <w:rPr>
                <w:rFonts w:cs="Arial"/>
                <w:szCs w:val="18"/>
                <w:lang w:val="bg-BG"/>
              </w:rPr>
            </w:pPr>
          </w:p>
        </w:tc>
        <w:tc>
          <w:tcPr>
            <w:tcW w:w="1565" w:type="dxa"/>
            <w:vMerge/>
            <w:vAlign w:val="center"/>
          </w:tcPr>
          <w:p w14:paraId="4670CD28" w14:textId="77777777" w:rsidR="00E8617E" w:rsidRPr="00AE71CA" w:rsidRDefault="00E8617E" w:rsidP="00922731">
            <w:pPr>
              <w:spacing w:after="120" w:line="280" w:lineRule="atLeast"/>
              <w:jc w:val="center"/>
              <w:rPr>
                <w:rFonts w:ascii="Arial" w:hAnsi="Arial" w:cs="Arial"/>
                <w:sz w:val="18"/>
                <w:szCs w:val="18"/>
                <w:lang w:eastAsia="de-DE"/>
              </w:rPr>
            </w:pPr>
          </w:p>
        </w:tc>
        <w:tc>
          <w:tcPr>
            <w:tcW w:w="1523" w:type="dxa"/>
            <w:vAlign w:val="center"/>
          </w:tcPr>
          <w:p w14:paraId="707B6081" w14:textId="77777777" w:rsidR="00E8617E" w:rsidRPr="00AE71CA" w:rsidRDefault="00E8617E" w:rsidP="00922731">
            <w:pPr>
              <w:spacing w:after="120" w:line="280" w:lineRule="atLeast"/>
              <w:rPr>
                <w:rFonts w:ascii="Arial" w:hAnsi="Arial" w:cs="Arial"/>
                <w:sz w:val="18"/>
                <w:szCs w:val="18"/>
                <w:lang w:eastAsia="de-DE"/>
              </w:rPr>
            </w:pPr>
            <w:r w:rsidRPr="00AE71CA">
              <w:rPr>
                <w:rFonts w:ascii="Arial" w:hAnsi="Arial" w:cs="Arial"/>
                <w:sz w:val="18"/>
                <w:szCs w:val="18"/>
                <w:lang w:eastAsia="de-DE"/>
              </w:rPr>
              <w:t>От който в непървичния сектор</w:t>
            </w:r>
          </w:p>
        </w:tc>
        <w:tc>
          <w:tcPr>
            <w:tcW w:w="1425" w:type="dxa"/>
            <w:vAlign w:val="center"/>
          </w:tcPr>
          <w:p w14:paraId="4832210F" w14:textId="77777777" w:rsidR="00E8617E" w:rsidRPr="00AE71CA" w:rsidRDefault="00E8617E" w:rsidP="00046AF8">
            <w:pPr>
              <w:jc w:val="center"/>
              <w:rPr>
                <w:rFonts w:ascii="Arial" w:hAnsi="Arial" w:cs="Arial"/>
                <w:sz w:val="18"/>
                <w:szCs w:val="18"/>
              </w:rPr>
            </w:pPr>
            <w:r w:rsidRPr="00AE71CA">
              <w:rPr>
                <w:rFonts w:ascii="Arial" w:hAnsi="Arial" w:cs="Arial"/>
                <w:sz w:val="18"/>
                <w:szCs w:val="18"/>
              </w:rPr>
              <w:t>евро</w:t>
            </w:r>
          </w:p>
        </w:tc>
        <w:tc>
          <w:tcPr>
            <w:tcW w:w="1730" w:type="dxa"/>
            <w:vAlign w:val="center"/>
          </w:tcPr>
          <w:p w14:paraId="462B2161" w14:textId="77777777" w:rsidR="00E8617E" w:rsidRPr="00AE71CA" w:rsidRDefault="00E8617E" w:rsidP="00046AF8">
            <w:pPr>
              <w:keepNext/>
              <w:spacing w:before="40" w:after="40"/>
              <w:jc w:val="center"/>
              <w:rPr>
                <w:rFonts w:ascii="Arial" w:hAnsi="Arial" w:cs="Arial"/>
                <w:sz w:val="18"/>
                <w:szCs w:val="18"/>
              </w:rPr>
            </w:pPr>
            <w:r w:rsidRPr="00AE71CA">
              <w:rPr>
                <w:rFonts w:ascii="Arial" w:hAnsi="Arial" w:cs="Arial"/>
                <w:sz w:val="18"/>
                <w:szCs w:val="18"/>
              </w:rPr>
              <w:t>55 800 000</w:t>
            </w:r>
          </w:p>
        </w:tc>
        <w:tc>
          <w:tcPr>
            <w:tcW w:w="1275" w:type="dxa"/>
            <w:vAlign w:val="center"/>
          </w:tcPr>
          <w:p w14:paraId="7FAC5369" w14:textId="77777777" w:rsidR="00E8617E" w:rsidRPr="00AE71CA" w:rsidRDefault="00E8617E" w:rsidP="00046AF8">
            <w:pPr>
              <w:pStyle w:val="DefaultText"/>
              <w:jc w:val="center"/>
              <w:rPr>
                <w:rFonts w:cs="Arial"/>
                <w:b/>
                <w:szCs w:val="18"/>
                <w:lang w:val="bg-BG"/>
              </w:rPr>
            </w:pPr>
            <w:r w:rsidRPr="00AE71CA">
              <w:rPr>
                <w:rFonts w:cs="Arial"/>
                <w:szCs w:val="18"/>
                <w:lang w:val="bg-BG"/>
              </w:rPr>
              <w:t>621 800 000</w:t>
            </w:r>
          </w:p>
        </w:tc>
        <w:tc>
          <w:tcPr>
            <w:tcW w:w="1560" w:type="dxa"/>
            <w:vAlign w:val="center"/>
          </w:tcPr>
          <w:p w14:paraId="1108E6CC" w14:textId="77777777" w:rsidR="00E8617E" w:rsidRPr="00AE71CA" w:rsidRDefault="00E8617E" w:rsidP="00046AF8">
            <w:pPr>
              <w:pStyle w:val="DefaultText"/>
              <w:jc w:val="center"/>
              <w:rPr>
                <w:rFonts w:cs="Arial"/>
                <w:b/>
                <w:szCs w:val="18"/>
                <w:lang w:val="bg-BG"/>
              </w:rPr>
            </w:pPr>
            <w:r w:rsidRPr="00AE71CA">
              <w:rPr>
                <w:rFonts w:cs="Arial"/>
                <w:szCs w:val="18"/>
                <w:lang w:val="bg-BG"/>
              </w:rPr>
              <w:t>1114%</w:t>
            </w:r>
          </w:p>
        </w:tc>
      </w:tr>
      <w:tr w:rsidR="00E8617E" w:rsidRPr="00AE71CA" w14:paraId="314715B5" w14:textId="77777777" w:rsidTr="00046AF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9"/>
        </w:trPr>
        <w:tc>
          <w:tcPr>
            <w:tcW w:w="415" w:type="dxa"/>
            <w:vMerge w:val="restart"/>
          </w:tcPr>
          <w:p w14:paraId="72B8A997" w14:textId="77777777" w:rsidR="00E8617E" w:rsidRPr="00AE71CA" w:rsidRDefault="00E8617E" w:rsidP="00922731">
            <w:pPr>
              <w:pStyle w:val="DefaultText"/>
              <w:rPr>
                <w:rFonts w:cs="Arial"/>
                <w:szCs w:val="18"/>
                <w:lang w:val="bg-BG"/>
              </w:rPr>
            </w:pPr>
            <w:r w:rsidRPr="00AE71CA">
              <w:rPr>
                <w:rFonts w:cs="Arial"/>
                <w:szCs w:val="18"/>
                <w:lang w:val="bg-BG"/>
              </w:rPr>
              <w:t>2</w:t>
            </w:r>
          </w:p>
        </w:tc>
        <w:tc>
          <w:tcPr>
            <w:tcW w:w="1565" w:type="dxa"/>
            <w:vMerge w:val="restart"/>
          </w:tcPr>
          <w:p w14:paraId="314F078F" w14:textId="77777777" w:rsidR="00E8617E" w:rsidRPr="00AE71CA" w:rsidRDefault="00E8617E" w:rsidP="00922731">
            <w:pPr>
              <w:spacing w:after="120" w:line="280" w:lineRule="atLeast"/>
              <w:jc w:val="center"/>
              <w:rPr>
                <w:rFonts w:ascii="Arial" w:hAnsi="Arial" w:cs="Arial"/>
                <w:sz w:val="18"/>
                <w:szCs w:val="18"/>
                <w:lang w:eastAsia="de-DE"/>
              </w:rPr>
            </w:pPr>
            <w:r w:rsidRPr="00AE71CA">
              <w:rPr>
                <w:rFonts w:ascii="Arial" w:hAnsi="Arial" w:cs="Arial"/>
                <w:sz w:val="18"/>
                <w:szCs w:val="18"/>
                <w:lang w:eastAsia="de-DE"/>
              </w:rPr>
              <w:t>Създаване на заетост</w:t>
            </w:r>
          </w:p>
        </w:tc>
        <w:tc>
          <w:tcPr>
            <w:tcW w:w="1523" w:type="dxa"/>
            <w:shd w:val="clear" w:color="auto" w:fill="DEEAF6" w:themeFill="accent1" w:themeFillTint="33"/>
          </w:tcPr>
          <w:p w14:paraId="3FE1BC9C" w14:textId="77777777" w:rsidR="00E8617E" w:rsidRPr="00AE71CA" w:rsidRDefault="00E8617E" w:rsidP="00922731">
            <w:pPr>
              <w:spacing w:after="120" w:line="280" w:lineRule="atLeast"/>
              <w:rPr>
                <w:rFonts w:ascii="Arial" w:hAnsi="Arial" w:cs="Arial"/>
                <w:sz w:val="18"/>
                <w:szCs w:val="18"/>
                <w:lang w:eastAsia="de-DE"/>
              </w:rPr>
            </w:pPr>
            <w:r w:rsidRPr="00AE71CA">
              <w:rPr>
                <w:rFonts w:ascii="Arial" w:hAnsi="Arial" w:cs="Arial"/>
                <w:sz w:val="18"/>
                <w:szCs w:val="18"/>
                <w:lang w:eastAsia="de-DE"/>
              </w:rPr>
              <w:t>Общо</w:t>
            </w:r>
          </w:p>
        </w:tc>
        <w:tc>
          <w:tcPr>
            <w:tcW w:w="1425" w:type="dxa"/>
            <w:shd w:val="clear" w:color="auto" w:fill="DEEAF6" w:themeFill="accent1" w:themeFillTint="33"/>
            <w:vAlign w:val="center"/>
          </w:tcPr>
          <w:p w14:paraId="520D8756" w14:textId="12A209CE" w:rsidR="00E8617E" w:rsidRPr="00AE71CA" w:rsidRDefault="00E8617E" w:rsidP="00046AF8">
            <w:pPr>
              <w:pStyle w:val="DefaultText"/>
              <w:jc w:val="center"/>
              <w:rPr>
                <w:rFonts w:cs="Arial"/>
                <w:b/>
                <w:szCs w:val="18"/>
                <w:lang w:val="bg-BG"/>
              </w:rPr>
            </w:pPr>
            <w:r w:rsidRPr="00AE71CA">
              <w:rPr>
                <w:rFonts w:cs="Arial"/>
                <w:szCs w:val="18"/>
                <w:lang w:val="bg-BG"/>
              </w:rPr>
              <w:t>Брой</w:t>
            </w:r>
          </w:p>
        </w:tc>
        <w:tc>
          <w:tcPr>
            <w:tcW w:w="1730" w:type="dxa"/>
            <w:shd w:val="clear" w:color="auto" w:fill="DEEAF6" w:themeFill="accent1" w:themeFillTint="33"/>
            <w:vAlign w:val="center"/>
          </w:tcPr>
          <w:p w14:paraId="6C0DBFD6" w14:textId="77777777" w:rsidR="00E8617E" w:rsidRPr="00AE71CA" w:rsidRDefault="00E8617E" w:rsidP="00046AF8">
            <w:pPr>
              <w:pStyle w:val="Footer"/>
              <w:keepNext/>
              <w:spacing w:before="40" w:after="40"/>
              <w:jc w:val="center"/>
              <w:rPr>
                <w:rFonts w:cs="Arial"/>
                <w:szCs w:val="18"/>
                <w:lang w:val="bg-BG"/>
              </w:rPr>
            </w:pPr>
            <w:r w:rsidRPr="00AE71CA">
              <w:rPr>
                <w:rFonts w:cs="Arial"/>
                <w:szCs w:val="18"/>
                <w:lang w:val="bg-BG"/>
              </w:rPr>
              <w:t>17 000</w:t>
            </w:r>
          </w:p>
        </w:tc>
        <w:tc>
          <w:tcPr>
            <w:tcW w:w="1275" w:type="dxa"/>
            <w:shd w:val="clear" w:color="auto" w:fill="DEEAF6" w:themeFill="accent1" w:themeFillTint="33"/>
            <w:vAlign w:val="center"/>
          </w:tcPr>
          <w:p w14:paraId="66856D86" w14:textId="77777777" w:rsidR="00E8617E" w:rsidRPr="00AE71CA" w:rsidRDefault="00E8617E" w:rsidP="00046AF8">
            <w:pPr>
              <w:pStyle w:val="DefaultText"/>
              <w:jc w:val="center"/>
              <w:rPr>
                <w:rFonts w:cs="Arial"/>
                <w:b/>
                <w:szCs w:val="18"/>
                <w:lang w:val="bg-BG"/>
              </w:rPr>
            </w:pPr>
            <w:r w:rsidRPr="00AE71CA">
              <w:rPr>
                <w:rFonts w:cs="Arial"/>
                <w:szCs w:val="18"/>
                <w:lang w:val="bg-BG"/>
              </w:rPr>
              <w:t>8137</w:t>
            </w:r>
          </w:p>
        </w:tc>
        <w:tc>
          <w:tcPr>
            <w:tcW w:w="1560" w:type="dxa"/>
            <w:shd w:val="clear" w:color="auto" w:fill="DEEAF6" w:themeFill="accent1" w:themeFillTint="33"/>
            <w:vAlign w:val="center"/>
          </w:tcPr>
          <w:p w14:paraId="27C7A664" w14:textId="77777777" w:rsidR="00E8617E" w:rsidRPr="00AE71CA" w:rsidRDefault="00E8617E" w:rsidP="00046AF8">
            <w:pPr>
              <w:pStyle w:val="DefaultText"/>
              <w:jc w:val="center"/>
              <w:rPr>
                <w:rFonts w:cs="Arial"/>
                <w:szCs w:val="18"/>
                <w:lang w:val="bg-BG"/>
              </w:rPr>
            </w:pPr>
            <w:r w:rsidRPr="00AE71CA">
              <w:rPr>
                <w:rFonts w:cs="Arial"/>
                <w:szCs w:val="18"/>
                <w:lang w:val="bg-BG"/>
              </w:rPr>
              <w:t>48%</w:t>
            </w:r>
          </w:p>
        </w:tc>
      </w:tr>
      <w:tr w:rsidR="00E8617E" w:rsidRPr="00AE71CA" w14:paraId="5C368C7C" w14:textId="77777777" w:rsidTr="00046AF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7"/>
        </w:trPr>
        <w:tc>
          <w:tcPr>
            <w:tcW w:w="415" w:type="dxa"/>
            <w:vMerge/>
          </w:tcPr>
          <w:p w14:paraId="0F189042" w14:textId="77777777" w:rsidR="00E8617E" w:rsidRPr="00AE71CA" w:rsidRDefault="00E8617E" w:rsidP="00922731">
            <w:pPr>
              <w:pStyle w:val="DefaultText"/>
              <w:rPr>
                <w:rFonts w:cs="Arial"/>
                <w:szCs w:val="18"/>
                <w:lang w:val="bg-BG"/>
              </w:rPr>
            </w:pPr>
          </w:p>
        </w:tc>
        <w:tc>
          <w:tcPr>
            <w:tcW w:w="1565" w:type="dxa"/>
            <w:vMerge/>
          </w:tcPr>
          <w:p w14:paraId="3C62DCBD" w14:textId="77777777" w:rsidR="00E8617E" w:rsidRPr="00AE71CA" w:rsidRDefault="00E8617E" w:rsidP="00922731">
            <w:pPr>
              <w:spacing w:after="120" w:line="280" w:lineRule="atLeast"/>
              <w:jc w:val="center"/>
              <w:rPr>
                <w:rFonts w:ascii="Arial" w:hAnsi="Arial" w:cs="Arial"/>
                <w:sz w:val="18"/>
                <w:szCs w:val="18"/>
                <w:lang w:eastAsia="de-DE"/>
              </w:rPr>
            </w:pPr>
          </w:p>
        </w:tc>
        <w:tc>
          <w:tcPr>
            <w:tcW w:w="1523" w:type="dxa"/>
          </w:tcPr>
          <w:p w14:paraId="37BB114F" w14:textId="77777777" w:rsidR="00E8617E" w:rsidRPr="00AE71CA" w:rsidRDefault="00E8617E" w:rsidP="00922731">
            <w:pPr>
              <w:spacing w:after="120" w:line="280" w:lineRule="atLeast"/>
              <w:rPr>
                <w:rFonts w:ascii="Arial" w:hAnsi="Arial" w:cs="Arial"/>
                <w:sz w:val="18"/>
                <w:szCs w:val="18"/>
                <w:lang w:eastAsia="de-DE"/>
              </w:rPr>
            </w:pPr>
            <w:r w:rsidRPr="00AE71CA">
              <w:rPr>
                <w:rFonts w:ascii="Arial" w:hAnsi="Arial" w:cs="Arial"/>
                <w:sz w:val="18"/>
                <w:szCs w:val="18"/>
                <w:lang w:eastAsia="de-DE"/>
              </w:rPr>
              <w:t>В земеделието</w:t>
            </w:r>
          </w:p>
        </w:tc>
        <w:tc>
          <w:tcPr>
            <w:tcW w:w="1425" w:type="dxa"/>
            <w:vAlign w:val="center"/>
          </w:tcPr>
          <w:p w14:paraId="1E93C497" w14:textId="77777777" w:rsidR="00E8617E" w:rsidRPr="00AE71CA" w:rsidRDefault="00E8617E" w:rsidP="00046AF8">
            <w:pPr>
              <w:jc w:val="center"/>
              <w:rPr>
                <w:rFonts w:ascii="Arial" w:hAnsi="Arial" w:cs="Arial"/>
                <w:sz w:val="18"/>
                <w:szCs w:val="18"/>
              </w:rPr>
            </w:pPr>
            <w:r w:rsidRPr="00AE71CA">
              <w:rPr>
                <w:rFonts w:ascii="Arial" w:hAnsi="Arial" w:cs="Arial"/>
                <w:sz w:val="18"/>
                <w:szCs w:val="18"/>
              </w:rPr>
              <w:t>брой</w:t>
            </w:r>
          </w:p>
        </w:tc>
        <w:tc>
          <w:tcPr>
            <w:tcW w:w="1730" w:type="dxa"/>
            <w:vAlign w:val="center"/>
          </w:tcPr>
          <w:p w14:paraId="25E993DF" w14:textId="77777777" w:rsidR="00E8617E" w:rsidRPr="00AE71CA" w:rsidRDefault="00E8617E" w:rsidP="00046AF8">
            <w:pPr>
              <w:keepNext/>
              <w:spacing w:before="40" w:after="40"/>
              <w:jc w:val="center"/>
              <w:rPr>
                <w:rFonts w:ascii="Arial" w:hAnsi="Arial" w:cs="Arial"/>
                <w:sz w:val="18"/>
                <w:szCs w:val="18"/>
              </w:rPr>
            </w:pPr>
            <w:r w:rsidRPr="00AE71CA">
              <w:rPr>
                <w:rFonts w:ascii="Arial" w:hAnsi="Arial" w:cs="Arial"/>
                <w:sz w:val="18"/>
                <w:szCs w:val="18"/>
              </w:rPr>
              <w:t>1 790</w:t>
            </w:r>
          </w:p>
        </w:tc>
        <w:tc>
          <w:tcPr>
            <w:tcW w:w="1275" w:type="dxa"/>
            <w:vAlign w:val="center"/>
          </w:tcPr>
          <w:p w14:paraId="0CDAA2A3" w14:textId="77777777" w:rsidR="00E8617E" w:rsidRPr="00AE71CA" w:rsidRDefault="00E8617E" w:rsidP="00046AF8">
            <w:pPr>
              <w:pStyle w:val="DefaultText"/>
              <w:jc w:val="center"/>
              <w:rPr>
                <w:rFonts w:cs="Arial"/>
                <w:szCs w:val="18"/>
                <w:lang w:val="bg-BG"/>
              </w:rPr>
            </w:pPr>
            <w:r w:rsidRPr="00AE71CA">
              <w:rPr>
                <w:rFonts w:cs="Arial"/>
                <w:szCs w:val="18"/>
                <w:lang w:val="bg-BG"/>
              </w:rPr>
              <w:t>998</w:t>
            </w:r>
          </w:p>
        </w:tc>
        <w:tc>
          <w:tcPr>
            <w:tcW w:w="1560" w:type="dxa"/>
            <w:vAlign w:val="center"/>
          </w:tcPr>
          <w:p w14:paraId="3A9E0BC6" w14:textId="77777777" w:rsidR="00E8617E" w:rsidRPr="00AE71CA" w:rsidRDefault="00E8617E" w:rsidP="00046AF8">
            <w:pPr>
              <w:pStyle w:val="DefaultText"/>
              <w:jc w:val="center"/>
              <w:rPr>
                <w:rFonts w:cs="Arial"/>
                <w:szCs w:val="18"/>
                <w:lang w:val="bg-BG"/>
              </w:rPr>
            </w:pPr>
            <w:r w:rsidRPr="00AE71CA">
              <w:rPr>
                <w:rFonts w:cs="Arial"/>
                <w:szCs w:val="18"/>
                <w:lang w:val="bg-BG"/>
              </w:rPr>
              <w:t>56%</w:t>
            </w:r>
          </w:p>
        </w:tc>
      </w:tr>
      <w:tr w:rsidR="00E8617E" w:rsidRPr="00AE71CA" w14:paraId="2B7E5B63" w14:textId="77777777" w:rsidTr="00046AF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7"/>
        </w:trPr>
        <w:tc>
          <w:tcPr>
            <w:tcW w:w="415" w:type="dxa"/>
            <w:vMerge/>
          </w:tcPr>
          <w:p w14:paraId="33B85DEB" w14:textId="77777777" w:rsidR="00E8617E" w:rsidRPr="00AE71CA" w:rsidRDefault="00E8617E" w:rsidP="00922731">
            <w:pPr>
              <w:pStyle w:val="DefaultText"/>
              <w:rPr>
                <w:rFonts w:cs="Arial"/>
                <w:szCs w:val="18"/>
                <w:lang w:val="bg-BG"/>
              </w:rPr>
            </w:pPr>
          </w:p>
        </w:tc>
        <w:tc>
          <w:tcPr>
            <w:tcW w:w="1565" w:type="dxa"/>
            <w:vMerge/>
          </w:tcPr>
          <w:p w14:paraId="42F7D74A" w14:textId="77777777" w:rsidR="00E8617E" w:rsidRPr="00AE71CA" w:rsidRDefault="00E8617E" w:rsidP="00922731">
            <w:pPr>
              <w:spacing w:after="120" w:line="280" w:lineRule="atLeast"/>
              <w:jc w:val="center"/>
              <w:rPr>
                <w:rFonts w:ascii="Arial" w:hAnsi="Arial" w:cs="Arial"/>
                <w:sz w:val="18"/>
                <w:szCs w:val="18"/>
                <w:lang w:eastAsia="de-DE"/>
              </w:rPr>
            </w:pPr>
          </w:p>
        </w:tc>
        <w:tc>
          <w:tcPr>
            <w:tcW w:w="1523" w:type="dxa"/>
          </w:tcPr>
          <w:p w14:paraId="390B0055" w14:textId="77777777" w:rsidR="00E8617E" w:rsidRPr="00AE71CA" w:rsidRDefault="00E8617E" w:rsidP="00922731">
            <w:pPr>
              <w:spacing w:after="120" w:line="280" w:lineRule="atLeast"/>
              <w:rPr>
                <w:rFonts w:ascii="Arial" w:hAnsi="Arial" w:cs="Arial"/>
                <w:sz w:val="18"/>
                <w:szCs w:val="18"/>
                <w:lang w:eastAsia="de-DE"/>
              </w:rPr>
            </w:pPr>
            <w:r w:rsidRPr="00AE71CA">
              <w:rPr>
                <w:rFonts w:ascii="Arial" w:hAnsi="Arial" w:cs="Arial"/>
                <w:sz w:val="18"/>
                <w:szCs w:val="18"/>
                <w:lang w:eastAsia="de-DE"/>
              </w:rPr>
              <w:t>В горския сектор</w:t>
            </w:r>
          </w:p>
        </w:tc>
        <w:tc>
          <w:tcPr>
            <w:tcW w:w="1425" w:type="dxa"/>
            <w:vAlign w:val="center"/>
          </w:tcPr>
          <w:p w14:paraId="76189D89" w14:textId="77777777" w:rsidR="00E8617E" w:rsidRPr="00AE71CA" w:rsidRDefault="00E8617E" w:rsidP="00046AF8">
            <w:pPr>
              <w:jc w:val="center"/>
              <w:rPr>
                <w:rFonts w:ascii="Arial" w:hAnsi="Arial" w:cs="Arial"/>
                <w:sz w:val="18"/>
                <w:szCs w:val="18"/>
              </w:rPr>
            </w:pPr>
            <w:r w:rsidRPr="00AE71CA">
              <w:rPr>
                <w:rFonts w:ascii="Arial" w:hAnsi="Arial" w:cs="Arial"/>
                <w:sz w:val="18"/>
                <w:szCs w:val="18"/>
              </w:rPr>
              <w:t>брой</w:t>
            </w:r>
          </w:p>
        </w:tc>
        <w:tc>
          <w:tcPr>
            <w:tcW w:w="1730" w:type="dxa"/>
            <w:vAlign w:val="center"/>
          </w:tcPr>
          <w:p w14:paraId="296076C0" w14:textId="77777777" w:rsidR="00E8617E" w:rsidRPr="00AE71CA" w:rsidRDefault="00E8617E" w:rsidP="00046AF8">
            <w:pPr>
              <w:keepNext/>
              <w:spacing w:before="40" w:after="40"/>
              <w:jc w:val="center"/>
              <w:rPr>
                <w:rFonts w:ascii="Arial" w:hAnsi="Arial" w:cs="Arial"/>
                <w:sz w:val="18"/>
                <w:szCs w:val="18"/>
              </w:rPr>
            </w:pPr>
            <w:r w:rsidRPr="00AE71CA">
              <w:rPr>
                <w:rFonts w:ascii="Arial" w:hAnsi="Arial" w:cs="Arial"/>
                <w:sz w:val="18"/>
                <w:szCs w:val="18"/>
              </w:rPr>
              <w:t>300</w:t>
            </w:r>
          </w:p>
        </w:tc>
        <w:tc>
          <w:tcPr>
            <w:tcW w:w="1275" w:type="dxa"/>
            <w:vAlign w:val="center"/>
          </w:tcPr>
          <w:p w14:paraId="74B85F77" w14:textId="77777777" w:rsidR="00E8617E" w:rsidRPr="00AE71CA" w:rsidRDefault="00E8617E" w:rsidP="00046AF8">
            <w:pPr>
              <w:pStyle w:val="DefaultText"/>
              <w:jc w:val="center"/>
              <w:rPr>
                <w:rFonts w:cs="Arial"/>
                <w:szCs w:val="18"/>
                <w:lang w:val="bg-BG"/>
              </w:rPr>
            </w:pPr>
            <w:r w:rsidRPr="00AE71CA">
              <w:rPr>
                <w:rFonts w:cs="Arial"/>
                <w:szCs w:val="18"/>
                <w:lang w:val="bg-BG"/>
              </w:rPr>
              <w:t>Няма данни</w:t>
            </w:r>
          </w:p>
        </w:tc>
        <w:tc>
          <w:tcPr>
            <w:tcW w:w="1560" w:type="dxa"/>
            <w:vAlign w:val="center"/>
          </w:tcPr>
          <w:p w14:paraId="60334F84" w14:textId="77777777" w:rsidR="00E8617E" w:rsidRPr="00AE71CA" w:rsidRDefault="00E8617E" w:rsidP="00046AF8">
            <w:pPr>
              <w:pStyle w:val="DefaultText"/>
              <w:jc w:val="center"/>
              <w:rPr>
                <w:rFonts w:cs="Arial"/>
                <w:b/>
                <w:szCs w:val="18"/>
                <w:lang w:val="bg-BG"/>
              </w:rPr>
            </w:pPr>
          </w:p>
        </w:tc>
      </w:tr>
      <w:tr w:rsidR="00E8617E" w:rsidRPr="00AE71CA" w14:paraId="52DD6E3F" w14:textId="77777777" w:rsidTr="00046AF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87"/>
        </w:trPr>
        <w:tc>
          <w:tcPr>
            <w:tcW w:w="415" w:type="dxa"/>
            <w:vMerge/>
          </w:tcPr>
          <w:p w14:paraId="2984B60A" w14:textId="77777777" w:rsidR="00E8617E" w:rsidRPr="00AE71CA" w:rsidRDefault="00E8617E" w:rsidP="00922731">
            <w:pPr>
              <w:pStyle w:val="DefaultText"/>
              <w:rPr>
                <w:rFonts w:cs="Arial"/>
                <w:szCs w:val="18"/>
                <w:lang w:val="bg-BG"/>
              </w:rPr>
            </w:pPr>
          </w:p>
        </w:tc>
        <w:tc>
          <w:tcPr>
            <w:tcW w:w="1565" w:type="dxa"/>
            <w:vMerge/>
          </w:tcPr>
          <w:p w14:paraId="634865A3" w14:textId="77777777" w:rsidR="00E8617E" w:rsidRPr="00AE71CA" w:rsidRDefault="00E8617E" w:rsidP="00922731">
            <w:pPr>
              <w:spacing w:after="120" w:line="280" w:lineRule="atLeast"/>
              <w:jc w:val="center"/>
              <w:rPr>
                <w:rFonts w:ascii="Arial" w:hAnsi="Arial" w:cs="Arial"/>
                <w:sz w:val="18"/>
                <w:szCs w:val="18"/>
                <w:lang w:eastAsia="de-DE"/>
              </w:rPr>
            </w:pPr>
          </w:p>
        </w:tc>
        <w:tc>
          <w:tcPr>
            <w:tcW w:w="1523" w:type="dxa"/>
          </w:tcPr>
          <w:p w14:paraId="6B700D68" w14:textId="77777777" w:rsidR="00E8617E" w:rsidRPr="00AE71CA" w:rsidRDefault="00E8617E" w:rsidP="00922731">
            <w:pPr>
              <w:spacing w:after="120" w:line="280" w:lineRule="atLeast"/>
              <w:rPr>
                <w:rFonts w:ascii="Arial" w:hAnsi="Arial" w:cs="Arial"/>
                <w:sz w:val="18"/>
                <w:szCs w:val="18"/>
                <w:lang w:eastAsia="de-DE"/>
              </w:rPr>
            </w:pPr>
            <w:r w:rsidRPr="00AE71CA">
              <w:rPr>
                <w:rFonts w:ascii="Arial" w:hAnsi="Arial" w:cs="Arial"/>
                <w:sz w:val="18"/>
                <w:szCs w:val="18"/>
                <w:lang w:eastAsia="de-DE"/>
              </w:rPr>
              <w:t>В непървичния сектор</w:t>
            </w:r>
          </w:p>
        </w:tc>
        <w:tc>
          <w:tcPr>
            <w:tcW w:w="1425" w:type="dxa"/>
            <w:vAlign w:val="center"/>
          </w:tcPr>
          <w:p w14:paraId="44BF3DE6" w14:textId="77777777" w:rsidR="00E8617E" w:rsidRPr="00AE71CA" w:rsidRDefault="00E8617E" w:rsidP="00046AF8">
            <w:pPr>
              <w:jc w:val="center"/>
              <w:rPr>
                <w:rFonts w:ascii="Arial" w:hAnsi="Arial" w:cs="Arial"/>
                <w:sz w:val="18"/>
                <w:szCs w:val="18"/>
              </w:rPr>
            </w:pPr>
            <w:r w:rsidRPr="00AE71CA">
              <w:rPr>
                <w:rFonts w:ascii="Arial" w:hAnsi="Arial" w:cs="Arial"/>
                <w:sz w:val="18"/>
                <w:szCs w:val="18"/>
              </w:rPr>
              <w:t>брой</w:t>
            </w:r>
          </w:p>
        </w:tc>
        <w:tc>
          <w:tcPr>
            <w:tcW w:w="1730" w:type="dxa"/>
            <w:vAlign w:val="center"/>
          </w:tcPr>
          <w:p w14:paraId="77B688C7" w14:textId="77777777" w:rsidR="00E8617E" w:rsidRPr="00AE71CA" w:rsidRDefault="00E8617E" w:rsidP="00046AF8">
            <w:pPr>
              <w:keepNext/>
              <w:spacing w:before="40" w:after="40"/>
              <w:jc w:val="center"/>
              <w:rPr>
                <w:rFonts w:ascii="Arial" w:hAnsi="Arial" w:cs="Arial"/>
                <w:sz w:val="18"/>
                <w:szCs w:val="18"/>
              </w:rPr>
            </w:pPr>
            <w:r w:rsidRPr="00AE71CA">
              <w:rPr>
                <w:rFonts w:ascii="Arial" w:hAnsi="Arial" w:cs="Arial"/>
                <w:sz w:val="18"/>
                <w:szCs w:val="18"/>
              </w:rPr>
              <w:t>14 910</w:t>
            </w:r>
          </w:p>
        </w:tc>
        <w:tc>
          <w:tcPr>
            <w:tcW w:w="1275" w:type="dxa"/>
            <w:vAlign w:val="center"/>
          </w:tcPr>
          <w:p w14:paraId="30AA2D89" w14:textId="77777777" w:rsidR="00E8617E" w:rsidRPr="00AE71CA" w:rsidRDefault="00E8617E" w:rsidP="00046AF8">
            <w:pPr>
              <w:pStyle w:val="DefaultText"/>
              <w:jc w:val="center"/>
              <w:rPr>
                <w:rFonts w:cs="Arial"/>
                <w:szCs w:val="18"/>
                <w:lang w:val="bg-BG"/>
              </w:rPr>
            </w:pPr>
            <w:r w:rsidRPr="00AE71CA">
              <w:rPr>
                <w:rFonts w:cs="Arial"/>
                <w:szCs w:val="18"/>
                <w:lang w:val="bg-BG"/>
              </w:rPr>
              <w:t>7139</w:t>
            </w:r>
          </w:p>
        </w:tc>
        <w:tc>
          <w:tcPr>
            <w:tcW w:w="1560" w:type="dxa"/>
            <w:vAlign w:val="center"/>
          </w:tcPr>
          <w:p w14:paraId="0BA1A256" w14:textId="77777777" w:rsidR="00E8617E" w:rsidRPr="00AE71CA" w:rsidRDefault="00E8617E" w:rsidP="00046AF8">
            <w:pPr>
              <w:pStyle w:val="DefaultText"/>
              <w:jc w:val="center"/>
              <w:rPr>
                <w:rFonts w:cs="Arial"/>
                <w:szCs w:val="18"/>
                <w:lang w:val="bg-BG"/>
              </w:rPr>
            </w:pPr>
            <w:r w:rsidRPr="00AE71CA">
              <w:rPr>
                <w:rFonts w:cs="Arial"/>
                <w:szCs w:val="18"/>
                <w:lang w:val="bg-BG"/>
              </w:rPr>
              <w:t>48%</w:t>
            </w:r>
          </w:p>
        </w:tc>
      </w:tr>
      <w:tr w:rsidR="00E8617E" w:rsidRPr="00AE71CA" w14:paraId="366848D1" w14:textId="77777777" w:rsidTr="00046AF8">
        <w:trPr>
          <w:trHeight w:val="89"/>
        </w:trPr>
        <w:tc>
          <w:tcPr>
            <w:tcW w:w="415" w:type="dxa"/>
            <w:vMerge w:val="restart"/>
          </w:tcPr>
          <w:p w14:paraId="13DB38C9" w14:textId="77777777" w:rsidR="00E8617E" w:rsidRPr="00AE71CA" w:rsidRDefault="00E8617E" w:rsidP="00922731">
            <w:pPr>
              <w:pStyle w:val="DefaultText"/>
              <w:rPr>
                <w:rFonts w:cs="Arial"/>
                <w:szCs w:val="18"/>
                <w:lang w:val="bg-BG"/>
              </w:rPr>
            </w:pPr>
            <w:r w:rsidRPr="00AE71CA">
              <w:rPr>
                <w:rFonts w:cs="Arial"/>
                <w:szCs w:val="18"/>
                <w:lang w:val="bg-BG"/>
              </w:rPr>
              <w:t>3</w:t>
            </w:r>
          </w:p>
        </w:tc>
        <w:tc>
          <w:tcPr>
            <w:tcW w:w="1565" w:type="dxa"/>
            <w:vMerge w:val="restart"/>
            <w:vAlign w:val="center"/>
          </w:tcPr>
          <w:p w14:paraId="5C1E3EF3" w14:textId="77777777" w:rsidR="00E8617E" w:rsidRPr="00AE71CA" w:rsidRDefault="00E8617E" w:rsidP="00922731">
            <w:pPr>
              <w:jc w:val="center"/>
              <w:rPr>
                <w:rFonts w:ascii="Arial" w:hAnsi="Arial" w:cs="Arial"/>
                <w:sz w:val="18"/>
                <w:szCs w:val="18"/>
                <w:lang w:eastAsia="de-DE"/>
              </w:rPr>
            </w:pPr>
            <w:r w:rsidRPr="00AE71CA">
              <w:rPr>
                <w:rFonts w:ascii="Arial" w:hAnsi="Arial" w:cs="Arial"/>
                <w:sz w:val="18"/>
                <w:szCs w:val="18"/>
                <w:lang w:eastAsia="de-DE"/>
              </w:rPr>
              <w:t>Производител</w:t>
            </w:r>
            <w:r w:rsidR="00BC7D66">
              <w:rPr>
                <w:rFonts w:ascii="Arial" w:hAnsi="Arial" w:cs="Arial"/>
                <w:sz w:val="18"/>
                <w:szCs w:val="18"/>
                <w:lang w:val="en-US" w:eastAsia="de-DE"/>
              </w:rPr>
              <w:t>-</w:t>
            </w:r>
            <w:r w:rsidRPr="00AE71CA">
              <w:rPr>
                <w:rFonts w:ascii="Arial" w:hAnsi="Arial" w:cs="Arial"/>
                <w:sz w:val="18"/>
                <w:szCs w:val="18"/>
                <w:lang w:eastAsia="de-DE"/>
              </w:rPr>
              <w:t>ност на труда</w:t>
            </w:r>
          </w:p>
        </w:tc>
        <w:tc>
          <w:tcPr>
            <w:tcW w:w="1523" w:type="dxa"/>
            <w:shd w:val="clear" w:color="auto" w:fill="DEEAF6" w:themeFill="accent1" w:themeFillTint="33"/>
            <w:vAlign w:val="center"/>
          </w:tcPr>
          <w:p w14:paraId="0F61D882" w14:textId="77777777" w:rsidR="00E8617E" w:rsidRPr="00AE71CA" w:rsidRDefault="00E8617E" w:rsidP="00922731">
            <w:pPr>
              <w:jc w:val="center"/>
              <w:rPr>
                <w:rFonts w:ascii="Arial" w:hAnsi="Arial" w:cs="Arial"/>
                <w:sz w:val="18"/>
                <w:szCs w:val="18"/>
                <w:lang w:eastAsia="de-DE"/>
              </w:rPr>
            </w:pPr>
            <w:r w:rsidRPr="00AE71CA">
              <w:rPr>
                <w:rFonts w:ascii="Arial" w:hAnsi="Arial" w:cs="Arial"/>
                <w:sz w:val="18"/>
                <w:szCs w:val="18"/>
                <w:lang w:eastAsia="de-DE"/>
              </w:rPr>
              <w:t>Средно за оста</w:t>
            </w:r>
          </w:p>
        </w:tc>
        <w:tc>
          <w:tcPr>
            <w:tcW w:w="1425" w:type="dxa"/>
            <w:shd w:val="clear" w:color="auto" w:fill="DEEAF6" w:themeFill="accent1" w:themeFillTint="33"/>
            <w:vAlign w:val="center"/>
          </w:tcPr>
          <w:p w14:paraId="37BB99BE" w14:textId="77777777" w:rsidR="00E8617E" w:rsidRPr="00AE71CA" w:rsidRDefault="00E8617E" w:rsidP="00046AF8">
            <w:pPr>
              <w:pStyle w:val="DefaultText"/>
              <w:jc w:val="center"/>
              <w:rPr>
                <w:rFonts w:cs="Arial"/>
                <w:b/>
                <w:szCs w:val="18"/>
                <w:lang w:val="bg-BG"/>
              </w:rPr>
            </w:pPr>
            <w:r w:rsidRPr="00AE71CA">
              <w:rPr>
                <w:rFonts w:cs="Arial"/>
                <w:szCs w:val="18"/>
                <w:lang w:val="bg-BG"/>
              </w:rPr>
              <w:t>евро</w:t>
            </w:r>
          </w:p>
        </w:tc>
        <w:tc>
          <w:tcPr>
            <w:tcW w:w="1730" w:type="dxa"/>
            <w:shd w:val="clear" w:color="auto" w:fill="DEEAF6" w:themeFill="accent1" w:themeFillTint="33"/>
            <w:vAlign w:val="center"/>
          </w:tcPr>
          <w:p w14:paraId="3305CF70" w14:textId="77777777" w:rsidR="00E8617E" w:rsidRPr="00AE71CA" w:rsidRDefault="00E8617E" w:rsidP="00046AF8">
            <w:pPr>
              <w:keepNext/>
              <w:jc w:val="center"/>
              <w:rPr>
                <w:rFonts w:ascii="Arial" w:hAnsi="Arial" w:cs="Arial"/>
                <w:sz w:val="18"/>
                <w:szCs w:val="18"/>
              </w:rPr>
            </w:pPr>
            <w:r w:rsidRPr="00AE71CA">
              <w:rPr>
                <w:rFonts w:ascii="Arial" w:hAnsi="Arial" w:cs="Arial"/>
                <w:sz w:val="18"/>
                <w:szCs w:val="18"/>
              </w:rPr>
              <w:t>342</w:t>
            </w:r>
          </w:p>
        </w:tc>
        <w:tc>
          <w:tcPr>
            <w:tcW w:w="1275" w:type="dxa"/>
            <w:shd w:val="clear" w:color="auto" w:fill="DEEAF6" w:themeFill="accent1" w:themeFillTint="33"/>
            <w:vAlign w:val="center"/>
          </w:tcPr>
          <w:p w14:paraId="00F3C51F" w14:textId="77777777" w:rsidR="00E8617E" w:rsidRPr="00AE71CA" w:rsidRDefault="00E8617E" w:rsidP="00046AF8">
            <w:pPr>
              <w:pStyle w:val="DefaultText"/>
              <w:jc w:val="center"/>
              <w:rPr>
                <w:rFonts w:cs="Arial"/>
                <w:b/>
                <w:szCs w:val="18"/>
                <w:lang w:val="bg-BG"/>
              </w:rPr>
            </w:pPr>
            <w:r w:rsidRPr="00AE71CA">
              <w:rPr>
                <w:rFonts w:cs="Arial"/>
                <w:szCs w:val="18"/>
                <w:lang w:val="bg-BG"/>
              </w:rPr>
              <w:t>3 617</w:t>
            </w:r>
          </w:p>
        </w:tc>
        <w:tc>
          <w:tcPr>
            <w:tcW w:w="1560" w:type="dxa"/>
            <w:shd w:val="clear" w:color="auto" w:fill="DEEAF6" w:themeFill="accent1" w:themeFillTint="33"/>
            <w:vAlign w:val="center"/>
          </w:tcPr>
          <w:p w14:paraId="22DDEA0A" w14:textId="77777777" w:rsidR="00E8617E" w:rsidRPr="00AE71CA" w:rsidRDefault="00E8617E" w:rsidP="00046AF8">
            <w:pPr>
              <w:pStyle w:val="DefaultText"/>
              <w:jc w:val="center"/>
              <w:rPr>
                <w:rFonts w:cs="Arial"/>
                <w:b/>
                <w:szCs w:val="18"/>
                <w:lang w:val="bg-BG"/>
              </w:rPr>
            </w:pPr>
            <w:r w:rsidRPr="00AE71CA">
              <w:rPr>
                <w:rFonts w:cs="Arial"/>
                <w:szCs w:val="18"/>
                <w:lang w:val="bg-BG"/>
              </w:rPr>
              <w:t>1058%</w:t>
            </w:r>
          </w:p>
        </w:tc>
      </w:tr>
      <w:tr w:rsidR="00E8617E" w:rsidRPr="00AE71CA" w14:paraId="7AA14700" w14:textId="77777777" w:rsidTr="00046AF8">
        <w:trPr>
          <w:trHeight w:val="87"/>
        </w:trPr>
        <w:tc>
          <w:tcPr>
            <w:tcW w:w="415" w:type="dxa"/>
            <w:vMerge/>
          </w:tcPr>
          <w:p w14:paraId="59BE4E55" w14:textId="77777777" w:rsidR="00E8617E" w:rsidRPr="00AE71CA" w:rsidRDefault="00E8617E" w:rsidP="00922731">
            <w:pPr>
              <w:pStyle w:val="DefaultText"/>
              <w:rPr>
                <w:rFonts w:cs="Arial"/>
                <w:szCs w:val="18"/>
                <w:lang w:val="bg-BG"/>
              </w:rPr>
            </w:pPr>
          </w:p>
        </w:tc>
        <w:tc>
          <w:tcPr>
            <w:tcW w:w="1565" w:type="dxa"/>
            <w:vMerge/>
            <w:vAlign w:val="center"/>
          </w:tcPr>
          <w:p w14:paraId="74CFF149" w14:textId="77777777" w:rsidR="00E8617E" w:rsidRPr="00AE71CA" w:rsidRDefault="00E8617E" w:rsidP="00922731">
            <w:pPr>
              <w:jc w:val="center"/>
              <w:rPr>
                <w:rFonts w:ascii="Arial" w:hAnsi="Arial" w:cs="Arial"/>
                <w:sz w:val="18"/>
                <w:szCs w:val="18"/>
                <w:lang w:eastAsia="de-DE"/>
              </w:rPr>
            </w:pPr>
          </w:p>
        </w:tc>
        <w:tc>
          <w:tcPr>
            <w:tcW w:w="1523" w:type="dxa"/>
            <w:vAlign w:val="center"/>
          </w:tcPr>
          <w:p w14:paraId="686878A0" w14:textId="77777777" w:rsidR="00E8617E" w:rsidRPr="00AE71CA" w:rsidRDefault="00E8617E" w:rsidP="00922731">
            <w:pPr>
              <w:jc w:val="center"/>
              <w:rPr>
                <w:rFonts w:ascii="Arial" w:hAnsi="Arial" w:cs="Arial"/>
                <w:sz w:val="18"/>
                <w:szCs w:val="18"/>
                <w:lang w:eastAsia="de-DE"/>
              </w:rPr>
            </w:pPr>
            <w:r w:rsidRPr="00AE71CA">
              <w:rPr>
                <w:rFonts w:ascii="Arial" w:hAnsi="Arial" w:cs="Arial"/>
                <w:sz w:val="18"/>
                <w:szCs w:val="18"/>
                <w:lang w:eastAsia="de-DE"/>
              </w:rPr>
              <w:t>Средно за земеделието</w:t>
            </w:r>
          </w:p>
        </w:tc>
        <w:tc>
          <w:tcPr>
            <w:tcW w:w="1425" w:type="dxa"/>
            <w:vAlign w:val="center"/>
          </w:tcPr>
          <w:p w14:paraId="0AE87CC0" w14:textId="77777777" w:rsidR="00E8617E" w:rsidRPr="00AE71CA" w:rsidRDefault="00E8617E" w:rsidP="00046AF8">
            <w:pPr>
              <w:jc w:val="center"/>
              <w:rPr>
                <w:rFonts w:ascii="Arial" w:hAnsi="Arial" w:cs="Arial"/>
                <w:sz w:val="18"/>
                <w:szCs w:val="18"/>
              </w:rPr>
            </w:pPr>
            <w:r w:rsidRPr="00AE71CA">
              <w:rPr>
                <w:rFonts w:ascii="Arial" w:hAnsi="Arial" w:cs="Arial"/>
                <w:sz w:val="18"/>
                <w:szCs w:val="18"/>
              </w:rPr>
              <w:t>евро</w:t>
            </w:r>
          </w:p>
        </w:tc>
        <w:tc>
          <w:tcPr>
            <w:tcW w:w="1730" w:type="dxa"/>
            <w:vAlign w:val="center"/>
          </w:tcPr>
          <w:p w14:paraId="14069770" w14:textId="77777777" w:rsidR="00E8617E" w:rsidRPr="00AE71CA" w:rsidRDefault="00E8617E" w:rsidP="00046AF8">
            <w:pPr>
              <w:keepNext/>
              <w:jc w:val="center"/>
              <w:rPr>
                <w:rFonts w:ascii="Arial" w:hAnsi="Arial" w:cs="Arial"/>
                <w:sz w:val="18"/>
                <w:szCs w:val="18"/>
              </w:rPr>
            </w:pPr>
            <w:r w:rsidRPr="00AE71CA">
              <w:rPr>
                <w:rFonts w:ascii="Arial" w:hAnsi="Arial" w:cs="Arial"/>
                <w:sz w:val="18"/>
                <w:szCs w:val="18"/>
              </w:rPr>
              <w:t>500</w:t>
            </w:r>
          </w:p>
        </w:tc>
        <w:tc>
          <w:tcPr>
            <w:tcW w:w="1275" w:type="dxa"/>
            <w:vAlign w:val="center"/>
          </w:tcPr>
          <w:p w14:paraId="5BEC5451" w14:textId="77777777" w:rsidR="00E8617E" w:rsidRPr="00AE71CA" w:rsidRDefault="00E8617E" w:rsidP="00046AF8">
            <w:pPr>
              <w:pStyle w:val="DefaultText"/>
              <w:jc w:val="center"/>
              <w:rPr>
                <w:rFonts w:cs="Arial"/>
                <w:b/>
                <w:szCs w:val="18"/>
                <w:lang w:val="bg-BG"/>
              </w:rPr>
            </w:pPr>
            <w:r w:rsidRPr="00AE71CA">
              <w:rPr>
                <w:rFonts w:cs="Arial"/>
                <w:szCs w:val="18"/>
                <w:lang w:val="bg-BG"/>
              </w:rPr>
              <w:t>3 263</w:t>
            </w:r>
          </w:p>
        </w:tc>
        <w:tc>
          <w:tcPr>
            <w:tcW w:w="1560" w:type="dxa"/>
            <w:vAlign w:val="center"/>
          </w:tcPr>
          <w:p w14:paraId="146B7CD9" w14:textId="77777777" w:rsidR="00E8617E" w:rsidRPr="00AE71CA" w:rsidRDefault="00E8617E" w:rsidP="00046AF8">
            <w:pPr>
              <w:pStyle w:val="DefaultText"/>
              <w:jc w:val="center"/>
              <w:rPr>
                <w:rFonts w:cs="Arial"/>
                <w:b/>
                <w:szCs w:val="18"/>
                <w:lang w:val="bg-BG"/>
              </w:rPr>
            </w:pPr>
            <w:r w:rsidRPr="00AE71CA">
              <w:rPr>
                <w:rFonts w:cs="Arial"/>
                <w:szCs w:val="18"/>
                <w:lang w:val="bg-BG"/>
              </w:rPr>
              <w:t>653%</w:t>
            </w:r>
          </w:p>
        </w:tc>
      </w:tr>
      <w:tr w:rsidR="00E8617E" w:rsidRPr="00AE71CA" w14:paraId="52CA334A" w14:textId="77777777" w:rsidTr="00046AF8">
        <w:trPr>
          <w:trHeight w:val="87"/>
        </w:trPr>
        <w:tc>
          <w:tcPr>
            <w:tcW w:w="415" w:type="dxa"/>
            <w:vMerge/>
          </w:tcPr>
          <w:p w14:paraId="182DD7B8" w14:textId="77777777" w:rsidR="00E8617E" w:rsidRPr="00AE71CA" w:rsidRDefault="00E8617E" w:rsidP="00922731">
            <w:pPr>
              <w:pStyle w:val="DefaultText"/>
              <w:rPr>
                <w:rFonts w:cs="Arial"/>
                <w:szCs w:val="18"/>
                <w:lang w:val="bg-BG"/>
              </w:rPr>
            </w:pPr>
          </w:p>
        </w:tc>
        <w:tc>
          <w:tcPr>
            <w:tcW w:w="1565" w:type="dxa"/>
            <w:vMerge/>
            <w:vAlign w:val="center"/>
          </w:tcPr>
          <w:p w14:paraId="31B9661E" w14:textId="77777777" w:rsidR="00E8617E" w:rsidRPr="00AE71CA" w:rsidRDefault="00E8617E" w:rsidP="00922731">
            <w:pPr>
              <w:jc w:val="center"/>
              <w:rPr>
                <w:rFonts w:ascii="Arial" w:hAnsi="Arial" w:cs="Arial"/>
                <w:sz w:val="18"/>
                <w:szCs w:val="18"/>
                <w:lang w:eastAsia="de-DE"/>
              </w:rPr>
            </w:pPr>
          </w:p>
        </w:tc>
        <w:tc>
          <w:tcPr>
            <w:tcW w:w="1523" w:type="dxa"/>
            <w:vAlign w:val="center"/>
          </w:tcPr>
          <w:p w14:paraId="308F502F" w14:textId="77777777" w:rsidR="00E8617E" w:rsidRPr="00AE71CA" w:rsidRDefault="00E8617E" w:rsidP="00922731">
            <w:pPr>
              <w:jc w:val="center"/>
              <w:rPr>
                <w:rFonts w:ascii="Arial" w:hAnsi="Arial" w:cs="Arial"/>
                <w:sz w:val="18"/>
                <w:szCs w:val="18"/>
                <w:lang w:eastAsia="de-DE"/>
              </w:rPr>
            </w:pPr>
            <w:r w:rsidRPr="00AE71CA">
              <w:rPr>
                <w:rFonts w:ascii="Arial" w:hAnsi="Arial" w:cs="Arial"/>
                <w:sz w:val="18"/>
                <w:szCs w:val="18"/>
                <w:lang w:eastAsia="de-DE"/>
              </w:rPr>
              <w:t>Средно за горския сектор</w:t>
            </w:r>
          </w:p>
        </w:tc>
        <w:tc>
          <w:tcPr>
            <w:tcW w:w="1425" w:type="dxa"/>
            <w:vAlign w:val="center"/>
          </w:tcPr>
          <w:p w14:paraId="0503F943" w14:textId="77777777" w:rsidR="00E8617E" w:rsidRPr="00AE71CA" w:rsidRDefault="00E8617E" w:rsidP="00046AF8">
            <w:pPr>
              <w:jc w:val="center"/>
              <w:rPr>
                <w:rFonts w:ascii="Arial" w:hAnsi="Arial" w:cs="Arial"/>
                <w:sz w:val="18"/>
                <w:szCs w:val="18"/>
              </w:rPr>
            </w:pPr>
            <w:r w:rsidRPr="00AE71CA">
              <w:rPr>
                <w:rFonts w:ascii="Arial" w:hAnsi="Arial" w:cs="Arial"/>
                <w:sz w:val="18"/>
                <w:szCs w:val="18"/>
              </w:rPr>
              <w:t>евро</w:t>
            </w:r>
          </w:p>
        </w:tc>
        <w:tc>
          <w:tcPr>
            <w:tcW w:w="1730" w:type="dxa"/>
            <w:vAlign w:val="center"/>
          </w:tcPr>
          <w:p w14:paraId="047E3F2F" w14:textId="77777777" w:rsidR="00E8617E" w:rsidRPr="00AE71CA" w:rsidRDefault="00E8617E" w:rsidP="00046AF8">
            <w:pPr>
              <w:keepNext/>
              <w:jc w:val="center"/>
              <w:rPr>
                <w:rFonts w:ascii="Arial" w:hAnsi="Arial" w:cs="Arial"/>
                <w:sz w:val="18"/>
                <w:szCs w:val="18"/>
              </w:rPr>
            </w:pPr>
            <w:r w:rsidRPr="00AE71CA">
              <w:rPr>
                <w:rFonts w:ascii="Arial" w:hAnsi="Arial" w:cs="Arial"/>
                <w:sz w:val="18"/>
                <w:szCs w:val="18"/>
              </w:rPr>
              <w:t>113.3</w:t>
            </w:r>
          </w:p>
        </w:tc>
        <w:tc>
          <w:tcPr>
            <w:tcW w:w="1275" w:type="dxa"/>
            <w:vAlign w:val="center"/>
          </w:tcPr>
          <w:p w14:paraId="7A4A9841" w14:textId="77777777" w:rsidR="00E8617E" w:rsidRPr="00AE71CA" w:rsidRDefault="00E8617E" w:rsidP="00046AF8">
            <w:pPr>
              <w:pStyle w:val="DefaultText"/>
              <w:jc w:val="center"/>
              <w:rPr>
                <w:rFonts w:cs="Arial"/>
                <w:b/>
                <w:szCs w:val="18"/>
                <w:lang w:val="bg-BG"/>
              </w:rPr>
            </w:pPr>
            <w:r w:rsidRPr="00AE71CA">
              <w:rPr>
                <w:rFonts w:cs="Arial"/>
                <w:szCs w:val="18"/>
                <w:lang w:val="bg-BG"/>
              </w:rPr>
              <w:t>Няма данни</w:t>
            </w:r>
          </w:p>
        </w:tc>
        <w:tc>
          <w:tcPr>
            <w:tcW w:w="1560" w:type="dxa"/>
            <w:vAlign w:val="center"/>
          </w:tcPr>
          <w:p w14:paraId="1ABFFFEF" w14:textId="77777777" w:rsidR="00E8617E" w:rsidRPr="00AE71CA" w:rsidRDefault="00E8617E" w:rsidP="00046AF8">
            <w:pPr>
              <w:pStyle w:val="DefaultText"/>
              <w:jc w:val="center"/>
              <w:rPr>
                <w:rFonts w:cs="Arial"/>
                <w:b/>
                <w:szCs w:val="18"/>
                <w:lang w:val="bg-BG"/>
              </w:rPr>
            </w:pPr>
          </w:p>
        </w:tc>
      </w:tr>
      <w:tr w:rsidR="00E8617E" w:rsidRPr="00AE71CA" w14:paraId="38C0AD78" w14:textId="77777777" w:rsidTr="00046AF8">
        <w:trPr>
          <w:trHeight w:val="87"/>
        </w:trPr>
        <w:tc>
          <w:tcPr>
            <w:tcW w:w="415" w:type="dxa"/>
            <w:vMerge/>
          </w:tcPr>
          <w:p w14:paraId="321E71F4" w14:textId="77777777" w:rsidR="00E8617E" w:rsidRPr="00AE71CA" w:rsidRDefault="00E8617E" w:rsidP="00922731">
            <w:pPr>
              <w:pStyle w:val="DefaultText"/>
              <w:rPr>
                <w:rFonts w:cs="Arial"/>
                <w:szCs w:val="18"/>
                <w:lang w:val="bg-BG"/>
              </w:rPr>
            </w:pPr>
          </w:p>
        </w:tc>
        <w:tc>
          <w:tcPr>
            <w:tcW w:w="1565" w:type="dxa"/>
            <w:vMerge/>
            <w:vAlign w:val="center"/>
          </w:tcPr>
          <w:p w14:paraId="55066FD6" w14:textId="77777777" w:rsidR="00E8617E" w:rsidRPr="00AE71CA" w:rsidRDefault="00E8617E" w:rsidP="00922731">
            <w:pPr>
              <w:jc w:val="center"/>
              <w:rPr>
                <w:rFonts w:ascii="Arial" w:hAnsi="Arial" w:cs="Arial"/>
                <w:sz w:val="18"/>
                <w:szCs w:val="18"/>
                <w:lang w:eastAsia="de-DE"/>
              </w:rPr>
            </w:pPr>
          </w:p>
        </w:tc>
        <w:tc>
          <w:tcPr>
            <w:tcW w:w="1523" w:type="dxa"/>
            <w:vAlign w:val="center"/>
          </w:tcPr>
          <w:p w14:paraId="72FD488B" w14:textId="77777777" w:rsidR="00E8617E" w:rsidRPr="00AE71CA" w:rsidRDefault="00E8617E" w:rsidP="00922731">
            <w:pPr>
              <w:jc w:val="center"/>
              <w:rPr>
                <w:rFonts w:ascii="Arial" w:hAnsi="Arial" w:cs="Arial"/>
                <w:sz w:val="18"/>
                <w:szCs w:val="18"/>
                <w:lang w:eastAsia="de-DE"/>
              </w:rPr>
            </w:pPr>
            <w:r w:rsidRPr="00AE71CA">
              <w:rPr>
                <w:rFonts w:ascii="Arial" w:hAnsi="Arial" w:cs="Arial"/>
                <w:sz w:val="18"/>
                <w:szCs w:val="18"/>
                <w:lang w:eastAsia="de-DE"/>
              </w:rPr>
              <w:t>Средно за непървичния сектор</w:t>
            </w:r>
          </w:p>
        </w:tc>
        <w:tc>
          <w:tcPr>
            <w:tcW w:w="1425" w:type="dxa"/>
            <w:vAlign w:val="center"/>
          </w:tcPr>
          <w:p w14:paraId="79D4FA99" w14:textId="77777777" w:rsidR="00E8617E" w:rsidRPr="00AE71CA" w:rsidRDefault="00E8617E" w:rsidP="00046AF8">
            <w:pPr>
              <w:jc w:val="center"/>
              <w:rPr>
                <w:rFonts w:ascii="Arial" w:hAnsi="Arial" w:cs="Arial"/>
                <w:sz w:val="18"/>
                <w:szCs w:val="18"/>
              </w:rPr>
            </w:pPr>
            <w:r w:rsidRPr="00AE71CA">
              <w:rPr>
                <w:rFonts w:ascii="Arial" w:hAnsi="Arial" w:cs="Arial"/>
                <w:sz w:val="18"/>
                <w:szCs w:val="18"/>
              </w:rPr>
              <w:t>евро</w:t>
            </w:r>
          </w:p>
        </w:tc>
        <w:tc>
          <w:tcPr>
            <w:tcW w:w="1730" w:type="dxa"/>
            <w:vAlign w:val="center"/>
          </w:tcPr>
          <w:p w14:paraId="7A9EB464" w14:textId="77777777" w:rsidR="00E8617E" w:rsidRPr="00AE71CA" w:rsidRDefault="00E8617E" w:rsidP="00046AF8">
            <w:pPr>
              <w:keepNext/>
              <w:jc w:val="center"/>
              <w:rPr>
                <w:rFonts w:ascii="Arial" w:hAnsi="Arial" w:cs="Arial"/>
                <w:sz w:val="18"/>
                <w:szCs w:val="18"/>
              </w:rPr>
            </w:pPr>
            <w:r w:rsidRPr="00AE71CA">
              <w:rPr>
                <w:rFonts w:ascii="Arial" w:hAnsi="Arial" w:cs="Arial"/>
                <w:sz w:val="18"/>
                <w:szCs w:val="18"/>
              </w:rPr>
              <w:t>360</w:t>
            </w:r>
          </w:p>
        </w:tc>
        <w:tc>
          <w:tcPr>
            <w:tcW w:w="1275" w:type="dxa"/>
            <w:vAlign w:val="center"/>
          </w:tcPr>
          <w:p w14:paraId="357B676D" w14:textId="77777777" w:rsidR="00E8617E" w:rsidRPr="00AE71CA" w:rsidRDefault="00E8617E" w:rsidP="00046AF8">
            <w:pPr>
              <w:pStyle w:val="DefaultText"/>
              <w:jc w:val="center"/>
              <w:rPr>
                <w:rFonts w:cs="Arial"/>
                <w:b/>
                <w:szCs w:val="18"/>
                <w:lang w:val="bg-BG"/>
              </w:rPr>
            </w:pPr>
            <w:r w:rsidRPr="00AE71CA">
              <w:rPr>
                <w:rFonts w:cs="Arial"/>
                <w:szCs w:val="18"/>
                <w:lang w:val="bg-BG"/>
              </w:rPr>
              <w:t>20 945</w:t>
            </w:r>
          </w:p>
        </w:tc>
        <w:tc>
          <w:tcPr>
            <w:tcW w:w="1560" w:type="dxa"/>
            <w:vAlign w:val="center"/>
          </w:tcPr>
          <w:p w14:paraId="5A3B8741" w14:textId="77777777" w:rsidR="00E8617E" w:rsidRPr="00AE71CA" w:rsidRDefault="00E8617E" w:rsidP="00046AF8">
            <w:pPr>
              <w:pStyle w:val="DefaultText"/>
              <w:jc w:val="center"/>
              <w:rPr>
                <w:rFonts w:cs="Arial"/>
                <w:b/>
                <w:szCs w:val="18"/>
                <w:lang w:val="bg-BG"/>
              </w:rPr>
            </w:pPr>
            <w:r w:rsidRPr="00AE71CA">
              <w:rPr>
                <w:rFonts w:cs="Arial"/>
                <w:szCs w:val="18"/>
                <w:lang w:val="bg-BG"/>
              </w:rPr>
              <w:t>5818%</w:t>
            </w:r>
          </w:p>
        </w:tc>
      </w:tr>
      <w:tr w:rsidR="00E8617E" w:rsidRPr="00AE71CA" w14:paraId="2BEEC3A9" w14:textId="77777777" w:rsidTr="00046AF8">
        <w:tc>
          <w:tcPr>
            <w:tcW w:w="415" w:type="dxa"/>
          </w:tcPr>
          <w:p w14:paraId="52CB9ACD" w14:textId="77777777" w:rsidR="00E8617E" w:rsidRPr="00AE71CA" w:rsidRDefault="00E8617E" w:rsidP="00922731">
            <w:pPr>
              <w:pStyle w:val="DefaultText"/>
              <w:rPr>
                <w:rFonts w:cs="Arial"/>
                <w:szCs w:val="18"/>
                <w:lang w:val="bg-BG"/>
              </w:rPr>
            </w:pPr>
            <w:r w:rsidRPr="00AE71CA">
              <w:rPr>
                <w:rFonts w:cs="Arial"/>
                <w:szCs w:val="18"/>
                <w:lang w:val="bg-BG"/>
              </w:rPr>
              <w:t>4</w:t>
            </w:r>
          </w:p>
        </w:tc>
        <w:tc>
          <w:tcPr>
            <w:tcW w:w="3088" w:type="dxa"/>
            <w:gridSpan w:val="2"/>
          </w:tcPr>
          <w:p w14:paraId="67FE8BE1" w14:textId="77777777" w:rsidR="00E8617E" w:rsidRPr="00AE71CA" w:rsidRDefault="00E8617E" w:rsidP="00922731">
            <w:pPr>
              <w:spacing w:after="120" w:line="280" w:lineRule="atLeast"/>
              <w:jc w:val="both"/>
              <w:rPr>
                <w:rFonts w:ascii="Arial" w:hAnsi="Arial" w:cs="Arial"/>
                <w:sz w:val="18"/>
                <w:szCs w:val="18"/>
                <w:lang w:eastAsia="de-DE"/>
              </w:rPr>
            </w:pPr>
            <w:r w:rsidRPr="00AE71CA">
              <w:rPr>
                <w:rFonts w:ascii="Arial" w:hAnsi="Arial" w:cs="Arial"/>
                <w:sz w:val="18"/>
                <w:szCs w:val="18"/>
                <w:lang w:eastAsia="de-DE"/>
              </w:rPr>
              <w:t>Промяна в намаляването на биоразнообразието</w:t>
            </w:r>
          </w:p>
        </w:tc>
        <w:tc>
          <w:tcPr>
            <w:tcW w:w="1425" w:type="dxa"/>
            <w:vAlign w:val="center"/>
          </w:tcPr>
          <w:p w14:paraId="2B4915AD" w14:textId="77777777" w:rsidR="00E8617E" w:rsidRPr="00AE71CA" w:rsidRDefault="00E8617E" w:rsidP="00046AF8">
            <w:pPr>
              <w:pStyle w:val="DefaultText"/>
              <w:jc w:val="center"/>
              <w:rPr>
                <w:rFonts w:cs="Arial"/>
                <w:szCs w:val="18"/>
                <w:lang w:val="bg-BG"/>
              </w:rPr>
            </w:pPr>
            <w:r w:rsidRPr="00AE71CA">
              <w:rPr>
                <w:rFonts w:cs="Arial"/>
                <w:szCs w:val="18"/>
                <w:lang w:val="bg-BG"/>
              </w:rPr>
              <w:t>Индекс за популацията на птици, обитаващи земеделски земи</w:t>
            </w:r>
          </w:p>
        </w:tc>
        <w:tc>
          <w:tcPr>
            <w:tcW w:w="1730" w:type="dxa"/>
            <w:vAlign w:val="center"/>
          </w:tcPr>
          <w:p w14:paraId="2DD146A5" w14:textId="1EFCAC09" w:rsidR="00E8617E" w:rsidRPr="00AE71CA" w:rsidRDefault="00E8617E" w:rsidP="00046AF8">
            <w:pPr>
              <w:pStyle w:val="DefaultText"/>
              <w:jc w:val="center"/>
              <w:rPr>
                <w:rFonts w:cs="Arial"/>
                <w:szCs w:val="18"/>
                <w:lang w:val="bg-BG"/>
              </w:rPr>
            </w:pPr>
            <w:r w:rsidRPr="00AE71CA">
              <w:rPr>
                <w:rFonts w:cs="Arial"/>
                <w:szCs w:val="18"/>
                <w:lang w:val="bg-BG"/>
              </w:rPr>
              <w:t>Съществуващото биоразнообразие ще бъде поддържано и подобрено – популацията на птици, обитаващи земеделски земи ще бъде поддържана.</w:t>
            </w:r>
          </w:p>
        </w:tc>
        <w:tc>
          <w:tcPr>
            <w:tcW w:w="1275" w:type="dxa"/>
            <w:vAlign w:val="center"/>
          </w:tcPr>
          <w:p w14:paraId="508FF5A4" w14:textId="77777777" w:rsidR="00E8617E" w:rsidRPr="00AE71CA" w:rsidRDefault="00AE71CA" w:rsidP="00046AF8">
            <w:pPr>
              <w:pStyle w:val="DefaultText"/>
              <w:jc w:val="center"/>
              <w:rPr>
                <w:rFonts w:cs="Arial"/>
                <w:szCs w:val="18"/>
                <w:lang w:val="bg-BG"/>
              </w:rPr>
            </w:pPr>
            <w:r>
              <w:rPr>
                <w:rFonts w:cs="Arial"/>
                <w:szCs w:val="18"/>
                <w:lang w:val="bg-BG"/>
              </w:rPr>
              <w:t>Не е наб</w:t>
            </w:r>
            <w:r w:rsidR="00BC7D66">
              <w:rPr>
                <w:rFonts w:cs="Arial"/>
                <w:szCs w:val="18"/>
                <w:lang w:val="bg-BG"/>
              </w:rPr>
              <w:t>л</w:t>
            </w:r>
            <w:r>
              <w:rPr>
                <w:rFonts w:cs="Arial"/>
                <w:szCs w:val="18"/>
                <w:lang w:val="bg-BG"/>
              </w:rPr>
              <w:t>юдаван</w:t>
            </w:r>
            <w:r w:rsidR="00E8617E" w:rsidRPr="00AE71CA">
              <w:rPr>
                <w:rFonts w:cs="Arial"/>
                <w:szCs w:val="18"/>
                <w:lang w:val="bg-BG"/>
              </w:rPr>
              <w:t xml:space="preserve"> на местата на прилагане на мерките.</w:t>
            </w:r>
          </w:p>
          <w:p w14:paraId="3DCF7C48" w14:textId="77777777" w:rsidR="00E8617E" w:rsidRPr="00AE71CA" w:rsidRDefault="00E8617E" w:rsidP="00046AF8">
            <w:pPr>
              <w:pStyle w:val="DefaultText"/>
              <w:jc w:val="center"/>
              <w:rPr>
                <w:rFonts w:cs="Arial"/>
                <w:szCs w:val="18"/>
                <w:lang w:val="bg-BG"/>
              </w:rPr>
            </w:pPr>
          </w:p>
        </w:tc>
        <w:tc>
          <w:tcPr>
            <w:tcW w:w="1560" w:type="dxa"/>
            <w:vAlign w:val="center"/>
          </w:tcPr>
          <w:p w14:paraId="5BDF989E" w14:textId="77777777" w:rsidR="00E8617E" w:rsidRPr="00AE71CA" w:rsidRDefault="00E8617E" w:rsidP="00046AF8">
            <w:pPr>
              <w:pStyle w:val="DefaultText"/>
              <w:jc w:val="center"/>
              <w:rPr>
                <w:rFonts w:cs="Arial"/>
                <w:szCs w:val="18"/>
                <w:lang w:val="bg-BG"/>
              </w:rPr>
            </w:pPr>
            <w:r w:rsidRPr="00AE71CA">
              <w:rPr>
                <w:rFonts w:cs="Arial"/>
                <w:szCs w:val="18"/>
                <w:lang w:val="bg-BG"/>
              </w:rPr>
              <w:t>Частичен принос</w:t>
            </w:r>
          </w:p>
        </w:tc>
      </w:tr>
      <w:tr w:rsidR="00E8617E" w:rsidRPr="00AE71CA" w14:paraId="34712304" w14:textId="77777777" w:rsidTr="00046AF8">
        <w:tc>
          <w:tcPr>
            <w:tcW w:w="415" w:type="dxa"/>
          </w:tcPr>
          <w:p w14:paraId="01D4F135" w14:textId="77777777" w:rsidR="00E8617E" w:rsidRPr="00AE71CA" w:rsidRDefault="00E8617E" w:rsidP="00922731">
            <w:pPr>
              <w:pStyle w:val="DefaultText"/>
              <w:rPr>
                <w:rFonts w:cs="Arial"/>
                <w:szCs w:val="18"/>
                <w:lang w:val="bg-BG"/>
              </w:rPr>
            </w:pPr>
            <w:r w:rsidRPr="00AE71CA">
              <w:rPr>
                <w:rFonts w:cs="Arial"/>
                <w:szCs w:val="18"/>
                <w:lang w:val="bg-BG"/>
              </w:rPr>
              <w:t>5</w:t>
            </w:r>
          </w:p>
        </w:tc>
        <w:tc>
          <w:tcPr>
            <w:tcW w:w="3088" w:type="dxa"/>
            <w:gridSpan w:val="2"/>
          </w:tcPr>
          <w:p w14:paraId="61362451" w14:textId="77777777" w:rsidR="00E8617E" w:rsidRPr="00AE71CA" w:rsidRDefault="00E8617E" w:rsidP="00922731">
            <w:pPr>
              <w:spacing w:after="120" w:line="280" w:lineRule="atLeast"/>
              <w:jc w:val="both"/>
              <w:rPr>
                <w:rFonts w:ascii="Arial" w:hAnsi="Arial" w:cs="Arial"/>
                <w:sz w:val="18"/>
                <w:szCs w:val="18"/>
                <w:lang w:eastAsia="de-DE"/>
              </w:rPr>
            </w:pPr>
            <w:r w:rsidRPr="00AE71CA">
              <w:rPr>
                <w:rFonts w:ascii="Arial" w:hAnsi="Arial" w:cs="Arial"/>
                <w:sz w:val="18"/>
                <w:szCs w:val="18"/>
                <w:lang w:eastAsia="de-DE"/>
              </w:rPr>
              <w:t>Поддръжка на ВПС на обработваемата земя и горското стопанство</w:t>
            </w:r>
          </w:p>
        </w:tc>
        <w:tc>
          <w:tcPr>
            <w:tcW w:w="1425" w:type="dxa"/>
            <w:vAlign w:val="center"/>
          </w:tcPr>
          <w:p w14:paraId="751C1BC1" w14:textId="77777777" w:rsidR="00E8617E" w:rsidRPr="00AE71CA" w:rsidRDefault="00E8617E" w:rsidP="00046AF8">
            <w:pPr>
              <w:pStyle w:val="DefaultText"/>
              <w:jc w:val="center"/>
              <w:rPr>
                <w:rFonts w:cs="Arial"/>
                <w:szCs w:val="18"/>
                <w:lang w:val="bg-BG"/>
              </w:rPr>
            </w:pPr>
            <w:r w:rsidRPr="00AE71CA">
              <w:rPr>
                <w:rFonts w:cs="Arial"/>
                <w:szCs w:val="18"/>
                <w:lang w:val="bg-BG"/>
              </w:rPr>
              <w:t>Промяна на земите със ВПС</w:t>
            </w:r>
          </w:p>
        </w:tc>
        <w:tc>
          <w:tcPr>
            <w:tcW w:w="1730" w:type="dxa"/>
            <w:shd w:val="clear" w:color="auto" w:fill="auto"/>
            <w:vAlign w:val="center"/>
          </w:tcPr>
          <w:p w14:paraId="5261B446" w14:textId="77777777" w:rsidR="00E8617E" w:rsidRPr="00AE71CA" w:rsidRDefault="00E8617E" w:rsidP="00046AF8">
            <w:pPr>
              <w:pStyle w:val="DefaultText"/>
              <w:jc w:val="center"/>
              <w:rPr>
                <w:rFonts w:cs="Arial"/>
                <w:szCs w:val="18"/>
                <w:lang w:val="bg-BG"/>
              </w:rPr>
            </w:pPr>
            <w:r w:rsidRPr="00AE71CA">
              <w:rPr>
                <w:rFonts w:cs="Arial"/>
                <w:szCs w:val="18"/>
                <w:lang w:val="bg-BG"/>
              </w:rPr>
              <w:t xml:space="preserve">Земите с висока природна стойност ще бъдат съхранени Индикативна площ на земеделските земи с висока </w:t>
            </w:r>
            <w:r w:rsidRPr="00AE71CA">
              <w:rPr>
                <w:rFonts w:cs="Arial"/>
                <w:szCs w:val="18"/>
                <w:lang w:val="bg-BG"/>
              </w:rPr>
              <w:lastRenderedPageBreak/>
              <w:t>природна стойност в България 560 000 ha</w:t>
            </w:r>
          </w:p>
        </w:tc>
        <w:tc>
          <w:tcPr>
            <w:tcW w:w="1275" w:type="dxa"/>
            <w:vAlign w:val="center"/>
          </w:tcPr>
          <w:p w14:paraId="094DB055" w14:textId="77777777" w:rsidR="00E8617E" w:rsidRPr="00AE71CA" w:rsidRDefault="00E8617E" w:rsidP="00046AF8">
            <w:pPr>
              <w:pStyle w:val="DefaultText"/>
              <w:jc w:val="center"/>
              <w:rPr>
                <w:rFonts w:cs="Arial"/>
                <w:szCs w:val="18"/>
                <w:lang w:val="bg-BG"/>
              </w:rPr>
            </w:pPr>
            <w:r w:rsidRPr="00AE71CA">
              <w:rPr>
                <w:rFonts w:cs="Arial"/>
                <w:szCs w:val="18"/>
                <w:lang w:val="bg-BG"/>
              </w:rPr>
              <w:lastRenderedPageBreak/>
              <w:t>Чрез прилагане на ДЗЕУ е съхранена и подобрена природната стойност на земеделски</w:t>
            </w:r>
            <w:r w:rsidRPr="00AE71CA">
              <w:rPr>
                <w:rFonts w:cs="Arial"/>
                <w:szCs w:val="18"/>
                <w:lang w:val="bg-BG"/>
              </w:rPr>
              <w:lastRenderedPageBreak/>
              <w:t>те земи на площ 984 796</w:t>
            </w:r>
          </w:p>
        </w:tc>
        <w:tc>
          <w:tcPr>
            <w:tcW w:w="1560" w:type="dxa"/>
            <w:vAlign w:val="center"/>
          </w:tcPr>
          <w:p w14:paraId="04726AA0" w14:textId="77777777" w:rsidR="00E8617E" w:rsidRPr="00AE71CA" w:rsidRDefault="00E8617E" w:rsidP="00046AF8">
            <w:pPr>
              <w:pStyle w:val="DefaultText"/>
              <w:jc w:val="center"/>
              <w:rPr>
                <w:rFonts w:cs="Arial"/>
                <w:szCs w:val="18"/>
                <w:lang w:val="bg-BG"/>
              </w:rPr>
            </w:pPr>
            <w:r w:rsidRPr="00AE71CA">
              <w:rPr>
                <w:rFonts w:cs="Arial"/>
                <w:szCs w:val="18"/>
                <w:lang w:val="bg-BG"/>
              </w:rPr>
              <w:lastRenderedPageBreak/>
              <w:t>100%</w:t>
            </w:r>
          </w:p>
        </w:tc>
      </w:tr>
      <w:tr w:rsidR="00E8617E" w:rsidRPr="00AE71CA" w14:paraId="5040F753" w14:textId="77777777" w:rsidTr="00046AF8">
        <w:tc>
          <w:tcPr>
            <w:tcW w:w="415" w:type="dxa"/>
          </w:tcPr>
          <w:p w14:paraId="73590E57" w14:textId="77777777" w:rsidR="00E8617E" w:rsidRPr="00AE71CA" w:rsidRDefault="00E8617E" w:rsidP="00922731">
            <w:pPr>
              <w:pStyle w:val="DefaultText"/>
              <w:rPr>
                <w:rFonts w:cs="Arial"/>
                <w:szCs w:val="18"/>
                <w:lang w:val="bg-BG"/>
              </w:rPr>
            </w:pPr>
            <w:r w:rsidRPr="00AE71CA">
              <w:rPr>
                <w:rFonts w:cs="Arial"/>
                <w:szCs w:val="18"/>
                <w:lang w:val="bg-BG"/>
              </w:rPr>
              <w:lastRenderedPageBreak/>
              <w:t>6</w:t>
            </w:r>
          </w:p>
        </w:tc>
        <w:tc>
          <w:tcPr>
            <w:tcW w:w="3088" w:type="dxa"/>
            <w:gridSpan w:val="2"/>
          </w:tcPr>
          <w:p w14:paraId="3A882128" w14:textId="77777777" w:rsidR="00E8617E" w:rsidRPr="00AE71CA" w:rsidRDefault="00E8617E" w:rsidP="00922731">
            <w:pPr>
              <w:spacing w:after="120" w:line="280" w:lineRule="atLeast"/>
              <w:jc w:val="both"/>
              <w:rPr>
                <w:rFonts w:ascii="Arial" w:hAnsi="Arial" w:cs="Arial"/>
                <w:sz w:val="18"/>
                <w:szCs w:val="18"/>
                <w:lang w:eastAsia="de-DE"/>
              </w:rPr>
            </w:pPr>
            <w:r w:rsidRPr="00AE71CA">
              <w:rPr>
                <w:rFonts w:ascii="Arial" w:hAnsi="Arial" w:cs="Arial"/>
                <w:sz w:val="18"/>
                <w:szCs w:val="18"/>
                <w:lang w:eastAsia="de-DE"/>
              </w:rPr>
              <w:t>Подобряване на качеството на водите</w:t>
            </w:r>
          </w:p>
        </w:tc>
        <w:tc>
          <w:tcPr>
            <w:tcW w:w="1425" w:type="dxa"/>
            <w:vAlign w:val="center"/>
          </w:tcPr>
          <w:p w14:paraId="136CD79F" w14:textId="77777777" w:rsidR="00E8617E" w:rsidRPr="00AE71CA" w:rsidRDefault="00E8617E" w:rsidP="00046AF8">
            <w:pPr>
              <w:pStyle w:val="DefaultText"/>
              <w:jc w:val="center"/>
              <w:rPr>
                <w:rFonts w:cs="Arial"/>
                <w:szCs w:val="18"/>
                <w:lang w:val="bg-BG"/>
              </w:rPr>
            </w:pPr>
            <w:r w:rsidRPr="00AE71CA">
              <w:rPr>
                <w:rFonts w:cs="Arial"/>
                <w:szCs w:val="18"/>
                <w:lang w:val="bg-BG"/>
              </w:rPr>
              <w:t>Промяна в баланса на хранителни вещества</w:t>
            </w:r>
          </w:p>
        </w:tc>
        <w:tc>
          <w:tcPr>
            <w:tcW w:w="1730" w:type="dxa"/>
            <w:vAlign w:val="center"/>
          </w:tcPr>
          <w:p w14:paraId="5198AB4E" w14:textId="77777777" w:rsidR="00E8617E" w:rsidRPr="00AE71CA" w:rsidRDefault="00E8617E" w:rsidP="00046AF8">
            <w:pPr>
              <w:pStyle w:val="DefaultText"/>
              <w:jc w:val="center"/>
              <w:rPr>
                <w:rFonts w:cs="Arial"/>
                <w:szCs w:val="18"/>
                <w:lang w:val="bg-BG"/>
              </w:rPr>
            </w:pPr>
            <w:r w:rsidRPr="00AE71CA">
              <w:rPr>
                <w:rFonts w:cs="Arial"/>
                <w:szCs w:val="18"/>
                <w:lang w:val="bg-BG"/>
              </w:rPr>
              <w:t>Общият баланс на химически вещества ще бъде подобрен благодарение на намалените емисии от земеделски дейности</w:t>
            </w:r>
          </w:p>
        </w:tc>
        <w:tc>
          <w:tcPr>
            <w:tcW w:w="1275" w:type="dxa"/>
            <w:shd w:val="clear" w:color="auto" w:fill="auto"/>
            <w:vAlign w:val="center"/>
          </w:tcPr>
          <w:p w14:paraId="68F0A02E" w14:textId="6D5EE549" w:rsidR="00E8617E" w:rsidRPr="00AE71CA" w:rsidRDefault="00E8617E" w:rsidP="00046AF8">
            <w:pPr>
              <w:pStyle w:val="DefaultText"/>
              <w:jc w:val="center"/>
              <w:rPr>
                <w:rFonts w:cs="Arial"/>
                <w:szCs w:val="18"/>
                <w:lang w:val="bg-BG"/>
              </w:rPr>
            </w:pPr>
            <w:r w:rsidRPr="00AE71CA">
              <w:rPr>
                <w:rFonts w:cs="Arial"/>
                <w:szCs w:val="18"/>
                <w:lang w:val="bg-BG"/>
              </w:rPr>
              <w:t xml:space="preserve">Не е </w:t>
            </w:r>
            <w:r w:rsidR="00AE71CA">
              <w:rPr>
                <w:rFonts w:cs="Arial"/>
                <w:szCs w:val="18"/>
                <w:lang w:val="bg-BG"/>
              </w:rPr>
              <w:t>наблюдаван</w:t>
            </w:r>
            <w:r w:rsidRPr="00AE71CA">
              <w:rPr>
                <w:rFonts w:cs="Arial"/>
                <w:szCs w:val="18"/>
                <w:lang w:val="bg-BG"/>
              </w:rPr>
              <w:t xml:space="preserve"> и няма данни.</w:t>
            </w:r>
          </w:p>
        </w:tc>
        <w:tc>
          <w:tcPr>
            <w:tcW w:w="1560" w:type="dxa"/>
            <w:shd w:val="clear" w:color="auto" w:fill="auto"/>
            <w:vAlign w:val="center"/>
          </w:tcPr>
          <w:p w14:paraId="723E0489" w14:textId="77777777" w:rsidR="00E8617E" w:rsidRPr="00AE71CA" w:rsidRDefault="00E8617E" w:rsidP="00046AF8">
            <w:pPr>
              <w:pStyle w:val="DefaultText"/>
              <w:jc w:val="center"/>
              <w:rPr>
                <w:rFonts w:cs="Arial"/>
                <w:szCs w:val="18"/>
                <w:lang w:val="bg-BG"/>
              </w:rPr>
            </w:pPr>
            <w:r w:rsidRPr="00AE71CA">
              <w:rPr>
                <w:rFonts w:cs="Arial"/>
                <w:szCs w:val="18"/>
                <w:lang w:val="bg-BG"/>
              </w:rPr>
              <w:t>Ограничен принос на ПРСР Въведени са ограничения върху приложението на пестициди и минерални торове в пасищата и ливадите на площ  92165 ha</w:t>
            </w:r>
          </w:p>
        </w:tc>
      </w:tr>
      <w:tr w:rsidR="00E8617E" w:rsidRPr="00AE71CA" w14:paraId="646FD87C" w14:textId="77777777" w:rsidTr="00046AF8">
        <w:tc>
          <w:tcPr>
            <w:tcW w:w="415" w:type="dxa"/>
          </w:tcPr>
          <w:p w14:paraId="675D1938" w14:textId="77777777" w:rsidR="00E8617E" w:rsidRPr="00AE71CA" w:rsidRDefault="00E8617E" w:rsidP="00922731">
            <w:pPr>
              <w:pStyle w:val="DefaultText"/>
              <w:rPr>
                <w:rFonts w:cs="Arial"/>
                <w:szCs w:val="18"/>
                <w:lang w:val="bg-BG"/>
              </w:rPr>
            </w:pPr>
            <w:r w:rsidRPr="00AE71CA">
              <w:rPr>
                <w:rFonts w:cs="Arial"/>
                <w:szCs w:val="18"/>
                <w:lang w:val="bg-BG"/>
              </w:rPr>
              <w:t>7</w:t>
            </w:r>
          </w:p>
        </w:tc>
        <w:tc>
          <w:tcPr>
            <w:tcW w:w="3088" w:type="dxa"/>
            <w:gridSpan w:val="2"/>
          </w:tcPr>
          <w:p w14:paraId="799D7306" w14:textId="77777777" w:rsidR="00E8617E" w:rsidRPr="00AE71CA" w:rsidRDefault="00E8617E" w:rsidP="00922731">
            <w:pPr>
              <w:spacing w:after="120" w:line="280" w:lineRule="atLeast"/>
              <w:jc w:val="both"/>
              <w:rPr>
                <w:rFonts w:ascii="Arial" w:hAnsi="Arial" w:cs="Arial"/>
                <w:sz w:val="18"/>
                <w:szCs w:val="18"/>
                <w:lang w:eastAsia="de-DE"/>
              </w:rPr>
            </w:pPr>
            <w:r w:rsidRPr="00AE71CA">
              <w:rPr>
                <w:rFonts w:ascii="Arial" w:hAnsi="Arial" w:cs="Arial"/>
                <w:sz w:val="18"/>
                <w:szCs w:val="18"/>
                <w:lang w:eastAsia="de-DE"/>
              </w:rPr>
              <w:t>Принос към борбата с изменението на климата</w:t>
            </w:r>
          </w:p>
        </w:tc>
        <w:tc>
          <w:tcPr>
            <w:tcW w:w="1425" w:type="dxa"/>
            <w:vAlign w:val="center"/>
          </w:tcPr>
          <w:p w14:paraId="2852ACC9" w14:textId="77777777" w:rsidR="00E8617E" w:rsidRPr="00AE71CA" w:rsidRDefault="00E8617E" w:rsidP="00046AF8">
            <w:pPr>
              <w:pStyle w:val="DefaultText"/>
              <w:jc w:val="center"/>
              <w:rPr>
                <w:rFonts w:cs="Arial"/>
                <w:szCs w:val="18"/>
                <w:lang w:val="bg-BG"/>
              </w:rPr>
            </w:pPr>
            <w:r w:rsidRPr="00AE71CA">
              <w:rPr>
                <w:rFonts w:cs="Arial"/>
                <w:szCs w:val="18"/>
                <w:lang w:val="bg-BG"/>
              </w:rPr>
              <w:t>ktons</w:t>
            </w:r>
          </w:p>
        </w:tc>
        <w:tc>
          <w:tcPr>
            <w:tcW w:w="1730" w:type="dxa"/>
            <w:vAlign w:val="center"/>
          </w:tcPr>
          <w:p w14:paraId="06BB5B63" w14:textId="77777777" w:rsidR="00E8617E" w:rsidRPr="00AE71CA" w:rsidRDefault="00E8617E" w:rsidP="00046AF8">
            <w:pPr>
              <w:pStyle w:val="DefaultText"/>
              <w:jc w:val="center"/>
              <w:rPr>
                <w:rFonts w:cs="Arial"/>
                <w:szCs w:val="18"/>
                <w:lang w:val="bg-BG"/>
              </w:rPr>
            </w:pPr>
            <w:r w:rsidRPr="00AE71CA">
              <w:rPr>
                <w:rFonts w:cs="Arial"/>
                <w:szCs w:val="18"/>
                <w:lang w:val="bg-BG"/>
              </w:rPr>
              <w:t>252</w:t>
            </w:r>
          </w:p>
        </w:tc>
        <w:tc>
          <w:tcPr>
            <w:tcW w:w="1275" w:type="dxa"/>
            <w:vAlign w:val="center"/>
          </w:tcPr>
          <w:p w14:paraId="5CAD9990" w14:textId="6C8F019D" w:rsidR="00E8617E" w:rsidRPr="00AE71CA" w:rsidRDefault="00E8617E" w:rsidP="00046AF8">
            <w:pPr>
              <w:pStyle w:val="DefaultText"/>
              <w:ind w:left="34"/>
              <w:jc w:val="center"/>
              <w:rPr>
                <w:rFonts w:cs="Arial"/>
                <w:szCs w:val="18"/>
                <w:lang w:val="bg-BG"/>
              </w:rPr>
            </w:pPr>
            <w:r w:rsidRPr="00AE71CA">
              <w:rPr>
                <w:rFonts w:cs="Arial"/>
                <w:szCs w:val="18"/>
                <w:lang w:val="bg-BG"/>
              </w:rPr>
              <w:t>30 ktoe</w:t>
            </w:r>
          </w:p>
          <w:p w14:paraId="0AE916C9" w14:textId="77777777" w:rsidR="00E8617E" w:rsidRPr="00AE71CA" w:rsidRDefault="00E8617E" w:rsidP="00046AF8">
            <w:pPr>
              <w:pStyle w:val="DefaultText"/>
              <w:ind w:left="34"/>
              <w:jc w:val="center"/>
              <w:rPr>
                <w:rFonts w:cs="Arial"/>
                <w:szCs w:val="18"/>
                <w:lang w:val="bg-BG"/>
              </w:rPr>
            </w:pPr>
          </w:p>
          <w:p w14:paraId="2B1BDEF5" w14:textId="77777777" w:rsidR="00E8617E" w:rsidRPr="00AE71CA" w:rsidRDefault="00E8617E" w:rsidP="00046AF8">
            <w:pPr>
              <w:pStyle w:val="DefaultText"/>
              <w:ind w:left="34"/>
              <w:jc w:val="center"/>
              <w:rPr>
                <w:rFonts w:cs="Arial"/>
                <w:szCs w:val="18"/>
                <w:lang w:val="bg-BG"/>
              </w:rPr>
            </w:pPr>
            <w:r w:rsidRPr="00AE71CA">
              <w:rPr>
                <w:rFonts w:cs="Arial"/>
                <w:szCs w:val="18"/>
                <w:lang w:val="bg-BG"/>
              </w:rPr>
              <w:t>6,8 ktons СО2</w:t>
            </w:r>
          </w:p>
        </w:tc>
        <w:tc>
          <w:tcPr>
            <w:tcW w:w="1560" w:type="dxa"/>
            <w:vAlign w:val="center"/>
          </w:tcPr>
          <w:p w14:paraId="674530D9" w14:textId="77777777" w:rsidR="00E8617E" w:rsidRPr="00AE71CA" w:rsidRDefault="00E8617E" w:rsidP="00046AF8">
            <w:pPr>
              <w:pStyle w:val="DefaultText"/>
              <w:jc w:val="center"/>
              <w:rPr>
                <w:rFonts w:cs="Arial"/>
                <w:szCs w:val="18"/>
                <w:lang w:val="bg-BG"/>
              </w:rPr>
            </w:pPr>
            <w:r w:rsidRPr="00AE71CA">
              <w:rPr>
                <w:rFonts w:cs="Arial"/>
                <w:szCs w:val="18"/>
                <w:lang w:val="bg-BG"/>
              </w:rPr>
              <w:t>2,7%</w:t>
            </w:r>
          </w:p>
        </w:tc>
      </w:tr>
    </w:tbl>
    <w:p w14:paraId="31D0FD37" w14:textId="77777777" w:rsidR="00E8617E" w:rsidRPr="00AE71CA" w:rsidRDefault="00E8617E" w:rsidP="00E8617E">
      <w:pPr>
        <w:pStyle w:val="DefaultText"/>
        <w:rPr>
          <w:szCs w:val="18"/>
          <w:lang w:val="bg-BG"/>
        </w:rPr>
      </w:pPr>
      <w:r w:rsidRPr="00AE71CA">
        <w:rPr>
          <w:szCs w:val="18"/>
          <w:lang w:val="bg-BG"/>
        </w:rPr>
        <w:t>Източник: ПРСР 2007-2013, ДФЗ, МЗХГ, собствени изчисления</w:t>
      </w:r>
    </w:p>
    <w:p w14:paraId="398EFD99" w14:textId="77777777" w:rsidR="00E8617E" w:rsidRPr="00BC513A" w:rsidRDefault="00E8617E" w:rsidP="00E8617E"/>
    <w:p w14:paraId="3DA3AF86" w14:textId="56C0C0C8"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Основното въздействие на мерките от ос 1 е </w:t>
      </w:r>
      <w:r w:rsidRPr="00BC513A">
        <w:rPr>
          <w:b/>
          <w:sz w:val="22"/>
          <w:szCs w:val="22"/>
          <w:lang w:val="bg-BG"/>
        </w:rPr>
        <w:t>придадена нетна добавена стойност</w:t>
      </w:r>
      <w:r w:rsidRPr="00BC513A">
        <w:rPr>
          <w:sz w:val="22"/>
          <w:szCs w:val="22"/>
          <w:lang w:val="bg-BG"/>
        </w:rPr>
        <w:t xml:space="preserve"> в подпомогнатите стопанства и създадена </w:t>
      </w:r>
      <w:r w:rsidRPr="00BC513A">
        <w:rPr>
          <w:b/>
          <w:sz w:val="22"/>
          <w:szCs w:val="22"/>
          <w:lang w:val="bg-BG"/>
        </w:rPr>
        <w:t xml:space="preserve">добавена стойност на </w:t>
      </w:r>
      <w:bookmarkStart w:id="86" w:name="_Hlk506672587"/>
      <w:r w:rsidR="00174633">
        <w:rPr>
          <w:b/>
          <w:sz w:val="22"/>
          <w:szCs w:val="22"/>
          <w:lang w:val="bg-BG"/>
        </w:rPr>
        <w:t>г</w:t>
      </w:r>
      <w:r w:rsidRPr="00BC513A">
        <w:rPr>
          <w:b/>
          <w:sz w:val="22"/>
          <w:szCs w:val="22"/>
          <w:lang w:val="bg-BG"/>
        </w:rPr>
        <w:t>одишна работна единица</w:t>
      </w:r>
      <w:r w:rsidRPr="00BC513A">
        <w:rPr>
          <w:sz w:val="22"/>
          <w:szCs w:val="22"/>
          <w:lang w:val="bg-BG"/>
        </w:rPr>
        <w:t xml:space="preserve"> (ГРЕ)</w:t>
      </w:r>
      <w:bookmarkEnd w:id="86"/>
      <w:r w:rsidRPr="00BC513A">
        <w:rPr>
          <w:sz w:val="22"/>
          <w:szCs w:val="22"/>
          <w:lang w:val="bg-BG"/>
        </w:rPr>
        <w:t>. По тези два показателя, по всички следени мерки, се отчита много високо изпълнение, което по някои от тях превишава заложените цели неколкократно. Една от причините за постигане на поставените цели е в спецификите и характеристиките на подпомогнатите бенефициенти. Това в болшинството случаи са, големи, със значителен размер на произвежданата брутна продукция, с голяма концентрация на ресурси стопанства и предприятия, които в следствие на подпомагането укрепват и разширяват допълнително своята конкурентоспособност и пазарен дял. По оценки в основни мерки, като например за подкрепа за модернизиране на земеделските стопанства</w:t>
      </w:r>
      <w:r w:rsidR="00287F57">
        <w:rPr>
          <w:sz w:val="22"/>
          <w:szCs w:val="22"/>
          <w:lang w:val="bg-BG"/>
        </w:rPr>
        <w:t>,</w:t>
      </w:r>
      <w:r w:rsidRPr="00BC513A">
        <w:rPr>
          <w:sz w:val="22"/>
          <w:szCs w:val="22"/>
          <w:lang w:val="bg-BG"/>
        </w:rPr>
        <w:t xml:space="preserve"> се наблюдава засилване на концентрацията на подпомогнатите стопанства в общия обем на създаваната брутна продукция от земеделие от 69% преди началото на програмния период до 82%, като техният брой през 2013 г. съставлява около 2% от всички стопанства в България.</w:t>
      </w:r>
    </w:p>
    <w:p w14:paraId="4B917275" w14:textId="59D11A40"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Друга причина е преструктурирането в българското земеделие, което води до осезаемо съкращаване в броя на стопанствата, най-вече сред дребните, полупазарни, фамилни стопанства и в увеличаване на средните размери и намаляване на заетите. Това рефлектира в чувствително увеличение на възвращаемостта на труда. </w:t>
      </w:r>
      <w:bookmarkStart w:id="87" w:name="_Hlk506672781"/>
      <w:r w:rsidRPr="00BC513A">
        <w:rPr>
          <w:sz w:val="22"/>
          <w:szCs w:val="22"/>
          <w:lang w:val="bg-BG"/>
        </w:rPr>
        <w:t xml:space="preserve">През целия програмен период са изчезнали около 240 хил. стопанства, докато съкращението на работната сила, изразена в ГРЕ е около 170 хил., което показва, че приблизително </w:t>
      </w:r>
      <w:r w:rsidR="00287F57">
        <w:rPr>
          <w:sz w:val="22"/>
          <w:szCs w:val="22"/>
          <w:lang w:val="bg-BG"/>
        </w:rPr>
        <w:t xml:space="preserve">                    </w:t>
      </w:r>
      <w:r w:rsidRPr="00BC513A">
        <w:rPr>
          <w:sz w:val="22"/>
          <w:szCs w:val="22"/>
          <w:lang w:val="bg-BG"/>
        </w:rPr>
        <w:t xml:space="preserve">90 хил. от затворените стопанства са преминали в заетост </w:t>
      </w:r>
      <w:r w:rsidRPr="00BC513A">
        <w:rPr>
          <w:sz w:val="22"/>
          <w:szCs w:val="22"/>
          <w:lang w:val="bg-BG"/>
        </w:rPr>
        <w:lastRenderedPageBreak/>
        <w:t xml:space="preserve">в други стопанства. </w:t>
      </w:r>
      <w:bookmarkEnd w:id="87"/>
      <w:r w:rsidRPr="00BC513A">
        <w:rPr>
          <w:sz w:val="22"/>
          <w:szCs w:val="22"/>
          <w:lang w:val="bg-BG"/>
        </w:rPr>
        <w:t>Увеличаване</w:t>
      </w:r>
      <w:r w:rsidR="007C3883">
        <w:rPr>
          <w:sz w:val="22"/>
          <w:szCs w:val="22"/>
          <w:lang w:val="bg-BG"/>
        </w:rPr>
        <w:t>то</w:t>
      </w:r>
      <w:r w:rsidRPr="00BC513A">
        <w:rPr>
          <w:sz w:val="22"/>
          <w:szCs w:val="22"/>
          <w:lang w:val="bg-BG"/>
        </w:rPr>
        <w:t xml:space="preserve"> </w:t>
      </w:r>
      <w:r w:rsidR="00287F57">
        <w:rPr>
          <w:sz w:val="22"/>
          <w:szCs w:val="22"/>
          <w:lang w:val="bg-BG"/>
        </w:rPr>
        <w:t xml:space="preserve">на </w:t>
      </w:r>
      <w:r w:rsidRPr="00BC513A">
        <w:rPr>
          <w:sz w:val="22"/>
          <w:szCs w:val="22"/>
          <w:lang w:val="bg-BG"/>
        </w:rPr>
        <w:t>производителността на труда и засиленото излизане на малки и фамилни стопанства води до засилване на социалните проблеми</w:t>
      </w:r>
      <w:r w:rsidR="00287F57">
        <w:rPr>
          <w:sz w:val="22"/>
          <w:szCs w:val="22"/>
          <w:lang w:val="bg-BG"/>
        </w:rPr>
        <w:t>,</w:t>
      </w:r>
      <w:r w:rsidRPr="00BC513A">
        <w:rPr>
          <w:sz w:val="22"/>
          <w:szCs w:val="22"/>
          <w:lang w:val="bg-BG"/>
        </w:rPr>
        <w:t xml:space="preserve"> свързани с безработицата в селските райони. Въпреки повишението на производителността на труда, земеделието изостава по този показател в сравнение с останалите икономически отрасли. През 2006 г. разликите в добавената стойност на ГРЕ между икономиката като цяло и селското стопанство е около 9,4 хил.лв</w:t>
      </w:r>
      <w:r w:rsidR="00F14A1C">
        <w:rPr>
          <w:sz w:val="22"/>
          <w:szCs w:val="22"/>
          <w:lang w:val="bg-BG"/>
        </w:rPr>
        <w:t>.</w:t>
      </w:r>
      <w:r w:rsidRPr="00BC513A">
        <w:rPr>
          <w:sz w:val="22"/>
          <w:szCs w:val="22"/>
          <w:lang w:val="bg-BG"/>
        </w:rPr>
        <w:t>, а през 2015 година тази дистанция е 9,8 хил.лв. Ако не започне сближаване във възвращаемостите на труда между селското стопанство и средните нива в икономиката, работещите в земеделието ще продължават да получават по-ниски възнаграждения, което ще продължи обострянето на проблема с намирането на работна сила, а оттам ще застраши секторите, които са по-трудоемки.</w:t>
      </w:r>
    </w:p>
    <w:p w14:paraId="25E0D6FC"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Като цяло подкрепените предприятия в хранителната индустрия успяват до голяма степен да се възползват от помощта, като добавената стойност в този отрасъл нараства забележимо, което свидетелства за повишаване конкурентоспособността. ХВП се развива по-бързо и изпреварва земеделието като ръст в добавената стойност през програмния период, което е добър атестат за отрасъла и за мярката за подкрепа на това производство. Това обаче създава рискове пред устойчивото развитие на хранителната индустрия защото липсата на местни суровини прави зависими предприятията от външни пазари, поставя ги в неизгодно ценово положение и застрашава тяхната обезпеченост със суровини. В този програмен период се наблюдава относително слаба синергия между първичното и вторично производство на хранителната верига, което е и основната причина за това земеделието да изпитва трудности в генерирането на траен и солиден икономически растеж.</w:t>
      </w:r>
    </w:p>
    <w:p w14:paraId="3DA44B47"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Относно </w:t>
      </w:r>
      <w:r w:rsidRPr="00BC513A">
        <w:rPr>
          <w:b/>
          <w:sz w:val="22"/>
          <w:szCs w:val="22"/>
          <w:lang w:val="bg-BG"/>
        </w:rPr>
        <w:t>създаване на</w:t>
      </w:r>
      <w:r w:rsidRPr="00BC513A">
        <w:rPr>
          <w:sz w:val="22"/>
          <w:szCs w:val="22"/>
          <w:lang w:val="bg-BG"/>
        </w:rPr>
        <w:t xml:space="preserve"> </w:t>
      </w:r>
      <w:r w:rsidRPr="00BC513A">
        <w:rPr>
          <w:b/>
          <w:sz w:val="22"/>
          <w:szCs w:val="22"/>
          <w:lang w:val="bg-BG"/>
        </w:rPr>
        <w:t>заетост</w:t>
      </w:r>
      <w:r w:rsidRPr="00BC513A">
        <w:rPr>
          <w:sz w:val="22"/>
          <w:szCs w:val="22"/>
          <w:lang w:val="bg-BG"/>
        </w:rPr>
        <w:t xml:space="preserve"> резултатите и изчисленията в таблицата са подценени, тъй като данни за създадената заетост са налични само от изпълнението на мерките по ос 3 и ос 4. В допълнение се предполага, че някои от мерките по ос 1 (112, 121, 122, 123, 141) също имат непряк принос към създаване на заетост, който не е отчетен в индикаторите. Също така създадената заетост по мерки 321 и 322 не е отчетена, поради липса на данни. Въпреки това е видно, че </w:t>
      </w:r>
      <w:r w:rsidR="000F57E9">
        <w:rPr>
          <w:sz w:val="22"/>
          <w:szCs w:val="22"/>
          <w:lang w:val="bg-BG"/>
        </w:rPr>
        <w:t>п</w:t>
      </w:r>
      <w:r w:rsidRPr="00BC513A">
        <w:rPr>
          <w:sz w:val="22"/>
          <w:szCs w:val="22"/>
          <w:lang w:val="bg-BG"/>
        </w:rPr>
        <w:t xml:space="preserve">рограмата постига приблизително половината от очакваното въздействие по отношение на създаване на заетост. Причина за това е, че голяма част от подкрепата – например ос 2, инфраструктурните мерки по ос 3, инвестициите във ВЕИ нямат реален принос към създаване на заетост, а мерките които имат пряк принос не са постигнали целите си в това отношение. </w:t>
      </w:r>
    </w:p>
    <w:p w14:paraId="62E8B271"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Ос 2 на ПРСР оказва положително въздействие върху четирите общи индикатора за въздействие на ЕС, свързани с </w:t>
      </w:r>
      <w:r w:rsidRPr="00BC513A">
        <w:rPr>
          <w:b/>
          <w:sz w:val="22"/>
          <w:szCs w:val="22"/>
          <w:lang w:val="bg-BG"/>
        </w:rPr>
        <w:t>околната среда</w:t>
      </w:r>
      <w:r w:rsidRPr="00BC513A">
        <w:rPr>
          <w:sz w:val="22"/>
          <w:szCs w:val="22"/>
          <w:lang w:val="bg-BG"/>
        </w:rPr>
        <w:t>, но е трудно да се посочат точни количествени индикатори за подобрението на "качеството на околната среда".</w:t>
      </w:r>
    </w:p>
    <w:p w14:paraId="1412761D" w14:textId="77777777" w:rsidR="00E8617E" w:rsidRPr="00BC513A" w:rsidRDefault="00E8617E" w:rsidP="00E8617E">
      <w:pPr>
        <w:pStyle w:val="DefaultText"/>
        <w:spacing w:after="120" w:line="300" w:lineRule="atLeast"/>
        <w:ind w:firstLine="709"/>
        <w:rPr>
          <w:b/>
          <w:sz w:val="22"/>
          <w:szCs w:val="22"/>
          <w:lang w:val="bg-BG"/>
        </w:rPr>
      </w:pPr>
      <w:r w:rsidRPr="00BC513A">
        <w:rPr>
          <w:b/>
          <w:sz w:val="22"/>
          <w:szCs w:val="22"/>
          <w:lang w:val="bg-BG"/>
        </w:rPr>
        <w:t xml:space="preserve">Промяна в намаляването на биоразнообразието: </w:t>
      </w:r>
    </w:p>
    <w:p w14:paraId="234A00F1"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Промяна в тенденцията за намаляване на биоразно</w:t>
      </w:r>
      <w:r w:rsidR="00287F57">
        <w:rPr>
          <w:sz w:val="22"/>
          <w:szCs w:val="22"/>
          <w:lang w:val="bg-BG"/>
        </w:rPr>
        <w:t>о</w:t>
      </w:r>
      <w:r w:rsidRPr="00BC513A">
        <w:rPr>
          <w:sz w:val="22"/>
          <w:szCs w:val="22"/>
          <w:lang w:val="bg-BG"/>
        </w:rPr>
        <w:t>бразието се измерва с индекс за популацията на птици, обитаващи земеделски земи.</w:t>
      </w:r>
    </w:p>
    <w:p w14:paraId="6912DF30" w14:textId="729D044A"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Съгласно индикаторите за въздействие четирите мерки по ос 2 за земеделските земи се очаква да  допринасят за </w:t>
      </w:r>
      <w:r w:rsidR="00287F57">
        <w:rPr>
          <w:sz w:val="22"/>
          <w:szCs w:val="22"/>
          <w:lang w:val="bg-BG"/>
        </w:rPr>
        <w:t>п</w:t>
      </w:r>
      <w:r w:rsidRPr="00BC513A">
        <w:rPr>
          <w:sz w:val="22"/>
          <w:szCs w:val="22"/>
          <w:lang w:val="bg-BG"/>
        </w:rPr>
        <w:t xml:space="preserve">ромяна в намаляването на биоразнообразието и опазването на местното богатство от животински и растителни видове </w:t>
      </w:r>
      <w:r w:rsidR="00287F57">
        <w:rPr>
          <w:sz w:val="22"/>
          <w:szCs w:val="22"/>
          <w:lang w:val="bg-BG"/>
        </w:rPr>
        <w:t>–</w:t>
      </w:r>
      <w:r w:rsidRPr="00BC513A">
        <w:rPr>
          <w:sz w:val="22"/>
          <w:szCs w:val="22"/>
          <w:lang w:val="bg-BG"/>
        </w:rPr>
        <w:t xml:space="preserve"> това са мерки </w:t>
      </w:r>
      <w:r w:rsidRPr="00BC513A">
        <w:rPr>
          <w:sz w:val="22"/>
          <w:szCs w:val="22"/>
          <w:lang w:val="bg-BG"/>
        </w:rPr>
        <w:lastRenderedPageBreak/>
        <w:t xml:space="preserve">211 и 212 </w:t>
      </w:r>
      <w:r w:rsidR="00287F57">
        <w:rPr>
          <w:sz w:val="22"/>
          <w:szCs w:val="22"/>
          <w:lang w:val="bg-BG"/>
        </w:rPr>
        <w:t>–</w:t>
      </w:r>
      <w:r w:rsidRPr="00BC513A">
        <w:rPr>
          <w:sz w:val="22"/>
          <w:szCs w:val="22"/>
          <w:lang w:val="bg-BG"/>
        </w:rPr>
        <w:t xml:space="preserve"> Подкрепа за </w:t>
      </w:r>
      <w:r w:rsidR="007C3883">
        <w:rPr>
          <w:sz w:val="22"/>
          <w:szCs w:val="22"/>
          <w:lang w:val="bg-BG"/>
        </w:rPr>
        <w:t>необлагодетелствани райони</w:t>
      </w:r>
      <w:r w:rsidRPr="00BC513A">
        <w:rPr>
          <w:sz w:val="22"/>
          <w:szCs w:val="22"/>
          <w:lang w:val="bg-BG"/>
        </w:rPr>
        <w:t xml:space="preserve">, мярка 213 Плащания по Натура 2000 и от мярка 214 Агроекологични плащания Традиционно животновъдство </w:t>
      </w:r>
      <w:r w:rsidR="00287F57">
        <w:rPr>
          <w:sz w:val="22"/>
          <w:szCs w:val="22"/>
          <w:lang w:val="bg-BG"/>
        </w:rPr>
        <w:t>–</w:t>
      </w:r>
      <w:r w:rsidRPr="00BC513A">
        <w:rPr>
          <w:sz w:val="22"/>
          <w:szCs w:val="22"/>
          <w:lang w:val="bg-BG"/>
        </w:rPr>
        <w:t xml:space="preserve"> Опазване на застрашени от изчезване местни породи. </w:t>
      </w:r>
    </w:p>
    <w:p w14:paraId="140912C6" w14:textId="33845D28"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За мерки 211 и 212 съществуващото биоразнообразие ще бъде съхранено чрез прилагане на Добри земеделски и екологични условия (ДЗЕУ), съгласно условията за кандидатстване по тези мерки, а за мярка 214 </w:t>
      </w:r>
      <w:r w:rsidR="00DA165A">
        <w:rPr>
          <w:sz w:val="22"/>
          <w:szCs w:val="22"/>
          <w:lang w:val="bg-BG"/>
        </w:rPr>
        <w:t>–</w:t>
      </w:r>
      <w:r w:rsidRPr="00BC513A">
        <w:rPr>
          <w:sz w:val="22"/>
          <w:szCs w:val="22"/>
          <w:lang w:val="bg-BG"/>
        </w:rPr>
        <w:t xml:space="preserve"> посредством специфични дейности за опазване на застрашените местни породи. За дейности за опазване на застрашените местни породи по мярка 214 не са представени данни от наблюдение, но от отчетите е видно, че са опазени застрашени от изчезване местни породи 16</w:t>
      </w:r>
      <w:r w:rsidR="00DA165A">
        <w:rPr>
          <w:sz w:val="22"/>
          <w:szCs w:val="22"/>
          <w:lang w:val="bg-BG"/>
        </w:rPr>
        <w:t> </w:t>
      </w:r>
      <w:r w:rsidRPr="00BC513A">
        <w:rPr>
          <w:sz w:val="22"/>
          <w:szCs w:val="22"/>
          <w:lang w:val="bg-BG"/>
        </w:rPr>
        <w:t xml:space="preserve">147 бр., от които говеда, коне и биволи </w:t>
      </w:r>
      <w:r w:rsidR="00DA165A">
        <w:rPr>
          <w:sz w:val="22"/>
          <w:szCs w:val="22"/>
          <w:lang w:val="bg-BG"/>
        </w:rPr>
        <w:t>–</w:t>
      </w:r>
      <w:r w:rsidRPr="00BC513A">
        <w:rPr>
          <w:sz w:val="22"/>
          <w:szCs w:val="22"/>
          <w:lang w:val="bg-BG"/>
        </w:rPr>
        <w:t xml:space="preserve"> 10</w:t>
      </w:r>
      <w:r w:rsidR="00DA165A">
        <w:rPr>
          <w:sz w:val="22"/>
          <w:szCs w:val="22"/>
          <w:lang w:val="bg-BG"/>
        </w:rPr>
        <w:t> </w:t>
      </w:r>
      <w:r w:rsidRPr="00BC513A">
        <w:rPr>
          <w:sz w:val="22"/>
          <w:szCs w:val="22"/>
          <w:lang w:val="bg-BG"/>
        </w:rPr>
        <w:t xml:space="preserve">695, овце и кози </w:t>
      </w:r>
      <w:r w:rsidR="00DA165A">
        <w:rPr>
          <w:sz w:val="22"/>
          <w:szCs w:val="22"/>
          <w:lang w:val="bg-BG"/>
        </w:rPr>
        <w:t>–</w:t>
      </w:r>
      <w:r w:rsidRPr="00BC513A">
        <w:rPr>
          <w:sz w:val="22"/>
          <w:szCs w:val="22"/>
          <w:lang w:val="bg-BG"/>
        </w:rPr>
        <w:t xml:space="preserve"> 4</w:t>
      </w:r>
      <w:r w:rsidR="00DA165A">
        <w:rPr>
          <w:sz w:val="22"/>
          <w:szCs w:val="22"/>
          <w:lang w:val="bg-BG"/>
        </w:rPr>
        <w:t> </w:t>
      </w:r>
      <w:r w:rsidRPr="00BC513A">
        <w:rPr>
          <w:sz w:val="22"/>
          <w:szCs w:val="22"/>
          <w:lang w:val="bg-BG"/>
        </w:rPr>
        <w:t>854 и свине 598.</w:t>
      </w:r>
    </w:p>
    <w:p w14:paraId="3B2203B5" w14:textId="2F4988DD"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За промяна в намаляването на биоразнообразието се очаква да допринасят и други подмерки към мярка 214 </w:t>
      </w:r>
      <w:r w:rsidR="00DA165A">
        <w:rPr>
          <w:sz w:val="22"/>
          <w:szCs w:val="22"/>
          <w:lang w:val="bg-BG"/>
        </w:rPr>
        <w:t>–</w:t>
      </w:r>
      <w:r w:rsidRPr="00BC513A">
        <w:rPr>
          <w:sz w:val="22"/>
          <w:szCs w:val="22"/>
          <w:lang w:val="bg-BG"/>
        </w:rPr>
        <w:t xml:space="preserve"> подмярка „Управление на земеделски земи с висока природна стойност (ВПС) </w:t>
      </w:r>
      <w:r w:rsidR="00DA165A">
        <w:rPr>
          <w:sz w:val="22"/>
          <w:szCs w:val="22"/>
          <w:lang w:val="bg-BG"/>
        </w:rPr>
        <w:t>–</w:t>
      </w:r>
      <w:r w:rsidRPr="00BC513A">
        <w:rPr>
          <w:sz w:val="22"/>
          <w:szCs w:val="22"/>
          <w:lang w:val="bg-BG"/>
        </w:rPr>
        <w:t xml:space="preserve"> ВПС 1, ВПС 2 и ВПС</w:t>
      </w:r>
      <w:r w:rsidR="00DA165A">
        <w:rPr>
          <w:sz w:val="22"/>
          <w:szCs w:val="22"/>
          <w:lang w:val="bg-BG"/>
        </w:rPr>
        <w:t xml:space="preserve"> </w:t>
      </w:r>
      <w:r w:rsidRPr="00BC513A">
        <w:rPr>
          <w:sz w:val="22"/>
          <w:szCs w:val="22"/>
          <w:lang w:val="bg-BG"/>
        </w:rPr>
        <w:t xml:space="preserve">4“ и от подмярка „Биологично земеделие </w:t>
      </w:r>
      <w:r w:rsidR="00DA165A">
        <w:rPr>
          <w:sz w:val="22"/>
          <w:szCs w:val="22"/>
          <w:lang w:val="bg-BG"/>
        </w:rPr>
        <w:t>–</w:t>
      </w:r>
      <w:r w:rsidRPr="00BC513A">
        <w:rPr>
          <w:sz w:val="22"/>
          <w:szCs w:val="22"/>
          <w:lang w:val="bg-BG"/>
        </w:rPr>
        <w:t xml:space="preserve"> ливади и пасища“.</w:t>
      </w:r>
    </w:p>
    <w:p w14:paraId="22F4FF10" w14:textId="331450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Общата площ, на която са прилагани всички описани по-горе мерки, възлиза на 999</w:t>
      </w:r>
      <w:r w:rsidR="00C064F9">
        <w:rPr>
          <w:sz w:val="22"/>
          <w:szCs w:val="22"/>
          <w:lang w:val="bg-BG"/>
        </w:rPr>
        <w:t> </w:t>
      </w:r>
      <w:r w:rsidRPr="00BC513A">
        <w:rPr>
          <w:sz w:val="22"/>
          <w:szCs w:val="22"/>
          <w:lang w:val="bg-BG"/>
        </w:rPr>
        <w:t>030 ha, която спрямо използваната земеделска площ</w:t>
      </w:r>
      <w:r w:rsidRPr="00BC513A">
        <w:rPr>
          <w:rStyle w:val="FootnoteReference"/>
          <w:sz w:val="22"/>
          <w:szCs w:val="22"/>
          <w:lang w:val="bg-BG"/>
        </w:rPr>
        <w:footnoteReference w:id="23"/>
      </w:r>
      <w:r w:rsidRPr="00BC513A">
        <w:rPr>
          <w:sz w:val="22"/>
          <w:szCs w:val="22"/>
          <w:lang w:val="bg-BG"/>
        </w:rPr>
        <w:t xml:space="preserve"> възлиза на 19,6%.  Положителното въздействие на тези мерки за съжаление не е в състояние на този етап да повлияе на общите тенденции на намаляване на биологичното разнообразие.</w:t>
      </w:r>
    </w:p>
    <w:p w14:paraId="2BE9C728"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В ПРСР 2007-2013 не са предвидени мерки в горите и горските райони във връзка с опазване на биоразнообразието, но мярка 223 (първоначално залесяване) и мярка 226 (залесяване на земи, засегнати от природни бедствия) също допринасят към подобряване на биоразнообразието. </w:t>
      </w:r>
    </w:p>
    <w:p w14:paraId="428A01CD"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При оценката за периода 2005–2015 г. е отчетено, че птиците на земеделските земи непрекъснато намаляват и са отбелязали спад до – 21% спрямо 2005 г. (от 100% са достигнали до около 80%), като няма описани причини за тези промени</w:t>
      </w:r>
      <w:r w:rsidRPr="00BC513A">
        <w:rPr>
          <w:rStyle w:val="FootnoteReference"/>
          <w:sz w:val="22"/>
          <w:szCs w:val="22"/>
          <w:lang w:val="bg-BG"/>
        </w:rPr>
        <w:footnoteReference w:id="24"/>
      </w:r>
      <w:r w:rsidRPr="00BC513A">
        <w:rPr>
          <w:sz w:val="22"/>
          <w:szCs w:val="22"/>
          <w:lang w:val="bg-BG"/>
        </w:rPr>
        <w:t>.</w:t>
      </w:r>
    </w:p>
    <w:p w14:paraId="4373FF1F"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Множество проучвания са доказали, че интензивното земеделие, употребата на пестициди и моноколтурите на големи площи водят до намаляване на птиците на земеделските земи. Тенденцията може да се обясни със засилване интензификацията на селското стопанство, с помощта на субсидиите от еврофондовете – първи стълб на Общата селскостопанска политика. В допълнение към това, се наблюдава тенденция за намаляване на постоянно затревените площи на територията на страната, основно поради разораване за получаване на плащания за единица обработваема площ, а също така и поради създаването на трайни насаждения, което също се насърчава от ПРСР. Поради факта, че за периода 2007 – 2013 г. горните въздействия са налице за основната част от земеделските земи, а мерките, насочени към опазване на биоразнообразието, са приложени на практика на малка сумарна площ спрямо всички земеделски земи, но техния</w:t>
      </w:r>
      <w:r w:rsidR="00DA165A">
        <w:rPr>
          <w:sz w:val="22"/>
          <w:szCs w:val="22"/>
          <w:lang w:val="bg-BG"/>
        </w:rPr>
        <w:t>т</w:t>
      </w:r>
      <w:r w:rsidRPr="00BC513A">
        <w:rPr>
          <w:sz w:val="22"/>
          <w:szCs w:val="22"/>
          <w:lang w:val="bg-BG"/>
        </w:rPr>
        <w:t xml:space="preserve"> принос за спиране загубата на биологично разнообразие е незначителен на фона на мащабните въздействия, водещи до загубата на биоразнообразие. Затова на този етап приносът на посочените по-горе не може да бъде отчетен чрез индекса за състоянието на популациите на птиците. Успоредно с </w:t>
      </w:r>
      <w:r w:rsidRPr="00BC513A">
        <w:rPr>
          <w:sz w:val="22"/>
          <w:szCs w:val="22"/>
          <w:lang w:val="bg-BG"/>
        </w:rPr>
        <w:lastRenderedPageBreak/>
        <w:t>отчитането на този индекс би трябвало, но не е проведен мониторинг на състоянието на птиците в самите места, където мерките са действително приложени. При наличие на такива данни може да се отчете действителния ефект от прилагане на мерките за биоразнообразието и спрямо прилагането на общата селскостопанска политика. Ясно е обаче, че е необходимо площите за прилагане на мерките за природосъобразно земеделие да се увеличават, за да може индексът на състоянието на птиците на земеделските земи да не продължава да намалява. Необходимо е мерките, насочени към природосъобразно земеделие</w:t>
      </w:r>
      <w:r w:rsidR="00DA165A">
        <w:rPr>
          <w:sz w:val="22"/>
          <w:szCs w:val="22"/>
          <w:lang w:val="bg-BG"/>
        </w:rPr>
        <w:t>,</w:t>
      </w:r>
      <w:r w:rsidRPr="00BC513A">
        <w:rPr>
          <w:sz w:val="22"/>
          <w:szCs w:val="22"/>
          <w:lang w:val="bg-BG"/>
        </w:rPr>
        <w:t xml:space="preserve"> да се прилагат много по-широко и ефектът от тях да се наблюдава пряко.</w:t>
      </w:r>
    </w:p>
    <w:p w14:paraId="540F2672" w14:textId="68FE40D2"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По отношение на зимуващи видове гъски – част от мярка 214 Поддържане на местообитанията на защитени видове в обработваеми земи в орнитологично важни места (ОВМ) ВПС 4, допринася към опазването на зимуващи видове гъски. Площта, която е подпомагана по ВПС 4</w:t>
      </w:r>
      <w:r w:rsidR="00DA165A">
        <w:rPr>
          <w:sz w:val="22"/>
          <w:szCs w:val="22"/>
          <w:lang w:val="bg-BG"/>
        </w:rPr>
        <w:t>,</w:t>
      </w:r>
      <w:r w:rsidRPr="00BC513A">
        <w:rPr>
          <w:sz w:val="22"/>
          <w:szCs w:val="22"/>
          <w:lang w:val="bg-BG"/>
        </w:rPr>
        <w:t xml:space="preserve"> възлиза на 11</w:t>
      </w:r>
      <w:r w:rsidR="00DA165A">
        <w:rPr>
          <w:sz w:val="22"/>
          <w:szCs w:val="22"/>
          <w:lang w:val="bg-BG"/>
        </w:rPr>
        <w:t> </w:t>
      </w:r>
      <w:r w:rsidRPr="00BC513A">
        <w:rPr>
          <w:sz w:val="22"/>
          <w:szCs w:val="22"/>
          <w:lang w:val="bg-BG"/>
        </w:rPr>
        <w:t xml:space="preserve">977 ha и е незначителна (3,3%) спрямо всички обработваеми земеделски земи, определени като ВПС, които са около </w:t>
      </w:r>
      <w:r w:rsidR="00DA165A">
        <w:rPr>
          <w:sz w:val="22"/>
          <w:szCs w:val="22"/>
          <w:lang w:val="bg-BG"/>
        </w:rPr>
        <w:t xml:space="preserve">                </w:t>
      </w:r>
      <w:r w:rsidRPr="00BC513A">
        <w:rPr>
          <w:sz w:val="22"/>
          <w:szCs w:val="22"/>
          <w:lang w:val="bg-BG"/>
        </w:rPr>
        <w:t>360</w:t>
      </w:r>
      <w:r w:rsidR="00DA165A">
        <w:rPr>
          <w:sz w:val="22"/>
          <w:szCs w:val="22"/>
          <w:lang w:val="bg-BG"/>
        </w:rPr>
        <w:t> </w:t>
      </w:r>
      <w:r w:rsidRPr="00BC513A">
        <w:rPr>
          <w:sz w:val="22"/>
          <w:szCs w:val="22"/>
          <w:lang w:val="bg-BG"/>
        </w:rPr>
        <w:t>000 ha. Освен това плащанията по ВПС4 на мярка 214, е започнало по-късно (след 2010 г.).</w:t>
      </w:r>
    </w:p>
    <w:p w14:paraId="6442C99D" w14:textId="77E397DC"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Съгласно данни от Доклад</w:t>
      </w:r>
      <w:r w:rsidR="00DA165A">
        <w:rPr>
          <w:sz w:val="22"/>
          <w:szCs w:val="22"/>
          <w:lang w:val="bg-BG"/>
        </w:rPr>
        <w:t>а</w:t>
      </w:r>
      <w:r w:rsidRPr="00BC513A">
        <w:rPr>
          <w:sz w:val="22"/>
          <w:szCs w:val="22"/>
          <w:lang w:val="bg-BG"/>
        </w:rPr>
        <w:t xml:space="preserve"> за зимуващи водолюбиви птици в България през зимата на 2011 – 2012 г. 2013. </w:t>
      </w:r>
      <w:r w:rsidR="00DA165A">
        <w:rPr>
          <w:sz w:val="22"/>
          <w:szCs w:val="22"/>
          <w:lang w:val="bg-BG"/>
        </w:rPr>
        <w:t>–</w:t>
      </w:r>
      <w:r w:rsidRPr="00BC513A">
        <w:rPr>
          <w:sz w:val="22"/>
          <w:szCs w:val="22"/>
          <w:lang w:val="bg-BG"/>
        </w:rPr>
        <w:t xml:space="preserve"> зимуващи</w:t>
      </w:r>
      <w:r w:rsidR="00DA165A">
        <w:rPr>
          <w:sz w:val="22"/>
          <w:szCs w:val="22"/>
          <w:lang w:val="bg-BG"/>
        </w:rPr>
        <w:t>те</w:t>
      </w:r>
      <w:r w:rsidRPr="00BC513A">
        <w:rPr>
          <w:sz w:val="22"/>
          <w:szCs w:val="22"/>
          <w:lang w:val="bg-BG"/>
        </w:rPr>
        <w:t xml:space="preserve"> видове гъски също намаляват, като една от причините са промени в климатичните условия. Характерът на тяхната миграция е такъв, че те мигрират с нулевата изотерма, т.е. студът ги избутва (гони) на юг, а при затопляне на времето се връщат на север. Ако зимата е топла, по-малко птици слизат при нас, т.е зависят от климатичните условия, поради което популациите им естествено не са постоянни. Все пак дългогодишната тенденция за някои видове като червеногушата гъска показват намаляване на популациите, което се дължи на комплекс от фактори. Част от проблема е оперирането на ветрогенератори в основните зимовища на вида в Приморска Добруджа. Фактът, че макар и намаляла, почти цялата световна популация на червеногушата гъска продължава да зимува в Добруджа, показва важността тази мярка и необходимостта от прилагането й, за да може да допринася за опазването на зимуващи видове гъски.</w:t>
      </w:r>
    </w:p>
    <w:p w14:paraId="713D82F2" w14:textId="77777777" w:rsidR="00E8617E" w:rsidRPr="00BC513A" w:rsidRDefault="00E8617E" w:rsidP="00E8617E">
      <w:pPr>
        <w:pStyle w:val="DefaultText"/>
        <w:spacing w:after="120" w:line="300" w:lineRule="atLeast"/>
        <w:ind w:firstLine="709"/>
        <w:rPr>
          <w:b/>
          <w:sz w:val="22"/>
          <w:szCs w:val="22"/>
          <w:lang w:val="bg-BG"/>
        </w:rPr>
      </w:pPr>
      <w:r w:rsidRPr="00BC513A">
        <w:rPr>
          <w:b/>
          <w:sz w:val="22"/>
          <w:szCs w:val="22"/>
          <w:lang w:val="bg-BG"/>
        </w:rPr>
        <w:t xml:space="preserve">Поддържане на земеделски и горски територии с висока природна стойност: </w:t>
      </w:r>
    </w:p>
    <w:p w14:paraId="5FD561DE" w14:textId="088BB783"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Съгласно индикаторите за въздействие четирите мерки за земеделските земи и една от мерките за горите се очаква да допринесат за Поддържане на земеделски и горски територии с висока природна стойност – това са: мерки 211 и 212 </w:t>
      </w:r>
      <w:r w:rsidR="00DA165A">
        <w:rPr>
          <w:sz w:val="22"/>
          <w:szCs w:val="22"/>
          <w:lang w:val="bg-BG"/>
        </w:rPr>
        <w:t>–</w:t>
      </w:r>
      <w:r w:rsidRPr="00BC513A">
        <w:rPr>
          <w:sz w:val="22"/>
          <w:szCs w:val="22"/>
          <w:lang w:val="bg-BG"/>
        </w:rPr>
        <w:t xml:space="preserve"> Подкрепа за необлагодетелствани райони, мярка 213 Плащания по Натура 2000 и от мярка 214 Агроекологични плащания, подмярка Управление на земеделски земи с висока природна стойност (ВПС) – ВПС 1 и ВПС 2 и мярка 226 Възстановяване на горския потенциал и въвеждане на превантивни дейности. </w:t>
      </w:r>
    </w:p>
    <w:p w14:paraId="1818677B" w14:textId="6F7694D8"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За мерки 211 и 212, природната стойност на земеделските земи е съхранена и подобрена чрез прилагане на ДЗЕУ в необлагодетелствани райони (съгласно едно от условията за подпомагане по тези мерки). За мярка 213, приносът към подд</w:t>
      </w:r>
      <w:r w:rsidR="00DA165A">
        <w:rPr>
          <w:sz w:val="22"/>
          <w:szCs w:val="22"/>
          <w:lang w:val="bg-BG"/>
        </w:rPr>
        <w:t>ъ</w:t>
      </w:r>
      <w:r w:rsidRPr="00BC513A">
        <w:rPr>
          <w:sz w:val="22"/>
          <w:szCs w:val="22"/>
          <w:lang w:val="bg-BG"/>
        </w:rPr>
        <w:t xml:space="preserve">ржане на високата природна стойност се дължи на прилагането на ограниченията от </w:t>
      </w:r>
      <w:r w:rsidR="00DA165A">
        <w:rPr>
          <w:sz w:val="22"/>
          <w:szCs w:val="22"/>
          <w:lang w:val="bg-BG"/>
        </w:rPr>
        <w:t>з</w:t>
      </w:r>
      <w:r w:rsidRPr="00BC513A">
        <w:rPr>
          <w:sz w:val="22"/>
          <w:szCs w:val="22"/>
          <w:lang w:val="bg-BG"/>
        </w:rPr>
        <w:t>аповедите за обявяване. За мярка 214 подд</w:t>
      </w:r>
      <w:r w:rsidR="00DA165A">
        <w:rPr>
          <w:sz w:val="22"/>
          <w:szCs w:val="22"/>
          <w:lang w:val="bg-BG"/>
        </w:rPr>
        <w:t>ъ</w:t>
      </w:r>
      <w:r w:rsidRPr="00BC513A">
        <w:rPr>
          <w:sz w:val="22"/>
          <w:szCs w:val="22"/>
          <w:lang w:val="bg-BG"/>
        </w:rPr>
        <w:t xml:space="preserve">ржането на ВПС е вследствие на прилагането на подмерките за земи с ВПС и за поддържане на характеристики на ландшафта. Общата </w:t>
      </w:r>
      <w:r w:rsidRPr="00BC513A">
        <w:rPr>
          <w:sz w:val="22"/>
          <w:szCs w:val="22"/>
          <w:lang w:val="bg-BG"/>
        </w:rPr>
        <w:lastRenderedPageBreak/>
        <w:t>площ, обхваната от мерките</w:t>
      </w:r>
      <w:r w:rsidR="006A79EF">
        <w:rPr>
          <w:sz w:val="22"/>
          <w:szCs w:val="22"/>
          <w:lang w:val="bg-BG"/>
        </w:rPr>
        <w:t>,</w:t>
      </w:r>
      <w:r w:rsidRPr="00BC513A">
        <w:rPr>
          <w:sz w:val="22"/>
          <w:szCs w:val="22"/>
          <w:lang w:val="bg-BG"/>
        </w:rPr>
        <w:t xml:space="preserve"> възлиза на: 984 796 ha. Съгласно ПРСР 2007-2013 индикативната площ на земеделските земи с висока природна стойност в България е 1</w:t>
      </w:r>
      <w:r w:rsidRPr="00BC513A">
        <w:rPr>
          <w:lang w:val="bg-BG"/>
        </w:rPr>
        <w:t> </w:t>
      </w:r>
      <w:r w:rsidRPr="00BC513A">
        <w:rPr>
          <w:sz w:val="22"/>
          <w:szCs w:val="22"/>
          <w:lang w:val="bg-BG"/>
        </w:rPr>
        <w:t>630</w:t>
      </w:r>
      <w:r w:rsidR="00C064F9">
        <w:rPr>
          <w:sz w:val="22"/>
          <w:szCs w:val="22"/>
          <w:lang w:val="bg-BG"/>
        </w:rPr>
        <w:t> </w:t>
      </w:r>
      <w:r w:rsidRPr="00BC513A">
        <w:rPr>
          <w:sz w:val="22"/>
          <w:szCs w:val="22"/>
          <w:lang w:val="bg-BG"/>
        </w:rPr>
        <w:t>035 ha. Ако не се включат земеделските земи – потенциални ВПС, подпомагани по мерки за необлагодетелстваните райони, т. е. без мерки 211 и 212, общата подпомагана площ  възлиза на:  367</w:t>
      </w:r>
      <w:r w:rsidR="00C064F9">
        <w:rPr>
          <w:sz w:val="22"/>
          <w:szCs w:val="22"/>
          <w:lang w:val="bg-BG"/>
        </w:rPr>
        <w:t> </w:t>
      </w:r>
      <w:r w:rsidRPr="00BC513A">
        <w:rPr>
          <w:sz w:val="22"/>
          <w:szCs w:val="22"/>
          <w:lang w:val="bg-BG"/>
        </w:rPr>
        <w:t xml:space="preserve">956 ha. </w:t>
      </w:r>
    </w:p>
    <w:p w14:paraId="7B468763"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Само за мярка 226 има предвидена целева стойност: Опазване и подобрение на природната стойност на земите на повече от 20% от частните горски площи. Частните горски площи по мярка 226 възлизат на 5</w:t>
      </w:r>
      <w:r w:rsidR="006A79EF">
        <w:rPr>
          <w:sz w:val="22"/>
          <w:szCs w:val="22"/>
          <w:lang w:val="bg-BG"/>
        </w:rPr>
        <w:t xml:space="preserve"> </w:t>
      </w:r>
      <w:r w:rsidRPr="00BC513A">
        <w:rPr>
          <w:sz w:val="22"/>
          <w:szCs w:val="22"/>
          <w:lang w:val="bg-BG"/>
        </w:rPr>
        <w:t>ha и са за възстановяване на горския потенциал, като се очаква да е подобрена природната стойност поне на 20% от земите от частните горски площи. Директен принос към постигането на тази цел има и мярка 126 по ос 1, свързана с възстановяването на площи, засегнати от природни бедствия.</w:t>
      </w:r>
    </w:p>
    <w:p w14:paraId="5BC4D986" w14:textId="77777777" w:rsidR="00E8617E" w:rsidRPr="00BC513A" w:rsidRDefault="00E8617E" w:rsidP="00E8617E">
      <w:pPr>
        <w:pStyle w:val="DefaultText"/>
        <w:spacing w:after="120" w:line="300" w:lineRule="atLeast"/>
        <w:ind w:firstLine="709"/>
        <w:rPr>
          <w:b/>
          <w:sz w:val="22"/>
          <w:szCs w:val="22"/>
          <w:lang w:val="bg-BG"/>
        </w:rPr>
      </w:pPr>
      <w:r w:rsidRPr="00BC513A">
        <w:rPr>
          <w:b/>
          <w:sz w:val="22"/>
          <w:szCs w:val="22"/>
          <w:lang w:val="bg-BG"/>
        </w:rPr>
        <w:t xml:space="preserve">Подобряване на качеството на водите: </w:t>
      </w:r>
    </w:p>
    <w:p w14:paraId="29D9CD90"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Съгласно индикаторите за въздействие 2 мерки за земеделските земи и 1 от мерките за горите се очаква да допринасят за Подобряване на качеството на водите – мярка 213 Плащания по Натура 2000, 214 Агроекологични плащания, мярка 226 Възстановяване на горския потенциал и въвеждане на превантивни дейности.</w:t>
      </w:r>
    </w:p>
    <w:p w14:paraId="23AFC5A9" w14:textId="2E4DBC5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За мярка 213 има заложена целева стойност: Подобряването на ситуацията поради ограничения върху приложението на пестициди и минерални торове е забранено в пасищата и ливадите (5</w:t>
      </w:r>
      <w:r w:rsidR="00C064F9">
        <w:rPr>
          <w:sz w:val="22"/>
          <w:szCs w:val="22"/>
          <w:lang w:val="bg-BG"/>
        </w:rPr>
        <w:t> </w:t>
      </w:r>
      <w:r w:rsidRPr="00BC513A">
        <w:rPr>
          <w:sz w:val="22"/>
          <w:szCs w:val="22"/>
          <w:lang w:val="bg-BG"/>
        </w:rPr>
        <w:t>600 ha). Няма данни от мониторинг, но се очаква, че целевата стойност е постигната, поради въвеждането на по-рестриктивни планове за управление на териториите от Натура 2000 и контрол върху органичното земеделие. Съгласно данни от ДФЗ подпомогнатите постоянно затревени площи (ПЗП) по мярка 213 през 2014 г възлизат на 92</w:t>
      </w:r>
      <w:r w:rsidR="00C064F9">
        <w:rPr>
          <w:sz w:val="22"/>
          <w:szCs w:val="22"/>
          <w:lang w:val="en-US"/>
        </w:rPr>
        <w:t> </w:t>
      </w:r>
      <w:r w:rsidRPr="00BC513A">
        <w:rPr>
          <w:sz w:val="22"/>
          <w:szCs w:val="22"/>
          <w:lang w:val="bg-BG"/>
        </w:rPr>
        <w:t>165 ha, а съгласно условията за кандидатстване по мярка 231 (ПРСР 2007-2013 Приложение 2 към мярка 231, таблица 2) използването на пестициди и минерални торове е забранено в пасищата и ливадите. Въз основа на гореописаното се очаква тези забрани да са изпълнени, така че във всичките 92</w:t>
      </w:r>
      <w:r w:rsidR="006A79EF">
        <w:rPr>
          <w:sz w:val="22"/>
          <w:szCs w:val="22"/>
          <w:lang w:val="bg-BG"/>
        </w:rPr>
        <w:t> </w:t>
      </w:r>
      <w:r w:rsidRPr="00BC513A">
        <w:rPr>
          <w:sz w:val="22"/>
          <w:szCs w:val="22"/>
          <w:lang w:val="bg-BG"/>
        </w:rPr>
        <w:t>165 ha се очаква подобряване на качеството на водите поради ограничение в прилагането на пестициди и минерални торове.</w:t>
      </w:r>
    </w:p>
    <w:p w14:paraId="293EAEA6" w14:textId="773F1332"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Мярка 214 спомага за ограничаване или елиминиране замърсяването с нитрати, а също посредством устойчив оборот на културите, планиране на правилното усвояване на хранителни вещества за защита на почвите и водите водят до подобряване на качеството на водите. </w:t>
      </w:r>
    </w:p>
    <w:p w14:paraId="64BEF05E"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Други специфични дейности също се очаква да допринесат към подобряване на качеството на водите, като прилагане на добри земеделски и екологични практики в необлагодетелстваните райони</w:t>
      </w:r>
      <w:r w:rsidR="006A79EF">
        <w:rPr>
          <w:sz w:val="22"/>
          <w:szCs w:val="22"/>
          <w:lang w:val="bg-BG"/>
        </w:rPr>
        <w:t xml:space="preserve"> </w:t>
      </w:r>
      <w:r w:rsidRPr="00BC513A">
        <w:rPr>
          <w:sz w:val="22"/>
          <w:szCs w:val="22"/>
          <w:lang w:val="bg-BG"/>
        </w:rPr>
        <w:t xml:space="preserve">– мерки 211 и 212. </w:t>
      </w:r>
    </w:p>
    <w:p w14:paraId="0C182CBB" w14:textId="77777777" w:rsidR="00E8617E" w:rsidRPr="00BC513A" w:rsidRDefault="00E8617E" w:rsidP="00E8617E">
      <w:pPr>
        <w:pStyle w:val="DefaultText"/>
        <w:spacing w:after="120" w:line="300" w:lineRule="atLeast"/>
        <w:ind w:firstLine="709"/>
        <w:rPr>
          <w:b/>
          <w:sz w:val="22"/>
          <w:szCs w:val="22"/>
          <w:lang w:val="bg-BG"/>
        </w:rPr>
      </w:pPr>
      <w:r w:rsidRPr="00BC513A">
        <w:rPr>
          <w:b/>
          <w:sz w:val="22"/>
          <w:szCs w:val="22"/>
          <w:lang w:val="bg-BG"/>
        </w:rPr>
        <w:t>Принос към борбата с изменението на климата</w:t>
      </w:r>
    </w:p>
    <w:p w14:paraId="1678A899"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Към индикатора не е включен положителен принос на подпомаганите постоянни пасища за съхранението на органичен въглерод, а само 2-те мерки за горите, които се очаква да  допринасят за борбата с изменението на климата. </w:t>
      </w:r>
    </w:p>
    <w:p w14:paraId="2DE8C4EF"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За да се определи приноса на ПРСР 2007-2013 са направени изчисления, като:</w:t>
      </w:r>
    </w:p>
    <w:p w14:paraId="55D7C603" w14:textId="609ADDDE"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Изчисленията за производството на енергия са в "ktoe=килотона нефтен еквивалент" (ktoe </w:t>
      </w:r>
      <w:r w:rsidR="006A79EF">
        <w:rPr>
          <w:sz w:val="22"/>
          <w:szCs w:val="22"/>
          <w:lang w:val="bg-BG"/>
        </w:rPr>
        <w:t>–</w:t>
      </w:r>
      <w:r w:rsidRPr="00BC513A">
        <w:rPr>
          <w:sz w:val="22"/>
          <w:szCs w:val="22"/>
          <w:lang w:val="bg-BG"/>
        </w:rPr>
        <w:t xml:space="preserve"> kilotonnes oil equivalent).</w:t>
      </w:r>
    </w:p>
    <w:p w14:paraId="51D43BFA"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lastRenderedPageBreak/>
        <w:t xml:space="preserve">Изчисленията за поглъщане на въглероден двуокис са kton CO2-eq. </w:t>
      </w:r>
    </w:p>
    <w:p w14:paraId="560DCC52"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Въз основа на тях се установява, че ПРСР 2007-2013 е оказала значителен принос в изграждането на мощности за производство на ВЕИ. </w:t>
      </w:r>
    </w:p>
    <w:p w14:paraId="6A645235" w14:textId="303E6E02"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Въпреки че има индикации, че почти всички инвестиционни мерки са подкрепяли създаването на мощности за възобновяема топлинна или електрическа енергия и/или са довели до подобряване на енергийната ефективност на сгради, или улично осветление, оценката на въздействията само на мерки М311 и М312 показва, че с помощта на ПРСР са създадени мощности, възлизащи на почти ¼ от всички инсталирани мощности за производство на възобновяема електрическа енергия през 2015. При пълно натоварване на мощностите, това кореспондира  на произведена през 2015 г. електрическа енергия в размер на 30 ktoe, Ако мощностите са работили при идентични условия в периода 2013-2015 г., то сумарната произведена енергия възлиза на 90 ktoe.</w:t>
      </w:r>
    </w:p>
    <w:p w14:paraId="25B2B517" w14:textId="660F0CD4"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Програмата има благоприятни въздействия и върху поглъщането на парникови газове. Изчисленията показват, </w:t>
      </w:r>
      <w:r w:rsidR="006A79EF">
        <w:rPr>
          <w:sz w:val="22"/>
          <w:szCs w:val="22"/>
          <w:lang w:val="bg-BG"/>
        </w:rPr>
        <w:t xml:space="preserve">че </w:t>
      </w:r>
      <w:r w:rsidRPr="00BC513A">
        <w:rPr>
          <w:sz w:val="22"/>
          <w:szCs w:val="22"/>
          <w:lang w:val="bg-BG"/>
        </w:rPr>
        <w:t>само за периода 2013-2015 година, чрез залесяването на 4</w:t>
      </w:r>
      <w:r w:rsidR="006A79EF">
        <w:rPr>
          <w:sz w:val="22"/>
          <w:szCs w:val="22"/>
          <w:lang w:val="bg-BG"/>
        </w:rPr>
        <w:t> </w:t>
      </w:r>
      <w:r w:rsidRPr="00BC513A">
        <w:rPr>
          <w:sz w:val="22"/>
          <w:szCs w:val="22"/>
          <w:lang w:val="bg-BG"/>
        </w:rPr>
        <w:t xml:space="preserve">670 ha по двете горски мерки М223 и М226, е погълнат СО2 в размер на 6,8 кtons СО2. Отново може да се счита тази оценка за консервативна по отношение на цялостния принос на ПРСР, тъй като нетен положителен ефект по отношение поглъщането на СО2 имат всички дейности, водещи до конверсия на обработваеми площи в трайни насаждения или в затревени площи, или в насаждения с бързорастящи дървесни видове. </w:t>
      </w:r>
    </w:p>
    <w:p w14:paraId="53D9F42B"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Потенциално положителен ефект върху отнемането на СО2 биха имали и мерки М112, М121, М141, М214 и М122 на ПРСР 2007-2013, но поради липса на данни, преценка на тези ефекти е невъзможно да се направи.</w:t>
      </w:r>
    </w:p>
    <w:p w14:paraId="6B78F407" w14:textId="6A6C1381"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Важно е да се отбележи, че идентифицираните ефекти по отношение на климатичните промени са устойчиви и при добро стопанисване на активите биха генерирали ползи през следващите десетилетия, далеч отвъд периода на ПРСР 2007-2013.</w:t>
      </w:r>
    </w:p>
    <w:p w14:paraId="1A36ABA7" w14:textId="77777777" w:rsidR="00E8617E" w:rsidRPr="00BC513A" w:rsidRDefault="00E8617E" w:rsidP="00E8617E">
      <w:pPr>
        <w:pStyle w:val="Heading2"/>
        <w:numPr>
          <w:ilvl w:val="1"/>
          <w:numId w:val="7"/>
        </w:numPr>
        <w:ind w:left="1560" w:hanging="426"/>
      </w:pPr>
      <w:bookmarkStart w:id="88" w:name="_Toc504136154"/>
      <w:r w:rsidRPr="00BC513A">
        <w:t>Отговор на оценителните въпроси</w:t>
      </w:r>
      <w:bookmarkEnd w:id="88"/>
    </w:p>
    <w:tbl>
      <w:tblPr>
        <w:tblW w:w="0" w:type="auto"/>
        <w:tblInd w:w="-5" w:type="dxa"/>
        <w:shd w:val="clear" w:color="auto" w:fill="FBE4D5" w:themeFill="accent2" w:themeFillTint="33"/>
        <w:tblLook w:val="04A0" w:firstRow="1" w:lastRow="0" w:firstColumn="1" w:lastColumn="0" w:noHBand="0" w:noVBand="1"/>
      </w:tblPr>
      <w:tblGrid>
        <w:gridCol w:w="9060"/>
      </w:tblGrid>
      <w:tr w:rsidR="00E8617E" w:rsidRPr="00BC513A" w14:paraId="1A121526" w14:textId="77777777" w:rsidTr="00922731">
        <w:tc>
          <w:tcPr>
            <w:tcW w:w="9060" w:type="dxa"/>
            <w:shd w:val="clear" w:color="auto" w:fill="FBE4D5" w:themeFill="accent2" w:themeFillTint="33"/>
          </w:tcPr>
          <w:p w14:paraId="3E63E9EE" w14:textId="77777777" w:rsidR="00E8617E" w:rsidRPr="00BC513A" w:rsidRDefault="00E8617E" w:rsidP="00922731">
            <w:pPr>
              <w:pStyle w:val="Heading3"/>
              <w:numPr>
                <w:ilvl w:val="0"/>
                <w:numId w:val="0"/>
              </w:numPr>
              <w:tabs>
                <w:tab w:val="left" w:pos="709"/>
              </w:tabs>
              <w:spacing w:before="0" w:after="0"/>
              <w:ind w:left="709" w:hanging="812"/>
            </w:pPr>
            <w:bookmarkStart w:id="89" w:name="_Toc504136155"/>
            <w:r w:rsidRPr="00BC513A">
              <w:t>Ос 1: Подобряване на конкурентоспособността на земеделския и горския сектор</w:t>
            </w:r>
            <w:bookmarkEnd w:id="89"/>
            <w:r w:rsidRPr="00BC513A">
              <w:t xml:space="preserve"> </w:t>
            </w:r>
          </w:p>
        </w:tc>
      </w:tr>
    </w:tbl>
    <w:p w14:paraId="42C2036F" w14:textId="77777777" w:rsidR="00E8617E" w:rsidRPr="00BC513A" w:rsidRDefault="00E8617E" w:rsidP="00E8617E">
      <w:pPr>
        <w:keepNext/>
        <w:numPr>
          <w:ilvl w:val="0"/>
          <w:numId w:val="18"/>
        </w:numPr>
        <w:spacing w:before="240" w:after="120" w:line="300" w:lineRule="atLeast"/>
        <w:ind w:left="714" w:hanging="357"/>
        <w:jc w:val="both"/>
        <w:rPr>
          <w:rFonts w:ascii="Arial" w:hAnsi="Arial" w:cs="Arial"/>
          <w:color w:val="0070C0"/>
        </w:rPr>
      </w:pPr>
      <w:r w:rsidRPr="00BC513A">
        <w:rPr>
          <w:rFonts w:ascii="Arial" w:hAnsi="Arial" w:cs="Arial"/>
          <w:color w:val="0070C0"/>
        </w:rPr>
        <w:t>До каква степен ПРСР е допринесла за подобряване на конкурентоспособността на земеделския и горския сектор? (Стратегически приоритет на Общността)</w:t>
      </w:r>
    </w:p>
    <w:p w14:paraId="280A8EBF" w14:textId="6786F236"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Мерките от ПРСР 2007-2013 г., насочени в подкрепа на земеделието и горския отрасъл, са допринесли в значителна степен за модернизирането, преоборудването, възникването на нови производства, въвеждане на задължителни стандарти и повишаване компетентностите на подкрепените бенефициенти. В много голяма степен, подкрепените по </w:t>
      </w:r>
      <w:r w:rsidR="000F57E9">
        <w:rPr>
          <w:sz w:val="22"/>
          <w:szCs w:val="22"/>
          <w:lang w:val="bg-BG"/>
        </w:rPr>
        <w:t>п</w:t>
      </w:r>
      <w:r w:rsidRPr="00BC513A">
        <w:rPr>
          <w:sz w:val="22"/>
          <w:szCs w:val="22"/>
          <w:lang w:val="bg-BG"/>
        </w:rPr>
        <w:t xml:space="preserve">рограмата бенефициенти са успели да реализират успешни проекти, които са довели до увеличаване на добавената стойност, до повишение </w:t>
      </w:r>
      <w:r w:rsidR="006A79EF">
        <w:rPr>
          <w:sz w:val="22"/>
          <w:szCs w:val="22"/>
          <w:lang w:val="bg-BG"/>
        </w:rPr>
        <w:t xml:space="preserve">на </w:t>
      </w:r>
      <w:r w:rsidRPr="00BC513A">
        <w:rPr>
          <w:sz w:val="22"/>
          <w:szCs w:val="22"/>
          <w:lang w:val="bg-BG"/>
        </w:rPr>
        <w:t xml:space="preserve">производителността на труда и до подобряване на производствената ефективност. </w:t>
      </w:r>
      <w:r w:rsidRPr="00BC513A">
        <w:rPr>
          <w:sz w:val="22"/>
          <w:szCs w:val="22"/>
          <w:lang w:val="bg-BG"/>
        </w:rPr>
        <w:lastRenderedPageBreak/>
        <w:t>Това е довело до повишаване на пазарния дял на подкрепените бенефициенти, което означава и подобряване на тяхната конкурентоспособност.</w:t>
      </w:r>
    </w:p>
    <w:p w14:paraId="3812EB90" w14:textId="6660E7C4"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Наред с това, обаче, през програмния период 2007-2013 земеделският отрасъл в страната показва тенденции на слаб ръст, който за периода 2006-2015 г.</w:t>
      </w:r>
      <w:r w:rsidR="006A79EF">
        <w:rPr>
          <w:sz w:val="22"/>
          <w:szCs w:val="22"/>
          <w:lang w:val="bg-BG"/>
        </w:rPr>
        <w:t>,</w:t>
      </w:r>
      <w:r w:rsidRPr="00BC513A">
        <w:rPr>
          <w:sz w:val="22"/>
          <w:szCs w:val="22"/>
          <w:lang w:val="bg-BG"/>
        </w:rPr>
        <w:t xml:space="preserve"> измерен по отношение на добавената стойност</w:t>
      </w:r>
      <w:r w:rsidR="006A79EF">
        <w:rPr>
          <w:sz w:val="22"/>
          <w:szCs w:val="22"/>
          <w:lang w:val="bg-BG"/>
        </w:rPr>
        <w:t>,</w:t>
      </w:r>
      <w:r w:rsidRPr="00BC513A">
        <w:rPr>
          <w:sz w:val="22"/>
          <w:szCs w:val="22"/>
          <w:lang w:val="bg-BG"/>
        </w:rPr>
        <w:t xml:space="preserve"> е около 10% или нараства с около 1% годишно. В същото време, останалата част от икономиката на страната е нараснала няколкократно повече. Оттам, делът на добавената стойност от селско стопанство в общата структурата на националната икономика за последните години постепенно намалява и през последните години е на равнища от 4-4,5%. След 2007 г. се наблюдава ръст в произведената и реализирана крайна продукция, което се дължи на повишаване на средните добиви, усъвършенстване на технологиите, повишаване на цените на основната земеделска продукция (между 10-20%). Отчита се ниска използваемост на поземлените ресурси, което също е показател за конкурентоспособността. България разполага с малко под 4% от ресурсите на ЕС, а произвежда едва около 1% от брутната добавена стойност (БДС). </w:t>
      </w:r>
    </w:p>
    <w:p w14:paraId="48E3B34D" w14:textId="7662D0BC"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Ускорената модернизация и преоборудване в стопанствата, подпомогнати по линия на </w:t>
      </w:r>
      <w:r w:rsidR="000F57E9">
        <w:rPr>
          <w:sz w:val="22"/>
          <w:szCs w:val="22"/>
          <w:lang w:val="bg-BG"/>
        </w:rPr>
        <w:t>п</w:t>
      </w:r>
      <w:r w:rsidRPr="00BC513A">
        <w:rPr>
          <w:sz w:val="22"/>
          <w:szCs w:val="22"/>
          <w:lang w:val="bg-BG"/>
        </w:rPr>
        <w:t>рограмата</w:t>
      </w:r>
      <w:r w:rsidR="003F3A83">
        <w:rPr>
          <w:sz w:val="22"/>
          <w:szCs w:val="22"/>
          <w:lang w:val="bg-BG"/>
        </w:rPr>
        <w:t>,</w:t>
      </w:r>
      <w:r w:rsidRPr="00BC513A">
        <w:rPr>
          <w:sz w:val="22"/>
          <w:szCs w:val="22"/>
          <w:lang w:val="bg-BG"/>
        </w:rPr>
        <w:t xml:space="preserve"> доведе до силно увеличение на производствените мощности и мащабите на производство, което спомогна както за стопанското преструктуриране в отрасъла, така и за намаление на пустеещите земи в България, което беше голям проблем в преходните години. Броят на стопанствата бързо намалява – само за периода 2007-2013 г. с около 239 хил</w:t>
      </w:r>
      <w:r w:rsidR="0014225E">
        <w:rPr>
          <w:sz w:val="22"/>
          <w:szCs w:val="22"/>
          <w:lang w:val="bg-BG"/>
        </w:rPr>
        <w:t>.</w:t>
      </w:r>
      <w:r w:rsidRPr="00BC513A">
        <w:rPr>
          <w:sz w:val="22"/>
          <w:szCs w:val="22"/>
          <w:lang w:val="bg-BG"/>
        </w:rPr>
        <w:t xml:space="preserve"> или от 493 хил. стопанства до 254 хил. ферми.</w:t>
      </w:r>
      <w:r w:rsidR="00AE71CA">
        <w:rPr>
          <w:sz w:val="22"/>
          <w:szCs w:val="22"/>
          <w:lang w:val="bg-BG"/>
        </w:rPr>
        <w:t xml:space="preserve"> </w:t>
      </w:r>
      <w:r w:rsidRPr="00BC513A">
        <w:rPr>
          <w:sz w:val="22"/>
          <w:szCs w:val="22"/>
          <w:lang w:val="bg-BG"/>
        </w:rPr>
        <w:t xml:space="preserve">Това изцяло е за сметка на малките стопанства с площ до 2 ха. Оттам се повишава концентрацията на стопанствата, което също е важна предпоставка за подобряване конкурентоспособността. Площта на използваната </w:t>
      </w:r>
      <w:r w:rsidR="0014225E">
        <w:rPr>
          <w:sz w:val="22"/>
          <w:szCs w:val="22"/>
          <w:lang w:val="bg-BG"/>
        </w:rPr>
        <w:t>земеделска</w:t>
      </w:r>
      <w:r w:rsidR="0014225E" w:rsidRPr="00BC513A">
        <w:rPr>
          <w:sz w:val="22"/>
          <w:szCs w:val="22"/>
          <w:lang w:val="bg-BG"/>
        </w:rPr>
        <w:t xml:space="preserve"> </w:t>
      </w:r>
      <w:r w:rsidRPr="00BC513A">
        <w:rPr>
          <w:sz w:val="22"/>
          <w:szCs w:val="22"/>
          <w:lang w:val="bg-BG"/>
        </w:rPr>
        <w:t>земя в стопанствата над 100 ха нараства значително и през 2013 г. в тях се концентрира около 79% от цялата земя. Нараства и средният размер на използваната земя в едно стопанство, която през 2013 г.</w:t>
      </w:r>
      <w:r w:rsidR="00EC0171">
        <w:rPr>
          <w:sz w:val="22"/>
          <w:szCs w:val="22"/>
          <w:lang w:val="bg-BG"/>
        </w:rPr>
        <w:t xml:space="preserve"> по данни на </w:t>
      </w:r>
      <w:r w:rsidR="00083C40">
        <w:rPr>
          <w:sz w:val="22"/>
          <w:szCs w:val="22"/>
          <w:lang w:val="bg-BG"/>
        </w:rPr>
        <w:t>Евростат</w:t>
      </w:r>
      <w:r w:rsidRPr="00BC513A">
        <w:rPr>
          <w:sz w:val="22"/>
          <w:szCs w:val="22"/>
          <w:lang w:val="bg-BG"/>
        </w:rPr>
        <w:t xml:space="preserve"> достига 1</w:t>
      </w:r>
      <w:r w:rsidR="00083C40">
        <w:rPr>
          <w:sz w:val="22"/>
          <w:szCs w:val="22"/>
          <w:lang w:val="en-US"/>
        </w:rPr>
        <w:t>8</w:t>
      </w:r>
      <w:r w:rsidRPr="00BC513A">
        <w:rPr>
          <w:sz w:val="22"/>
          <w:szCs w:val="22"/>
          <w:lang w:val="bg-BG"/>
        </w:rPr>
        <w:t>,</w:t>
      </w:r>
      <w:r w:rsidR="00083C40">
        <w:rPr>
          <w:sz w:val="22"/>
          <w:szCs w:val="22"/>
          <w:lang w:val="en-US"/>
        </w:rPr>
        <w:t>3</w:t>
      </w:r>
      <w:r w:rsidRPr="00BC513A">
        <w:rPr>
          <w:sz w:val="22"/>
          <w:szCs w:val="22"/>
          <w:lang w:val="bg-BG"/>
        </w:rPr>
        <w:t xml:space="preserve"> ха</w:t>
      </w:r>
      <w:r w:rsidR="00EC0171">
        <w:rPr>
          <w:sz w:val="22"/>
          <w:szCs w:val="22"/>
          <w:lang w:val="en-US"/>
        </w:rPr>
        <w:t xml:space="preserve"> </w:t>
      </w:r>
      <w:r w:rsidR="00083C40">
        <w:rPr>
          <w:sz w:val="22"/>
          <w:szCs w:val="22"/>
          <w:lang w:val="bg-BG"/>
        </w:rPr>
        <w:t>с включена земята за общ</w:t>
      </w:r>
      <w:r w:rsidR="00AB2B2B">
        <w:rPr>
          <w:sz w:val="22"/>
          <w:szCs w:val="22"/>
          <w:lang w:val="bg-BG"/>
        </w:rPr>
        <w:t>о</w:t>
      </w:r>
      <w:r w:rsidR="00083C40">
        <w:rPr>
          <w:sz w:val="22"/>
          <w:szCs w:val="22"/>
          <w:lang w:val="bg-BG"/>
        </w:rPr>
        <w:t xml:space="preserve"> ползване</w:t>
      </w:r>
      <w:r w:rsidRPr="00BC513A">
        <w:rPr>
          <w:sz w:val="22"/>
          <w:szCs w:val="22"/>
          <w:lang w:val="bg-BG"/>
        </w:rPr>
        <w:t>. Увеличаване</w:t>
      </w:r>
      <w:r w:rsidR="0014225E">
        <w:rPr>
          <w:sz w:val="22"/>
          <w:szCs w:val="22"/>
          <w:lang w:val="bg-BG"/>
        </w:rPr>
        <w:t>то на</w:t>
      </w:r>
      <w:r w:rsidRPr="00BC513A">
        <w:rPr>
          <w:sz w:val="22"/>
          <w:szCs w:val="22"/>
          <w:lang w:val="bg-BG"/>
        </w:rPr>
        <w:t xml:space="preserve"> концентрацията на земя в стопанствата </w:t>
      </w:r>
      <w:r w:rsidR="00083C40">
        <w:rPr>
          <w:sz w:val="22"/>
          <w:szCs w:val="22"/>
          <w:lang w:val="bg-BG"/>
        </w:rPr>
        <w:t>изравнява</w:t>
      </w:r>
      <w:r w:rsidR="00083C40" w:rsidRPr="00BC513A">
        <w:rPr>
          <w:sz w:val="22"/>
          <w:szCs w:val="22"/>
          <w:lang w:val="bg-BG"/>
        </w:rPr>
        <w:t xml:space="preserve"> </w:t>
      </w:r>
      <w:r w:rsidRPr="00BC513A">
        <w:rPr>
          <w:sz w:val="22"/>
          <w:szCs w:val="22"/>
          <w:lang w:val="bg-BG"/>
        </w:rPr>
        <w:t>българското земеделие до средните европейски равнища (</w:t>
      </w:r>
      <w:r w:rsidRPr="00083C40">
        <w:rPr>
          <w:sz w:val="22"/>
          <w:szCs w:val="22"/>
          <w:lang w:val="bg-BG"/>
        </w:rPr>
        <w:t>16,1</w:t>
      </w:r>
      <w:r w:rsidRPr="00BC513A">
        <w:rPr>
          <w:sz w:val="22"/>
          <w:szCs w:val="22"/>
          <w:lang w:val="bg-BG"/>
        </w:rPr>
        <w:t xml:space="preserve"> ха за ЕС през 2013 г.).</w:t>
      </w:r>
    </w:p>
    <w:p w14:paraId="62626F75"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Брутообразуването на основен капитал в селското стопанство нараства и основна заслуга за това повишение имат мерките по </w:t>
      </w:r>
      <w:r w:rsidR="000F57E9">
        <w:rPr>
          <w:sz w:val="22"/>
          <w:szCs w:val="22"/>
          <w:lang w:val="bg-BG"/>
        </w:rPr>
        <w:t>п</w:t>
      </w:r>
      <w:r w:rsidRPr="00BC513A">
        <w:rPr>
          <w:sz w:val="22"/>
          <w:szCs w:val="22"/>
          <w:lang w:val="bg-BG"/>
        </w:rPr>
        <w:t>рограмата. Създаването на основен капитал в земеделието възлиза на над 3,2 млрд.</w:t>
      </w:r>
      <w:r w:rsidR="0014225E">
        <w:rPr>
          <w:sz w:val="22"/>
          <w:szCs w:val="22"/>
          <w:lang w:val="bg-BG"/>
        </w:rPr>
        <w:t xml:space="preserve"> </w:t>
      </w:r>
      <w:r w:rsidRPr="00BC513A">
        <w:rPr>
          <w:sz w:val="22"/>
          <w:szCs w:val="22"/>
          <w:lang w:val="bg-BG"/>
        </w:rPr>
        <w:t xml:space="preserve">лв. През целия програмен период мерките от ос 1 допринасят за почти 90% от инвестициите в българското земеделие. През последните 3 години (2013-2015 г.) факторната доходност към постоянния капитал в България е 4,9%, докато в ЕС е 2,4%, което свидетелства за по-високата ефективност на използването на тези активи. </w:t>
      </w:r>
    </w:p>
    <w:p w14:paraId="755AB737"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Негативните процеси, които се наблюдават през разглеждания период, при основния капитал са свързани с намаляване на инвестициите в преки производствени активи (живи животни и насаждения) и увеличаване на инвестициите в непроизводствени активи. Това е неблагоприятно и вероятно е една от причините да отчитаме подобрение на ефективността и производителността в земеделието, но в същото време изоставане при добавената стойност и общата възвращаемост от производството. </w:t>
      </w:r>
    </w:p>
    <w:p w14:paraId="34339F69"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lastRenderedPageBreak/>
        <w:t xml:space="preserve">Наблюдаваното значително покачване на БДС на ГРЕ и на факторния доход от земеделие се дължи основно на І стълб. Това, което </w:t>
      </w:r>
      <w:r w:rsidR="000F57E9">
        <w:rPr>
          <w:sz w:val="22"/>
          <w:szCs w:val="22"/>
          <w:lang w:val="bg-BG"/>
        </w:rPr>
        <w:t>п</w:t>
      </w:r>
      <w:r w:rsidRPr="00BC513A">
        <w:rPr>
          <w:sz w:val="22"/>
          <w:szCs w:val="22"/>
          <w:lang w:val="bg-BG"/>
        </w:rPr>
        <w:t>рограмата е успяла да допринесе в тази посока е да подобри ефективността на подкрепените стопанства, което основно е постигнато чрез по-доброто използване на трудовите ресурси.</w:t>
      </w:r>
    </w:p>
    <w:p w14:paraId="3B773E4F" w14:textId="77777777" w:rsidR="00E8617E" w:rsidRPr="00BC513A" w:rsidRDefault="00E8617E" w:rsidP="00E8617E">
      <w:pPr>
        <w:keepNext/>
        <w:numPr>
          <w:ilvl w:val="0"/>
          <w:numId w:val="18"/>
        </w:numPr>
        <w:spacing w:before="240" w:after="120" w:line="300" w:lineRule="atLeast"/>
        <w:ind w:left="714" w:hanging="357"/>
        <w:jc w:val="both"/>
        <w:rPr>
          <w:rFonts w:ascii="Arial" w:hAnsi="Arial" w:cs="Arial"/>
          <w:color w:val="0070C0"/>
        </w:rPr>
      </w:pPr>
      <w:r w:rsidRPr="00BC513A">
        <w:rPr>
          <w:rFonts w:ascii="Arial" w:hAnsi="Arial" w:cs="Arial"/>
          <w:color w:val="0070C0"/>
        </w:rPr>
        <w:t>До каква степен ПРСР е съпътствала преструктурирането на млечния сектор? (Health Check objective)</w:t>
      </w:r>
    </w:p>
    <w:p w14:paraId="689E3B42" w14:textId="24656F02"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По мярка 121, която основно трябва да подкрепи както модернизацията в селското стопанство, </w:t>
      </w:r>
      <w:r w:rsidR="00A173BA">
        <w:rPr>
          <w:sz w:val="22"/>
          <w:szCs w:val="22"/>
          <w:lang w:val="bg-BG"/>
        </w:rPr>
        <w:t>так</w:t>
      </w:r>
      <w:r w:rsidRPr="00BC513A">
        <w:rPr>
          <w:sz w:val="22"/>
          <w:szCs w:val="22"/>
          <w:lang w:val="bg-BG"/>
        </w:rPr>
        <w:t>а и да съдейства за преструктуриране на чувствителни сектори в българското земеделие, са разписани гарантирани бюджети. Гарантираните бюджети по мярката са 4 и са свързани с насочване на постигане на определено равнище на инвестициите в приоритетни сектори, един от които е за преструктуриране на млечния сектор и отговаряне на европейските стандарти. По този приоритет са заложени цели за постигане на 15% от общите инвестиции в мярката. Изпълнението на тази цел е на ниво от 9%, което показва сериозни проблеми при изпълнение на целта и достигане на желаните равнища. Като цяло по мярката, сектор „Мляко” се нарежда на 2 място след „Полските култури” по получено най-много подпомагане – 18% от публичната помощ и допринася с 16% в осъществените инвестиции. Сектор „Мляко” формира в БДС от земеделие в страната около 10-15%, като потенциалът на този сектор в миналото е бил по-голям. За да се постигне този потенциал е необходимо не просто увеличаване на средствата за сектора, а правилното им разпределение, което е трябвало да стане с подпомагане преструктурирането и модернизирането на по-голяма съвкупност от жизнеспособни стопанства, така както е предвидено при гарантираните бюджети.</w:t>
      </w:r>
    </w:p>
    <w:p w14:paraId="195435A9" w14:textId="5EA09A3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Общо по Мярка 121 в животновъдството са одобрени 1 178 стопанства, а от тях 803 са подпомогнатите стопанства в сектор „Мляко”. Към 2013 г. стопанствата над 1 ИЕ в сектор „Мляко” са около 35 хил. и това показва, че само 3% от млечните стопанства са подпомогнати. По Мярка 112, която е третата по размер на разпределените средства по ос 1, около 4% от проектите са в сектор „Мляко”, а размерът на публичната субсидия представлява 3,6% от цялата публична помощ. Недостатък на изпълнението в посока преструктуриране на млечните стопанства е, че преобладаващата част от подпомогнатите стопанства са такива, които вече са достигнали стандартите и са успели да се установят на пазара, докато болшинството от останалите, чиито проблем</w:t>
      </w:r>
      <w:r w:rsidR="00A173BA">
        <w:rPr>
          <w:sz w:val="22"/>
          <w:szCs w:val="22"/>
          <w:lang w:val="bg-BG"/>
        </w:rPr>
        <w:t>и</w:t>
      </w:r>
      <w:r w:rsidRPr="00BC513A">
        <w:rPr>
          <w:sz w:val="22"/>
          <w:szCs w:val="22"/>
          <w:lang w:val="bg-BG"/>
        </w:rPr>
        <w:t xml:space="preserve"> основно се свежда</w:t>
      </w:r>
      <w:r w:rsidR="00A173BA">
        <w:rPr>
          <w:sz w:val="22"/>
          <w:szCs w:val="22"/>
          <w:lang w:val="bg-BG"/>
        </w:rPr>
        <w:t>т</w:t>
      </w:r>
      <w:r w:rsidRPr="00BC513A">
        <w:rPr>
          <w:sz w:val="22"/>
          <w:szCs w:val="22"/>
          <w:lang w:val="bg-BG"/>
        </w:rPr>
        <w:t xml:space="preserve"> до липса на средства, за да инвестират в обновление</w:t>
      </w:r>
      <w:r w:rsidR="00A173BA">
        <w:rPr>
          <w:sz w:val="22"/>
          <w:szCs w:val="22"/>
          <w:lang w:val="bg-BG"/>
        </w:rPr>
        <w:t>,</w:t>
      </w:r>
      <w:r w:rsidRPr="00BC513A">
        <w:rPr>
          <w:sz w:val="22"/>
          <w:szCs w:val="22"/>
          <w:lang w:val="bg-BG"/>
        </w:rPr>
        <w:t xml:space="preserve"> не са участвали. От една страна това се дължи на липса на проектна готовност от тези ферми, което е било констатирано в процеса на изпълнение на програмата. Имало е нужда от допълнителни усилия за преодоляване на трудностите в постигане на поставените цели. Подобно на работата по Мярка 143 за предоставяне на комплексни съветнически услуги е можело например, да се използват допълнителни консултации от консултантски компании, които имат необходимия поглед и познаване на състоянието в целевите стопанства и при създаване на необходимата организация е можело да съдействат за привличане на повече проекти за постигане </w:t>
      </w:r>
      <w:r w:rsidR="00A173BA">
        <w:rPr>
          <w:sz w:val="22"/>
          <w:szCs w:val="22"/>
          <w:lang w:val="bg-BG"/>
        </w:rPr>
        <w:t xml:space="preserve">на </w:t>
      </w:r>
      <w:r w:rsidRPr="00BC513A">
        <w:rPr>
          <w:sz w:val="22"/>
          <w:szCs w:val="22"/>
          <w:lang w:val="bg-BG"/>
        </w:rPr>
        <w:t>по-добър резултат.</w:t>
      </w:r>
    </w:p>
    <w:p w14:paraId="4E9B5056" w14:textId="70FAE2F9"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 мярка 123, включително чрез допълнителната подкрепа за сектор „Мляко“</w:t>
      </w:r>
      <w:r w:rsidR="00A173BA">
        <w:rPr>
          <w:sz w:val="22"/>
          <w:szCs w:val="22"/>
          <w:lang w:val="bg-BG"/>
        </w:rPr>
        <w:t>,</w:t>
      </w:r>
      <w:r w:rsidRPr="00BC513A">
        <w:rPr>
          <w:sz w:val="22"/>
          <w:szCs w:val="22"/>
          <w:lang w:val="bg-BG"/>
        </w:rPr>
        <w:t xml:space="preserve"> са подкрепени 50 предприятия, а делът на инвестициите в сектора от общите </w:t>
      </w:r>
      <w:r w:rsidRPr="00BC513A">
        <w:rPr>
          <w:sz w:val="22"/>
          <w:szCs w:val="22"/>
          <w:lang w:val="bg-BG"/>
        </w:rPr>
        <w:lastRenderedPageBreak/>
        <w:t xml:space="preserve">инвестиции по мярката възлиза на 8%. Секторът се нарежда на </w:t>
      </w:r>
      <w:r w:rsidR="00AE71CA" w:rsidRPr="00BC513A">
        <w:rPr>
          <w:sz w:val="22"/>
          <w:szCs w:val="22"/>
          <w:lang w:val="bg-BG"/>
        </w:rPr>
        <w:t>четвърто</w:t>
      </w:r>
      <w:r w:rsidRPr="00BC513A">
        <w:rPr>
          <w:sz w:val="22"/>
          <w:szCs w:val="22"/>
          <w:lang w:val="bg-BG"/>
        </w:rPr>
        <w:t xml:space="preserve"> място по брой подкрепени предприятия (след „Зърнени храни и мелничарски продукти“, „Плодове и зеленчуци“ и „Вино“) и на седмо </w:t>
      </w:r>
      <w:r w:rsidR="00A173BA">
        <w:rPr>
          <w:sz w:val="22"/>
          <w:szCs w:val="22"/>
          <w:lang w:val="bg-BG"/>
        </w:rPr>
        <w:t>–</w:t>
      </w:r>
      <w:r w:rsidRPr="00BC513A">
        <w:rPr>
          <w:sz w:val="22"/>
          <w:szCs w:val="22"/>
          <w:lang w:val="bg-BG"/>
        </w:rPr>
        <w:t xml:space="preserve"> по отношение на дял на </w:t>
      </w:r>
      <w:r w:rsidR="00AE71CA" w:rsidRPr="00BC513A">
        <w:rPr>
          <w:sz w:val="22"/>
          <w:szCs w:val="22"/>
          <w:lang w:val="bg-BG"/>
        </w:rPr>
        <w:t>инвестициите</w:t>
      </w:r>
      <w:r w:rsidRPr="00BC513A">
        <w:rPr>
          <w:sz w:val="22"/>
          <w:szCs w:val="22"/>
          <w:lang w:val="bg-BG"/>
        </w:rPr>
        <w:t>. В резултат на подкрепата се забелязва увеличение в произвежданата продукция на мляко и млечни продукти. Сектор „Мляко” остава критичен на равнище първично производство, а не на ниво преработка. Дори напротив, в страната има твърде много млекопреработвателни предприятия, които страдат от занижена ефективност заради липсата на достатъчно суровина и пазар на своята продукция. Подкрепата в това направление трябва да бъде по-добре преценена с оглед на устойчивостта и жизнеспособността на предприятията по-скоро</w:t>
      </w:r>
      <w:r w:rsidR="00A173BA">
        <w:rPr>
          <w:sz w:val="22"/>
          <w:szCs w:val="22"/>
          <w:lang w:val="bg-BG"/>
        </w:rPr>
        <w:t>,</w:t>
      </w:r>
      <w:r w:rsidRPr="00BC513A">
        <w:rPr>
          <w:sz w:val="22"/>
          <w:szCs w:val="22"/>
          <w:lang w:val="bg-BG"/>
        </w:rPr>
        <w:t xml:space="preserve"> отколкото да се търси по-висок интензитет на подкрепа.</w:t>
      </w:r>
    </w:p>
    <w:p w14:paraId="3765D912" w14:textId="77777777" w:rsidR="00E8617E" w:rsidRPr="00BC513A" w:rsidRDefault="00E8617E" w:rsidP="00E8617E">
      <w:pPr>
        <w:keepNext/>
        <w:numPr>
          <w:ilvl w:val="0"/>
          <w:numId w:val="18"/>
        </w:numPr>
        <w:spacing w:before="240" w:after="120" w:line="300" w:lineRule="atLeast"/>
        <w:ind w:left="714" w:hanging="357"/>
        <w:jc w:val="both"/>
        <w:rPr>
          <w:rFonts w:ascii="Arial" w:hAnsi="Arial" w:cs="Arial"/>
          <w:color w:val="0070C0"/>
        </w:rPr>
      </w:pPr>
      <w:r w:rsidRPr="00BC513A">
        <w:rPr>
          <w:rFonts w:ascii="Arial" w:hAnsi="Arial" w:cs="Arial"/>
          <w:color w:val="0070C0"/>
        </w:rPr>
        <w:t>Как и до каква степен съответната мярка е допринесла за подобряване на конкурентоспособността на бенефициентите?</w:t>
      </w:r>
    </w:p>
    <w:p w14:paraId="59455B9B"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Първоначално заложения</w:t>
      </w:r>
      <w:r w:rsidR="00A173BA">
        <w:rPr>
          <w:sz w:val="22"/>
          <w:szCs w:val="22"/>
          <w:lang w:val="bg-BG"/>
        </w:rPr>
        <w:t>т</w:t>
      </w:r>
      <w:r w:rsidRPr="00BC513A">
        <w:rPr>
          <w:sz w:val="22"/>
          <w:szCs w:val="22"/>
          <w:lang w:val="bg-BG"/>
        </w:rPr>
        <w:t xml:space="preserve"> бюджет по ос 1 при официалното одобрение на </w:t>
      </w:r>
      <w:r w:rsidR="000F57E9">
        <w:rPr>
          <w:sz w:val="22"/>
          <w:szCs w:val="22"/>
          <w:lang w:val="bg-BG"/>
        </w:rPr>
        <w:t>п</w:t>
      </w:r>
      <w:r w:rsidRPr="00BC513A">
        <w:rPr>
          <w:sz w:val="22"/>
          <w:szCs w:val="22"/>
          <w:lang w:val="bg-BG"/>
        </w:rPr>
        <w:t xml:space="preserve">рограмата от ЕК възлиза на 1 204 866 983 евро общо публични средства. Окончателният финансов план и разпределение на средствата по ос 1 в края на 2015 година е намален на 929 636 465 евро общо публични средства. Този финален бюджет по ос 1 съставлява 77% от първоначално предвидения, като по време на изпълнение на </w:t>
      </w:r>
      <w:r w:rsidR="000F57E9">
        <w:rPr>
          <w:sz w:val="22"/>
          <w:szCs w:val="22"/>
          <w:lang w:val="bg-BG"/>
        </w:rPr>
        <w:t>п</w:t>
      </w:r>
      <w:r w:rsidRPr="00BC513A">
        <w:rPr>
          <w:sz w:val="22"/>
          <w:szCs w:val="22"/>
          <w:lang w:val="bg-BG"/>
        </w:rPr>
        <w:t>рограмата е направено преструктуриране на финансовия план, посредством пренасочване на средства към други мерки, основно към ос 3 и инструменти, а една част от първоначалния фонд е отписан, заради неусвояване.</w:t>
      </w:r>
    </w:p>
    <w:p w14:paraId="54D841DE" w14:textId="62B8C92D"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Изпълнението на финансовия план спрямо предварително заложения в началото на програмния период е 77%, а спрямо окончателно одобрения след направените нотификации </w:t>
      </w:r>
      <w:r w:rsidR="00A173BA">
        <w:rPr>
          <w:sz w:val="22"/>
          <w:szCs w:val="22"/>
          <w:lang w:val="bg-BG"/>
        </w:rPr>
        <w:t>–</w:t>
      </w:r>
      <w:r w:rsidRPr="00BC513A">
        <w:rPr>
          <w:sz w:val="22"/>
          <w:szCs w:val="22"/>
          <w:lang w:val="bg-BG"/>
        </w:rPr>
        <w:t xml:space="preserve"> 99,5%. Финансовото изпълнение на ос 1, насочена за повишаване конкурентоспособността в българското земеделие</w:t>
      </w:r>
      <w:r w:rsidR="00A173BA">
        <w:rPr>
          <w:sz w:val="22"/>
          <w:szCs w:val="22"/>
          <w:lang w:val="bg-BG"/>
        </w:rPr>
        <w:t>,</w:t>
      </w:r>
      <w:r w:rsidRPr="00BC513A">
        <w:rPr>
          <w:sz w:val="22"/>
          <w:szCs w:val="22"/>
          <w:lang w:val="bg-BG"/>
        </w:rPr>
        <w:t xml:space="preserve"> не е достигнато в пълна степен, като някои от замислените и важни за земеделския отрасъл мерки, предназначени за подкрепа на хидромелиоративните дейности в земеделието и за създаване на нови продукти и технологии</w:t>
      </w:r>
      <w:r w:rsidR="00A173BA">
        <w:rPr>
          <w:sz w:val="22"/>
          <w:szCs w:val="22"/>
          <w:lang w:val="bg-BG"/>
        </w:rPr>
        <w:t>,</w:t>
      </w:r>
      <w:r w:rsidRPr="00BC513A">
        <w:rPr>
          <w:sz w:val="22"/>
          <w:szCs w:val="22"/>
          <w:lang w:val="bg-BG"/>
        </w:rPr>
        <w:t xml:space="preserve"> не стартират. Това определено се явява слабост в прилагането на </w:t>
      </w:r>
      <w:r w:rsidR="000F57E9">
        <w:rPr>
          <w:sz w:val="22"/>
          <w:szCs w:val="22"/>
          <w:lang w:val="bg-BG"/>
        </w:rPr>
        <w:t>п</w:t>
      </w:r>
      <w:r w:rsidRPr="00BC513A">
        <w:rPr>
          <w:sz w:val="22"/>
          <w:szCs w:val="22"/>
          <w:lang w:val="bg-BG"/>
        </w:rPr>
        <w:t xml:space="preserve">рограмата, където едно от основните предизвикателства е свързана с ниската продуктивност както в животновъдството, така и в растениевъдството, и по специално в интензивните подотрасли. Тези слабости при изпълнението на </w:t>
      </w:r>
      <w:r w:rsidR="000F57E9">
        <w:rPr>
          <w:sz w:val="22"/>
          <w:szCs w:val="22"/>
          <w:lang w:val="bg-BG"/>
        </w:rPr>
        <w:t>п</w:t>
      </w:r>
      <w:r w:rsidRPr="00BC513A">
        <w:rPr>
          <w:sz w:val="22"/>
          <w:szCs w:val="22"/>
          <w:lang w:val="bg-BG"/>
        </w:rPr>
        <w:t>рограмата не успяват да бъдат достатъчно адресирани.</w:t>
      </w:r>
    </w:p>
    <w:p w14:paraId="0763C575" w14:textId="2D33734A"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 ос 1 в програмния период са изпълнявани 9 мерки, като се забелязва силна концентрация на бюджети по две от тях: Мярка 121 и Мярка 123, които общо формират около 81% от общо разплатените публични средства. В първоначалния бюджет на оста, тези две мерки също са доминиращи, което е напълно естествено с оглед на нуждите и очакванията на бенефициентите, но техният дял в общия бюджет е бил 59%. Концентрация на финансови средства по тези две марки, като в същото време не са изпълнени част от целите за подпомогнати бенефициенти (по мярка 121 изпълнението е 86%, а по Мярка 123 е 73%)</w:t>
      </w:r>
      <w:r w:rsidR="00A173BA">
        <w:rPr>
          <w:sz w:val="22"/>
          <w:szCs w:val="22"/>
          <w:lang w:val="bg-BG"/>
        </w:rPr>
        <w:t>,</w:t>
      </w:r>
      <w:r w:rsidRPr="00BC513A">
        <w:rPr>
          <w:sz w:val="22"/>
          <w:szCs w:val="22"/>
          <w:lang w:val="bg-BG"/>
        </w:rPr>
        <w:t xml:space="preserve"> не допринася достатъчно за по-балансираното разпределение на ресурсите и на формираната добавена стойност.</w:t>
      </w:r>
    </w:p>
    <w:p w14:paraId="199ACAE2" w14:textId="3EFD838C" w:rsidR="007E66D6" w:rsidRDefault="007E66D6" w:rsidP="00E8617E">
      <w:pPr>
        <w:pStyle w:val="DefaultText"/>
        <w:spacing w:after="120" w:line="300" w:lineRule="atLeast"/>
        <w:ind w:firstLine="708"/>
        <w:rPr>
          <w:sz w:val="22"/>
          <w:szCs w:val="22"/>
          <w:lang w:val="bg-BG"/>
        </w:rPr>
      </w:pPr>
      <w:r w:rsidRPr="00AB2B2B">
        <w:rPr>
          <w:sz w:val="22"/>
          <w:szCs w:val="22"/>
          <w:lang w:val="bg-BG"/>
        </w:rPr>
        <w:t>Трябва да се отчете също, че преди програмния период</w:t>
      </w:r>
      <w:r w:rsidR="003A0F89">
        <w:rPr>
          <w:sz w:val="22"/>
          <w:szCs w:val="22"/>
          <w:lang w:val="bg-BG"/>
        </w:rPr>
        <w:t>,</w:t>
      </w:r>
      <w:r w:rsidRPr="00AB2B2B">
        <w:rPr>
          <w:sz w:val="22"/>
          <w:szCs w:val="22"/>
          <w:lang w:val="bg-BG"/>
        </w:rPr>
        <w:t xml:space="preserve"> през 2007 г. най-големите около 1,6 хил. стопанства с икономически размер над 100 ик.ед.</w:t>
      </w:r>
      <w:r w:rsidR="00BC7BC0" w:rsidRPr="00AB2B2B">
        <w:rPr>
          <w:sz w:val="22"/>
          <w:szCs w:val="22"/>
          <w:lang w:val="bg-BG"/>
        </w:rPr>
        <w:t xml:space="preserve"> </w:t>
      </w:r>
      <w:r w:rsidRPr="00AB2B2B">
        <w:rPr>
          <w:sz w:val="22"/>
          <w:szCs w:val="22"/>
          <w:lang w:val="bg-BG"/>
        </w:rPr>
        <w:t xml:space="preserve">(1 ик.ед. = 1 200 евро) са формирали около 68% от общата стандартна </w:t>
      </w:r>
      <w:r w:rsidR="00AB2B2B" w:rsidRPr="00AB2B2B">
        <w:rPr>
          <w:sz w:val="22"/>
          <w:szCs w:val="22"/>
          <w:lang w:val="bg-BG"/>
        </w:rPr>
        <w:t>икономическа продукция</w:t>
      </w:r>
      <w:r w:rsidRPr="00AB2B2B">
        <w:rPr>
          <w:sz w:val="22"/>
          <w:szCs w:val="22"/>
          <w:lang w:val="bg-BG"/>
        </w:rPr>
        <w:t xml:space="preserve"> в </w:t>
      </w:r>
      <w:r w:rsidRPr="00AB2B2B">
        <w:rPr>
          <w:sz w:val="22"/>
          <w:szCs w:val="22"/>
          <w:lang w:val="bg-BG"/>
        </w:rPr>
        <w:lastRenderedPageBreak/>
        <w:t>българското земеделие, а през 2013 г. – около 4,8 хил. стопанства с икономически размер над 100 000 евро отчитат 53% от стандартния производствен обем (стандартната продукция)</w:t>
      </w:r>
      <w:r w:rsidR="00E8617E" w:rsidRPr="00BC513A">
        <w:rPr>
          <w:sz w:val="22"/>
          <w:szCs w:val="22"/>
          <w:lang w:val="bg-BG"/>
        </w:rPr>
        <w:t>.</w:t>
      </w:r>
    </w:p>
    <w:p w14:paraId="62660E7A" w14:textId="1EAC761E"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Това показва, че средните и по-малки стопанства се развиват и увеличават своя пазарен дял, което до известна степен е подкрепено от изпълнението на ос 1. В същото време  има още по-голяма нужда от обхващане на средните и по-малки стопанства, в специализираните и чувствителни сектори и в секторите, ангажиращи млади хора. От анализа се вижда, че подкрепените по мерките стопанства успяват в голяма степен да постигнат добри резултати, да разширят своя производствен капацитет, да повишат своята ефективност и оттам да подобрят конкурентоспособността, което им дава предимства пред останалите.</w:t>
      </w:r>
    </w:p>
    <w:p w14:paraId="00463804" w14:textId="77777777" w:rsidR="00E8617E" w:rsidRPr="00BC513A" w:rsidRDefault="00E8617E" w:rsidP="00E8617E">
      <w:pPr>
        <w:pStyle w:val="DefaultText"/>
        <w:keepNext/>
        <w:spacing w:before="240" w:after="120" w:line="300" w:lineRule="atLeast"/>
        <w:ind w:firstLine="709"/>
        <w:rPr>
          <w:i/>
          <w:szCs w:val="22"/>
          <w:lang w:val="bg-BG"/>
        </w:rPr>
      </w:pPr>
      <w:r w:rsidRPr="00BC513A">
        <w:rPr>
          <w:i/>
          <w:sz w:val="22"/>
          <w:szCs w:val="22"/>
          <w:lang w:val="bg-BG"/>
        </w:rPr>
        <w:t>111. Професионално обучение, информационни дейности и разпространение на научни знания"</w:t>
      </w:r>
    </w:p>
    <w:p w14:paraId="20DF8ED4" w14:textId="02BF56C2"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 xml:space="preserve">Мярка 111 е сред първите мерки стартирали в ПРСР 2007-2013 с официален старт </w:t>
      </w:r>
      <w:r w:rsidR="00A173BA">
        <w:rPr>
          <w:rFonts w:ascii="Arial" w:hAnsi="Arial" w:cs="Arial"/>
        </w:rPr>
        <w:t xml:space="preserve">на </w:t>
      </w:r>
      <w:r w:rsidRPr="00BC513A">
        <w:rPr>
          <w:rFonts w:ascii="Arial" w:hAnsi="Arial" w:cs="Arial"/>
        </w:rPr>
        <w:t xml:space="preserve">01.08.2008 г. Първоначалният бюджет на мярката и общата публичната подкрепа възлиза на 42 170 343 евро, което съставлява 3,5% от целия приет бюджет на ос 1. В хода на прилагане на мярката настъпва четирикратно редуциране на бюджета, което основно се дължи на значителното първоначално надценяване на бюджета. </w:t>
      </w:r>
    </w:p>
    <w:p w14:paraId="3B771649" w14:textId="77777777" w:rsidR="00E8617E" w:rsidRPr="00BC513A" w:rsidRDefault="00E8617E" w:rsidP="00E8617E">
      <w:pPr>
        <w:spacing w:before="120" w:after="0" w:line="300" w:lineRule="atLeast"/>
        <w:ind w:firstLine="708"/>
        <w:jc w:val="both"/>
        <w:rPr>
          <w:rFonts w:ascii="Arial" w:hAnsi="Arial" w:cs="Arial"/>
        </w:rPr>
      </w:pPr>
      <w:bookmarkStart w:id="90" w:name="_Toc391899877"/>
      <w:r w:rsidRPr="00BC513A">
        <w:rPr>
          <w:rFonts w:ascii="Arial" w:hAnsi="Arial" w:cs="Arial"/>
        </w:rPr>
        <w:t>Това разминаване в планирания и реално използван бюджет по мярката идва на фона на одобрени в периода до 2011 г. на общо 107 заявления с общо публични разходи 15 млн. евро, което показва, че е съществувал първоначален интерес, но е липсвала готовност на земеделските производители и капацитет на предоставящите обучение за прилагане на мярката. Земеделските производители са предпочитали обучение на място и трудно са заделяли 2-3 дена, през които да отсъстват от стопанствата и да присъстват на обучение.</w:t>
      </w:r>
    </w:p>
    <w:p w14:paraId="629ECA61" w14:textId="77777777" w:rsidR="00E8617E" w:rsidRPr="00BC513A" w:rsidRDefault="00E8617E" w:rsidP="00E8617E">
      <w:pPr>
        <w:pStyle w:val="DefaultText"/>
        <w:keepNext/>
        <w:spacing w:before="240"/>
        <w:rPr>
          <w:b/>
          <w:sz w:val="22"/>
          <w:szCs w:val="22"/>
          <w:lang w:val="bg-BG"/>
        </w:rPr>
      </w:pPr>
      <w:bookmarkStart w:id="91" w:name="_Toc504136195"/>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23</w:t>
      </w:r>
      <w:r w:rsidRPr="00BC513A">
        <w:rPr>
          <w:rFonts w:cs="Arial"/>
          <w:b/>
          <w:color w:val="0070C0"/>
          <w:sz w:val="20"/>
          <w:szCs w:val="20"/>
          <w:lang w:val="bg-BG"/>
        </w:rPr>
        <w:fldChar w:fldCharType="end"/>
      </w:r>
      <w:r w:rsidRPr="00BC513A">
        <w:rPr>
          <w:rFonts w:cs="Arial"/>
          <w:b/>
          <w:color w:val="0070C0"/>
          <w:sz w:val="20"/>
          <w:szCs w:val="20"/>
          <w:lang w:val="bg-BG"/>
        </w:rPr>
        <w:t>.</w:t>
      </w:r>
      <w:r w:rsidRPr="00BC513A">
        <w:rPr>
          <w:rFonts w:cs="Arial"/>
          <w:b/>
          <w:i/>
          <w:color w:val="0070C0"/>
          <w:sz w:val="20"/>
          <w:szCs w:val="20"/>
          <w:lang w:val="bg-BG"/>
        </w:rPr>
        <w:t xml:space="preserve"> </w:t>
      </w:r>
      <w:r w:rsidRPr="00BC513A">
        <w:rPr>
          <w:rFonts w:cs="Arial"/>
          <w:b/>
          <w:color w:val="0070C0"/>
          <w:sz w:val="20"/>
          <w:szCs w:val="20"/>
          <w:lang w:val="bg-BG"/>
        </w:rPr>
        <w:t>Подадени, одобрени, изпълнени и изплатени публични средства по мярка 111 към 31.12.2015 г.</w:t>
      </w:r>
      <w:bookmarkEnd w:id="91"/>
    </w:p>
    <w:tbl>
      <w:tblPr>
        <w:tblW w:w="49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063"/>
        <w:gridCol w:w="850"/>
        <w:gridCol w:w="1276"/>
        <w:gridCol w:w="850"/>
        <w:gridCol w:w="1276"/>
        <w:gridCol w:w="850"/>
        <w:gridCol w:w="1276"/>
        <w:gridCol w:w="1700"/>
      </w:tblGrid>
      <w:tr w:rsidR="00E8617E" w:rsidRPr="00BC513A" w14:paraId="1B30E6AD" w14:textId="77777777" w:rsidTr="00922731">
        <w:trPr>
          <w:trHeight w:val="315"/>
        </w:trPr>
        <w:tc>
          <w:tcPr>
            <w:tcW w:w="581" w:type="pct"/>
            <w:vMerge w:val="restart"/>
            <w:shd w:val="clear" w:color="auto" w:fill="1F4E79" w:themeFill="accent1" w:themeFillShade="80"/>
            <w:vAlign w:val="center"/>
            <w:hideMark/>
          </w:tcPr>
          <w:p w14:paraId="00C6DF9B" w14:textId="77777777" w:rsidR="00E8617E" w:rsidRPr="00BC513A" w:rsidRDefault="00BC7D66" w:rsidP="00922731">
            <w:pPr>
              <w:spacing w:after="0" w:line="240" w:lineRule="auto"/>
              <w:jc w:val="center"/>
              <w:rPr>
                <w:rFonts w:ascii="Arial" w:eastAsia="Times New Roman" w:hAnsi="Arial" w:cs="Arial"/>
                <w:b/>
                <w:bCs/>
                <w:color w:val="FFFFFF" w:themeColor="background1"/>
                <w:sz w:val="20"/>
                <w:szCs w:val="20"/>
                <w:lang w:eastAsia="bg-BG"/>
              </w:rPr>
            </w:pPr>
            <w:r>
              <w:rPr>
                <w:rFonts w:ascii="Arial" w:eastAsia="Times New Roman" w:hAnsi="Arial" w:cs="Arial"/>
                <w:b/>
                <w:bCs/>
                <w:color w:val="FFFFFF" w:themeColor="background1"/>
                <w:sz w:val="20"/>
                <w:szCs w:val="20"/>
                <w:lang w:eastAsia="bg-BG"/>
              </w:rPr>
              <w:t>П</w:t>
            </w:r>
            <w:r w:rsidR="00E8617E" w:rsidRPr="00BC513A">
              <w:rPr>
                <w:rFonts w:ascii="Arial" w:eastAsia="Times New Roman" w:hAnsi="Arial" w:cs="Arial"/>
                <w:b/>
                <w:bCs/>
                <w:color w:val="FFFFFF" w:themeColor="background1"/>
                <w:sz w:val="20"/>
                <w:szCs w:val="20"/>
                <w:lang w:eastAsia="bg-BG"/>
              </w:rPr>
              <w:t>ериод</w:t>
            </w:r>
          </w:p>
        </w:tc>
        <w:tc>
          <w:tcPr>
            <w:tcW w:w="1163" w:type="pct"/>
            <w:gridSpan w:val="2"/>
            <w:shd w:val="clear" w:color="auto" w:fill="1F4E79" w:themeFill="accent1" w:themeFillShade="80"/>
            <w:vAlign w:val="center"/>
            <w:hideMark/>
          </w:tcPr>
          <w:p w14:paraId="687CF427" w14:textId="77777777" w:rsidR="00E8617E" w:rsidRPr="00BC513A" w:rsidRDefault="00BC7D66" w:rsidP="00922731">
            <w:pPr>
              <w:spacing w:after="0" w:line="240" w:lineRule="auto"/>
              <w:jc w:val="center"/>
              <w:rPr>
                <w:rFonts w:ascii="Arial" w:eastAsia="Times New Roman" w:hAnsi="Arial" w:cs="Arial"/>
                <w:b/>
                <w:bCs/>
                <w:color w:val="FFFFFF" w:themeColor="background1"/>
                <w:sz w:val="20"/>
                <w:szCs w:val="20"/>
                <w:lang w:eastAsia="bg-BG"/>
              </w:rPr>
            </w:pPr>
            <w:r>
              <w:rPr>
                <w:rFonts w:ascii="Arial" w:eastAsia="Times New Roman" w:hAnsi="Arial" w:cs="Arial"/>
                <w:b/>
                <w:bCs/>
                <w:color w:val="FFFFFF" w:themeColor="background1"/>
                <w:sz w:val="20"/>
                <w:szCs w:val="20"/>
                <w:lang w:eastAsia="bg-BG"/>
              </w:rPr>
              <w:t>П</w:t>
            </w:r>
            <w:r w:rsidR="00E8617E" w:rsidRPr="00BC513A">
              <w:rPr>
                <w:rFonts w:ascii="Arial" w:eastAsia="Times New Roman" w:hAnsi="Arial" w:cs="Arial"/>
                <w:b/>
                <w:bCs/>
                <w:color w:val="FFFFFF" w:themeColor="background1"/>
                <w:sz w:val="20"/>
                <w:szCs w:val="20"/>
                <w:lang w:eastAsia="bg-BG"/>
              </w:rPr>
              <w:t>остъпили заявления</w:t>
            </w:r>
          </w:p>
        </w:tc>
        <w:tc>
          <w:tcPr>
            <w:tcW w:w="1163" w:type="pct"/>
            <w:gridSpan w:val="2"/>
            <w:shd w:val="clear" w:color="auto" w:fill="1F4E79" w:themeFill="accent1" w:themeFillShade="80"/>
            <w:vAlign w:val="center"/>
            <w:hideMark/>
          </w:tcPr>
          <w:p w14:paraId="1CAF7AE0" w14:textId="77777777" w:rsidR="00E8617E" w:rsidRPr="00BC513A" w:rsidRDefault="00BC7D66" w:rsidP="00922731">
            <w:pPr>
              <w:spacing w:after="0" w:line="240" w:lineRule="auto"/>
              <w:jc w:val="center"/>
              <w:rPr>
                <w:rFonts w:ascii="Arial" w:eastAsia="Times New Roman" w:hAnsi="Arial" w:cs="Arial"/>
                <w:b/>
                <w:bCs/>
                <w:color w:val="FFFFFF" w:themeColor="background1"/>
                <w:sz w:val="20"/>
                <w:szCs w:val="20"/>
                <w:lang w:eastAsia="bg-BG"/>
              </w:rPr>
            </w:pPr>
            <w:r>
              <w:rPr>
                <w:rFonts w:ascii="Arial" w:eastAsia="Times New Roman" w:hAnsi="Arial" w:cs="Arial"/>
                <w:b/>
                <w:bCs/>
                <w:color w:val="FFFFFF" w:themeColor="background1"/>
                <w:sz w:val="20"/>
                <w:szCs w:val="20"/>
                <w:lang w:eastAsia="bg-BG"/>
              </w:rPr>
              <w:t>О</w:t>
            </w:r>
            <w:r w:rsidR="00E8617E" w:rsidRPr="00BC513A">
              <w:rPr>
                <w:rFonts w:ascii="Arial" w:eastAsia="Times New Roman" w:hAnsi="Arial" w:cs="Arial"/>
                <w:b/>
                <w:bCs/>
                <w:color w:val="FFFFFF" w:themeColor="background1"/>
                <w:sz w:val="20"/>
                <w:szCs w:val="20"/>
                <w:lang w:eastAsia="bg-BG"/>
              </w:rPr>
              <w:t>добрени заявления*</w:t>
            </w:r>
          </w:p>
        </w:tc>
        <w:tc>
          <w:tcPr>
            <w:tcW w:w="1163" w:type="pct"/>
            <w:gridSpan w:val="2"/>
            <w:shd w:val="clear" w:color="auto" w:fill="1F4E79" w:themeFill="accent1" w:themeFillShade="80"/>
            <w:vAlign w:val="center"/>
            <w:hideMark/>
          </w:tcPr>
          <w:p w14:paraId="1309A83D" w14:textId="77777777" w:rsidR="00E8617E" w:rsidRPr="00BC513A" w:rsidRDefault="00BC7D66" w:rsidP="00922731">
            <w:pPr>
              <w:spacing w:after="0" w:line="240" w:lineRule="auto"/>
              <w:jc w:val="center"/>
              <w:rPr>
                <w:rFonts w:ascii="Arial" w:eastAsia="Times New Roman" w:hAnsi="Arial" w:cs="Arial"/>
                <w:b/>
                <w:bCs/>
                <w:color w:val="FFFFFF" w:themeColor="background1"/>
                <w:sz w:val="20"/>
                <w:szCs w:val="20"/>
                <w:lang w:eastAsia="bg-BG"/>
              </w:rPr>
            </w:pPr>
            <w:r>
              <w:rPr>
                <w:rFonts w:ascii="Arial" w:eastAsia="Times New Roman" w:hAnsi="Arial" w:cs="Arial"/>
                <w:b/>
                <w:bCs/>
                <w:color w:val="FFFFFF" w:themeColor="background1"/>
                <w:sz w:val="20"/>
                <w:szCs w:val="20"/>
                <w:lang w:eastAsia="bg-BG"/>
              </w:rPr>
              <w:t>И</w:t>
            </w:r>
            <w:r w:rsidR="00E8617E" w:rsidRPr="00BC513A">
              <w:rPr>
                <w:rFonts w:ascii="Arial" w:eastAsia="Times New Roman" w:hAnsi="Arial" w:cs="Arial"/>
                <w:b/>
                <w:bCs/>
                <w:color w:val="FFFFFF" w:themeColor="background1"/>
                <w:sz w:val="20"/>
                <w:szCs w:val="20"/>
                <w:lang w:eastAsia="bg-BG"/>
              </w:rPr>
              <w:t>зпълнявани договори</w:t>
            </w:r>
          </w:p>
        </w:tc>
        <w:tc>
          <w:tcPr>
            <w:tcW w:w="930" w:type="pct"/>
            <w:shd w:val="clear" w:color="auto" w:fill="1F4E79" w:themeFill="accent1" w:themeFillShade="80"/>
            <w:vAlign w:val="center"/>
            <w:hideMark/>
          </w:tcPr>
          <w:p w14:paraId="7487DCDC" w14:textId="77777777" w:rsidR="00E8617E" w:rsidRPr="00BC513A" w:rsidRDefault="00BC7D66" w:rsidP="00922731">
            <w:pPr>
              <w:spacing w:after="0" w:line="240" w:lineRule="auto"/>
              <w:jc w:val="center"/>
              <w:rPr>
                <w:rFonts w:ascii="Arial" w:eastAsia="Times New Roman" w:hAnsi="Arial" w:cs="Arial"/>
                <w:b/>
                <w:bCs/>
                <w:color w:val="FFFFFF" w:themeColor="background1"/>
                <w:sz w:val="20"/>
                <w:szCs w:val="20"/>
                <w:lang w:eastAsia="bg-BG"/>
              </w:rPr>
            </w:pPr>
            <w:r>
              <w:rPr>
                <w:rFonts w:ascii="Arial" w:eastAsia="Times New Roman" w:hAnsi="Arial" w:cs="Arial"/>
                <w:b/>
                <w:bCs/>
                <w:color w:val="FFFFFF" w:themeColor="background1"/>
                <w:sz w:val="20"/>
                <w:szCs w:val="20"/>
                <w:lang w:eastAsia="bg-BG"/>
              </w:rPr>
              <w:t>Изплатени средства</w:t>
            </w:r>
          </w:p>
        </w:tc>
      </w:tr>
      <w:tr w:rsidR="00E8617E" w:rsidRPr="00BC513A" w14:paraId="6DECC533" w14:textId="77777777" w:rsidTr="00922731">
        <w:trPr>
          <w:trHeight w:val="1128"/>
        </w:trPr>
        <w:tc>
          <w:tcPr>
            <w:tcW w:w="581" w:type="pct"/>
            <w:vMerge/>
            <w:shd w:val="clear" w:color="auto" w:fill="1F4E79" w:themeFill="accent1" w:themeFillShade="80"/>
            <w:vAlign w:val="center"/>
            <w:hideMark/>
          </w:tcPr>
          <w:p w14:paraId="3E0E2CFA" w14:textId="77777777" w:rsidR="00E8617E" w:rsidRPr="00BC513A" w:rsidRDefault="00E8617E" w:rsidP="00922731">
            <w:pPr>
              <w:spacing w:after="0" w:line="240" w:lineRule="auto"/>
              <w:rPr>
                <w:rFonts w:ascii="Arial" w:eastAsia="Times New Roman" w:hAnsi="Arial" w:cs="Arial"/>
                <w:b/>
                <w:bCs/>
                <w:color w:val="FFFFFF" w:themeColor="background1"/>
                <w:sz w:val="20"/>
                <w:szCs w:val="20"/>
                <w:lang w:eastAsia="bg-BG"/>
              </w:rPr>
            </w:pPr>
          </w:p>
        </w:tc>
        <w:tc>
          <w:tcPr>
            <w:tcW w:w="465" w:type="pct"/>
            <w:shd w:val="clear" w:color="auto" w:fill="1F4E79" w:themeFill="accent1" w:themeFillShade="80"/>
            <w:vAlign w:val="center"/>
            <w:hideMark/>
          </w:tcPr>
          <w:p w14:paraId="40E03A2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w:t>
            </w:r>
          </w:p>
        </w:tc>
        <w:tc>
          <w:tcPr>
            <w:tcW w:w="698" w:type="pct"/>
            <w:shd w:val="clear" w:color="auto" w:fill="1F4E79" w:themeFill="accent1" w:themeFillShade="80"/>
            <w:vAlign w:val="center"/>
            <w:hideMark/>
          </w:tcPr>
          <w:p w14:paraId="7523C10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публ. разходи хил. евро</w:t>
            </w:r>
          </w:p>
        </w:tc>
        <w:tc>
          <w:tcPr>
            <w:tcW w:w="465" w:type="pct"/>
            <w:shd w:val="clear" w:color="auto" w:fill="1F4E79" w:themeFill="accent1" w:themeFillShade="80"/>
            <w:vAlign w:val="center"/>
            <w:hideMark/>
          </w:tcPr>
          <w:p w14:paraId="77B0579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w:t>
            </w:r>
          </w:p>
        </w:tc>
        <w:tc>
          <w:tcPr>
            <w:tcW w:w="698" w:type="pct"/>
            <w:shd w:val="clear" w:color="auto" w:fill="1F4E79" w:themeFill="accent1" w:themeFillShade="80"/>
            <w:vAlign w:val="center"/>
            <w:hideMark/>
          </w:tcPr>
          <w:p w14:paraId="431C60F8"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публ. разходи хил. евро</w:t>
            </w:r>
          </w:p>
        </w:tc>
        <w:tc>
          <w:tcPr>
            <w:tcW w:w="465" w:type="pct"/>
            <w:shd w:val="clear" w:color="auto" w:fill="1F4E79" w:themeFill="accent1" w:themeFillShade="80"/>
            <w:vAlign w:val="center"/>
            <w:hideMark/>
          </w:tcPr>
          <w:p w14:paraId="32C0D759"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w:t>
            </w:r>
          </w:p>
        </w:tc>
        <w:tc>
          <w:tcPr>
            <w:tcW w:w="698" w:type="pct"/>
            <w:shd w:val="clear" w:color="auto" w:fill="1F4E79" w:themeFill="accent1" w:themeFillShade="80"/>
            <w:vAlign w:val="center"/>
            <w:hideMark/>
          </w:tcPr>
          <w:p w14:paraId="2B122F39"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искани публ. разходи хил. евро</w:t>
            </w:r>
          </w:p>
        </w:tc>
        <w:tc>
          <w:tcPr>
            <w:tcW w:w="930" w:type="pct"/>
            <w:shd w:val="clear" w:color="auto" w:fill="1F4E79" w:themeFill="accent1" w:themeFillShade="80"/>
            <w:vAlign w:val="center"/>
            <w:hideMark/>
          </w:tcPr>
          <w:p w14:paraId="73AA78E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изплатени публ. разходи хил. евро</w:t>
            </w:r>
          </w:p>
        </w:tc>
      </w:tr>
      <w:tr w:rsidR="00E8617E" w:rsidRPr="00BC513A" w14:paraId="42C14DF0" w14:textId="77777777" w:rsidTr="00922731">
        <w:trPr>
          <w:trHeight w:val="315"/>
        </w:trPr>
        <w:tc>
          <w:tcPr>
            <w:tcW w:w="581" w:type="pct"/>
            <w:shd w:val="clear" w:color="000000" w:fill="FFFFFF"/>
            <w:vAlign w:val="center"/>
            <w:hideMark/>
          </w:tcPr>
          <w:p w14:paraId="2F5637D4"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2008-2011</w:t>
            </w:r>
          </w:p>
        </w:tc>
        <w:tc>
          <w:tcPr>
            <w:tcW w:w="465" w:type="pct"/>
            <w:shd w:val="clear" w:color="000000" w:fill="FFFFFF"/>
            <w:vAlign w:val="center"/>
            <w:hideMark/>
          </w:tcPr>
          <w:p w14:paraId="19A8951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169</w:t>
            </w:r>
          </w:p>
        </w:tc>
        <w:tc>
          <w:tcPr>
            <w:tcW w:w="698" w:type="pct"/>
            <w:shd w:val="clear" w:color="000000" w:fill="FFFFFF"/>
            <w:vAlign w:val="center"/>
            <w:hideMark/>
          </w:tcPr>
          <w:p w14:paraId="736B408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28 538</w:t>
            </w:r>
          </w:p>
        </w:tc>
        <w:tc>
          <w:tcPr>
            <w:tcW w:w="465" w:type="pct"/>
            <w:shd w:val="clear" w:color="000000" w:fill="FFFFFF"/>
            <w:vAlign w:val="center"/>
            <w:hideMark/>
          </w:tcPr>
          <w:p w14:paraId="74968FD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107</w:t>
            </w:r>
          </w:p>
        </w:tc>
        <w:tc>
          <w:tcPr>
            <w:tcW w:w="698" w:type="pct"/>
            <w:shd w:val="clear" w:color="000000" w:fill="FFFFFF"/>
            <w:vAlign w:val="center"/>
            <w:hideMark/>
          </w:tcPr>
          <w:p w14:paraId="4F1847F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15 012</w:t>
            </w:r>
          </w:p>
        </w:tc>
        <w:tc>
          <w:tcPr>
            <w:tcW w:w="465" w:type="pct"/>
            <w:shd w:val="clear" w:color="000000" w:fill="FFFFFF"/>
            <w:vAlign w:val="center"/>
            <w:hideMark/>
          </w:tcPr>
          <w:p w14:paraId="718E0FD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71</w:t>
            </w:r>
          </w:p>
        </w:tc>
        <w:tc>
          <w:tcPr>
            <w:tcW w:w="698" w:type="pct"/>
            <w:shd w:val="clear" w:color="000000" w:fill="FFFFFF"/>
            <w:vAlign w:val="center"/>
            <w:hideMark/>
          </w:tcPr>
          <w:p w14:paraId="7201C87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11 368</w:t>
            </w:r>
          </w:p>
        </w:tc>
        <w:tc>
          <w:tcPr>
            <w:tcW w:w="930" w:type="pct"/>
            <w:shd w:val="clear" w:color="000000" w:fill="FFFFFF"/>
            <w:vAlign w:val="center"/>
            <w:hideMark/>
          </w:tcPr>
          <w:p w14:paraId="4975AED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800</w:t>
            </w:r>
          </w:p>
        </w:tc>
      </w:tr>
      <w:tr w:rsidR="00E8617E" w:rsidRPr="00BC513A" w14:paraId="2CCC0BE0" w14:textId="77777777" w:rsidTr="00922731">
        <w:trPr>
          <w:trHeight w:val="315"/>
        </w:trPr>
        <w:tc>
          <w:tcPr>
            <w:tcW w:w="581" w:type="pct"/>
            <w:shd w:val="clear" w:color="000000" w:fill="FFFFFF"/>
            <w:vAlign w:val="center"/>
            <w:hideMark/>
          </w:tcPr>
          <w:p w14:paraId="0CD7D63E"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2012</w:t>
            </w:r>
          </w:p>
        </w:tc>
        <w:tc>
          <w:tcPr>
            <w:tcW w:w="465" w:type="pct"/>
            <w:shd w:val="clear" w:color="000000" w:fill="FFFFFF"/>
            <w:vAlign w:val="center"/>
            <w:hideMark/>
          </w:tcPr>
          <w:p w14:paraId="4F42CB2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67</w:t>
            </w:r>
          </w:p>
        </w:tc>
        <w:tc>
          <w:tcPr>
            <w:tcW w:w="698" w:type="pct"/>
            <w:shd w:val="clear" w:color="000000" w:fill="FFFFFF"/>
            <w:vAlign w:val="center"/>
            <w:hideMark/>
          </w:tcPr>
          <w:p w14:paraId="5077C38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9 749</w:t>
            </w:r>
          </w:p>
        </w:tc>
        <w:tc>
          <w:tcPr>
            <w:tcW w:w="465" w:type="pct"/>
            <w:shd w:val="clear" w:color="000000" w:fill="FFFFFF"/>
            <w:vAlign w:val="center"/>
            <w:hideMark/>
          </w:tcPr>
          <w:p w14:paraId="1D95B6C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 </w:t>
            </w:r>
          </w:p>
        </w:tc>
        <w:tc>
          <w:tcPr>
            <w:tcW w:w="698" w:type="pct"/>
            <w:shd w:val="clear" w:color="000000" w:fill="FFFFFF"/>
            <w:vAlign w:val="center"/>
            <w:hideMark/>
          </w:tcPr>
          <w:p w14:paraId="1392309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 </w:t>
            </w:r>
          </w:p>
        </w:tc>
        <w:tc>
          <w:tcPr>
            <w:tcW w:w="465" w:type="pct"/>
            <w:shd w:val="clear" w:color="000000" w:fill="FFFFFF"/>
            <w:vAlign w:val="center"/>
            <w:hideMark/>
          </w:tcPr>
          <w:p w14:paraId="6A5DBB3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 </w:t>
            </w:r>
          </w:p>
        </w:tc>
        <w:tc>
          <w:tcPr>
            <w:tcW w:w="698" w:type="pct"/>
            <w:shd w:val="clear" w:color="000000" w:fill="FFFFFF"/>
            <w:vAlign w:val="center"/>
            <w:hideMark/>
          </w:tcPr>
          <w:p w14:paraId="28E4CC1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 </w:t>
            </w:r>
          </w:p>
        </w:tc>
        <w:tc>
          <w:tcPr>
            <w:tcW w:w="930" w:type="pct"/>
            <w:shd w:val="clear" w:color="000000" w:fill="FFFFFF"/>
            <w:vAlign w:val="center"/>
            <w:hideMark/>
          </w:tcPr>
          <w:p w14:paraId="6C77037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2 210</w:t>
            </w:r>
          </w:p>
        </w:tc>
      </w:tr>
      <w:tr w:rsidR="00E8617E" w:rsidRPr="00BC513A" w14:paraId="52208D9C" w14:textId="77777777" w:rsidTr="00922731">
        <w:trPr>
          <w:trHeight w:val="315"/>
        </w:trPr>
        <w:tc>
          <w:tcPr>
            <w:tcW w:w="581" w:type="pct"/>
            <w:shd w:val="clear" w:color="000000" w:fill="FFFFFF"/>
            <w:vAlign w:val="center"/>
            <w:hideMark/>
          </w:tcPr>
          <w:p w14:paraId="2AF053BD"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2013</w:t>
            </w:r>
          </w:p>
        </w:tc>
        <w:tc>
          <w:tcPr>
            <w:tcW w:w="465" w:type="pct"/>
            <w:shd w:val="clear" w:color="000000" w:fill="FFFFFF"/>
            <w:vAlign w:val="center"/>
            <w:hideMark/>
          </w:tcPr>
          <w:p w14:paraId="60C9387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698" w:type="pct"/>
            <w:shd w:val="clear" w:color="000000" w:fill="FFFFFF"/>
            <w:vAlign w:val="center"/>
            <w:hideMark/>
          </w:tcPr>
          <w:p w14:paraId="228775D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 </w:t>
            </w:r>
          </w:p>
        </w:tc>
        <w:tc>
          <w:tcPr>
            <w:tcW w:w="465" w:type="pct"/>
            <w:shd w:val="clear" w:color="000000" w:fill="FFFFFF"/>
            <w:vAlign w:val="center"/>
            <w:hideMark/>
          </w:tcPr>
          <w:p w14:paraId="41C149D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28</w:t>
            </w:r>
          </w:p>
        </w:tc>
        <w:tc>
          <w:tcPr>
            <w:tcW w:w="698" w:type="pct"/>
            <w:shd w:val="clear" w:color="000000" w:fill="FFFFFF"/>
            <w:vAlign w:val="center"/>
            <w:hideMark/>
          </w:tcPr>
          <w:p w14:paraId="2F3AC3E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4 951</w:t>
            </w:r>
          </w:p>
        </w:tc>
        <w:tc>
          <w:tcPr>
            <w:tcW w:w="465" w:type="pct"/>
            <w:shd w:val="clear" w:color="000000" w:fill="FFFFFF"/>
            <w:vAlign w:val="center"/>
            <w:hideMark/>
          </w:tcPr>
          <w:p w14:paraId="7C7A45F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28</w:t>
            </w:r>
          </w:p>
        </w:tc>
        <w:tc>
          <w:tcPr>
            <w:tcW w:w="698" w:type="pct"/>
            <w:shd w:val="clear" w:color="000000" w:fill="FFFFFF"/>
            <w:vAlign w:val="center"/>
            <w:hideMark/>
          </w:tcPr>
          <w:p w14:paraId="79DBE94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4 951</w:t>
            </w:r>
          </w:p>
        </w:tc>
        <w:tc>
          <w:tcPr>
            <w:tcW w:w="930" w:type="pct"/>
            <w:shd w:val="clear" w:color="000000" w:fill="FFFFFF"/>
            <w:vAlign w:val="center"/>
            <w:hideMark/>
          </w:tcPr>
          <w:p w14:paraId="0491381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1 370</w:t>
            </w:r>
          </w:p>
        </w:tc>
      </w:tr>
      <w:tr w:rsidR="00E8617E" w:rsidRPr="00BC513A" w14:paraId="541458E2" w14:textId="77777777" w:rsidTr="00922731">
        <w:trPr>
          <w:trHeight w:val="315"/>
        </w:trPr>
        <w:tc>
          <w:tcPr>
            <w:tcW w:w="581" w:type="pct"/>
            <w:shd w:val="clear" w:color="000000" w:fill="FFFFFF"/>
            <w:vAlign w:val="center"/>
            <w:hideMark/>
          </w:tcPr>
          <w:p w14:paraId="45E584AB"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2014</w:t>
            </w:r>
          </w:p>
        </w:tc>
        <w:tc>
          <w:tcPr>
            <w:tcW w:w="465" w:type="pct"/>
            <w:shd w:val="clear" w:color="000000" w:fill="FFFFFF"/>
            <w:vAlign w:val="center"/>
            <w:hideMark/>
          </w:tcPr>
          <w:p w14:paraId="111F7CA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698" w:type="pct"/>
            <w:shd w:val="clear" w:color="000000" w:fill="FFFFFF"/>
            <w:vAlign w:val="center"/>
            <w:hideMark/>
          </w:tcPr>
          <w:p w14:paraId="7FFDAEB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465" w:type="pct"/>
            <w:shd w:val="clear" w:color="000000" w:fill="FFFFFF"/>
            <w:vAlign w:val="center"/>
            <w:hideMark/>
          </w:tcPr>
          <w:p w14:paraId="4223939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w:t>
            </w:r>
          </w:p>
        </w:tc>
        <w:tc>
          <w:tcPr>
            <w:tcW w:w="698" w:type="pct"/>
            <w:shd w:val="clear" w:color="000000" w:fill="FFFFFF"/>
            <w:vAlign w:val="center"/>
            <w:hideMark/>
          </w:tcPr>
          <w:p w14:paraId="69E1F93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179</w:t>
            </w:r>
          </w:p>
        </w:tc>
        <w:tc>
          <w:tcPr>
            <w:tcW w:w="465" w:type="pct"/>
            <w:shd w:val="clear" w:color="000000" w:fill="FFFFFF"/>
            <w:vAlign w:val="center"/>
            <w:hideMark/>
          </w:tcPr>
          <w:p w14:paraId="1D22D2B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w:t>
            </w:r>
          </w:p>
        </w:tc>
        <w:tc>
          <w:tcPr>
            <w:tcW w:w="698" w:type="pct"/>
            <w:shd w:val="clear" w:color="000000" w:fill="FFFFFF"/>
            <w:vAlign w:val="center"/>
            <w:hideMark/>
          </w:tcPr>
          <w:p w14:paraId="5BFB0D4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179</w:t>
            </w:r>
          </w:p>
        </w:tc>
        <w:tc>
          <w:tcPr>
            <w:tcW w:w="930" w:type="pct"/>
            <w:shd w:val="clear" w:color="000000" w:fill="FFFFFF"/>
            <w:vAlign w:val="center"/>
            <w:hideMark/>
          </w:tcPr>
          <w:p w14:paraId="493A13B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1 030</w:t>
            </w:r>
          </w:p>
        </w:tc>
      </w:tr>
      <w:tr w:rsidR="00E8617E" w:rsidRPr="00BC513A" w14:paraId="117E76D8" w14:textId="77777777" w:rsidTr="00922731">
        <w:trPr>
          <w:trHeight w:val="315"/>
        </w:trPr>
        <w:tc>
          <w:tcPr>
            <w:tcW w:w="581" w:type="pct"/>
            <w:shd w:val="clear" w:color="auto" w:fill="auto"/>
            <w:vAlign w:val="center"/>
            <w:hideMark/>
          </w:tcPr>
          <w:p w14:paraId="2BA2AF6B"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2015</w:t>
            </w:r>
          </w:p>
        </w:tc>
        <w:tc>
          <w:tcPr>
            <w:tcW w:w="465" w:type="pct"/>
            <w:shd w:val="clear" w:color="auto" w:fill="auto"/>
            <w:vAlign w:val="center"/>
            <w:hideMark/>
          </w:tcPr>
          <w:p w14:paraId="1B30632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698" w:type="pct"/>
            <w:shd w:val="clear" w:color="auto" w:fill="auto"/>
            <w:vAlign w:val="center"/>
            <w:hideMark/>
          </w:tcPr>
          <w:p w14:paraId="2A57B8D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465" w:type="pct"/>
            <w:shd w:val="clear" w:color="auto" w:fill="auto"/>
            <w:vAlign w:val="center"/>
            <w:hideMark/>
          </w:tcPr>
          <w:p w14:paraId="025BC1E4"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698" w:type="pct"/>
            <w:shd w:val="clear" w:color="auto" w:fill="auto"/>
            <w:vAlign w:val="center"/>
            <w:hideMark/>
          </w:tcPr>
          <w:p w14:paraId="152A05D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465" w:type="pct"/>
            <w:shd w:val="clear" w:color="auto" w:fill="auto"/>
            <w:vAlign w:val="center"/>
            <w:hideMark/>
          </w:tcPr>
          <w:p w14:paraId="082FFEC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-10</w:t>
            </w:r>
          </w:p>
        </w:tc>
        <w:tc>
          <w:tcPr>
            <w:tcW w:w="698" w:type="pct"/>
            <w:shd w:val="clear" w:color="auto" w:fill="auto"/>
            <w:vAlign w:val="center"/>
            <w:hideMark/>
          </w:tcPr>
          <w:p w14:paraId="344DDCB4"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-808</w:t>
            </w:r>
          </w:p>
        </w:tc>
        <w:tc>
          <w:tcPr>
            <w:tcW w:w="930" w:type="pct"/>
            <w:shd w:val="clear" w:color="auto" w:fill="auto"/>
            <w:vAlign w:val="center"/>
            <w:hideMark/>
          </w:tcPr>
          <w:p w14:paraId="2A18B90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3 750</w:t>
            </w:r>
          </w:p>
        </w:tc>
      </w:tr>
      <w:tr w:rsidR="00E8617E" w:rsidRPr="00BC513A" w14:paraId="27497FEF" w14:textId="77777777" w:rsidTr="00922731">
        <w:trPr>
          <w:trHeight w:val="315"/>
        </w:trPr>
        <w:tc>
          <w:tcPr>
            <w:tcW w:w="581" w:type="pct"/>
            <w:shd w:val="clear" w:color="auto" w:fill="DEEAF6" w:themeFill="accent1" w:themeFillTint="33"/>
            <w:vAlign w:val="center"/>
            <w:hideMark/>
          </w:tcPr>
          <w:p w14:paraId="3BA1EC46"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Общо</w:t>
            </w:r>
          </w:p>
        </w:tc>
        <w:tc>
          <w:tcPr>
            <w:tcW w:w="465" w:type="pct"/>
            <w:shd w:val="clear" w:color="auto" w:fill="DEEAF6" w:themeFill="accent1" w:themeFillTint="33"/>
            <w:vAlign w:val="center"/>
            <w:hideMark/>
          </w:tcPr>
          <w:p w14:paraId="4DF20EEC"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236</w:t>
            </w:r>
          </w:p>
        </w:tc>
        <w:tc>
          <w:tcPr>
            <w:tcW w:w="698" w:type="pct"/>
            <w:shd w:val="clear" w:color="auto" w:fill="DEEAF6" w:themeFill="accent1" w:themeFillTint="33"/>
            <w:vAlign w:val="center"/>
            <w:hideMark/>
          </w:tcPr>
          <w:p w14:paraId="5A33573D"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38 287</w:t>
            </w:r>
          </w:p>
        </w:tc>
        <w:tc>
          <w:tcPr>
            <w:tcW w:w="465" w:type="pct"/>
            <w:shd w:val="clear" w:color="auto" w:fill="DEEAF6" w:themeFill="accent1" w:themeFillTint="33"/>
            <w:vAlign w:val="center"/>
            <w:hideMark/>
          </w:tcPr>
          <w:p w14:paraId="7EA6A163"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137</w:t>
            </w:r>
          </w:p>
        </w:tc>
        <w:tc>
          <w:tcPr>
            <w:tcW w:w="698" w:type="pct"/>
            <w:shd w:val="clear" w:color="auto" w:fill="DEEAF6" w:themeFill="accent1" w:themeFillTint="33"/>
            <w:vAlign w:val="center"/>
            <w:hideMark/>
          </w:tcPr>
          <w:p w14:paraId="598A5830"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20 142</w:t>
            </w:r>
          </w:p>
        </w:tc>
        <w:tc>
          <w:tcPr>
            <w:tcW w:w="465" w:type="pct"/>
            <w:shd w:val="clear" w:color="auto" w:fill="DEEAF6" w:themeFill="accent1" w:themeFillTint="33"/>
            <w:vAlign w:val="center"/>
            <w:hideMark/>
          </w:tcPr>
          <w:p w14:paraId="2B6601C8"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91</w:t>
            </w:r>
          </w:p>
        </w:tc>
        <w:tc>
          <w:tcPr>
            <w:tcW w:w="698" w:type="pct"/>
            <w:shd w:val="clear" w:color="auto" w:fill="DEEAF6" w:themeFill="accent1" w:themeFillTint="33"/>
            <w:vAlign w:val="center"/>
            <w:hideMark/>
          </w:tcPr>
          <w:p w14:paraId="035F0F0E"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15 690</w:t>
            </w:r>
          </w:p>
        </w:tc>
        <w:tc>
          <w:tcPr>
            <w:tcW w:w="930" w:type="pct"/>
            <w:shd w:val="clear" w:color="auto" w:fill="DEEAF6" w:themeFill="accent1" w:themeFillTint="33"/>
            <w:vAlign w:val="center"/>
            <w:hideMark/>
          </w:tcPr>
          <w:p w14:paraId="70D144CE"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9 160</w:t>
            </w:r>
          </w:p>
        </w:tc>
      </w:tr>
    </w:tbl>
    <w:p w14:paraId="49BDB948" w14:textId="6E174689" w:rsidR="00E8617E" w:rsidRPr="00AE71CA" w:rsidRDefault="00E8617E" w:rsidP="00E8617E">
      <w:pPr>
        <w:spacing w:after="0" w:line="300" w:lineRule="atLeast"/>
        <w:jc w:val="both"/>
        <w:rPr>
          <w:rFonts w:ascii="Arial" w:hAnsi="Arial" w:cs="Arial"/>
          <w:sz w:val="18"/>
          <w:szCs w:val="18"/>
        </w:rPr>
      </w:pPr>
      <w:r w:rsidRPr="00AE71CA">
        <w:rPr>
          <w:rFonts w:ascii="Arial" w:hAnsi="Arial" w:cs="Arial"/>
          <w:sz w:val="18"/>
          <w:szCs w:val="18"/>
        </w:rPr>
        <w:t xml:space="preserve">Източник: Годишен </w:t>
      </w:r>
      <w:r w:rsidR="007E0450">
        <w:rPr>
          <w:rFonts w:ascii="Arial" w:hAnsi="Arial" w:cs="Arial"/>
          <w:sz w:val="18"/>
          <w:szCs w:val="18"/>
        </w:rPr>
        <w:t>д</w:t>
      </w:r>
      <w:r w:rsidRPr="00AE71CA">
        <w:rPr>
          <w:rFonts w:ascii="Arial" w:hAnsi="Arial" w:cs="Arial"/>
          <w:sz w:val="18"/>
          <w:szCs w:val="18"/>
        </w:rPr>
        <w:t xml:space="preserve">оклад за </w:t>
      </w:r>
      <w:r w:rsidR="007E0450">
        <w:rPr>
          <w:rFonts w:ascii="Arial" w:hAnsi="Arial" w:cs="Arial"/>
          <w:sz w:val="18"/>
          <w:szCs w:val="18"/>
        </w:rPr>
        <w:t>и</w:t>
      </w:r>
      <w:r w:rsidRPr="00AE71CA">
        <w:rPr>
          <w:rFonts w:ascii="Arial" w:hAnsi="Arial" w:cs="Arial"/>
          <w:sz w:val="18"/>
          <w:szCs w:val="18"/>
        </w:rPr>
        <w:t>зпълнение на ПРСР за 2015, юни 2016 г.</w:t>
      </w:r>
    </w:p>
    <w:p w14:paraId="0E79E79C" w14:textId="77777777" w:rsidR="00E8617E" w:rsidRPr="00BC513A" w:rsidRDefault="00E8617E" w:rsidP="00E8617E">
      <w:pPr>
        <w:spacing w:after="0" w:line="240" w:lineRule="atLeast"/>
        <w:ind w:firstLine="709"/>
        <w:jc w:val="both"/>
        <w:rPr>
          <w:rFonts w:ascii="Arial" w:hAnsi="Arial" w:cs="Arial"/>
        </w:rPr>
      </w:pPr>
    </w:p>
    <w:p w14:paraId="75B70716" w14:textId="77777777" w:rsidR="00E8617E" w:rsidRPr="00BC513A" w:rsidRDefault="00E8617E" w:rsidP="00E8617E">
      <w:pPr>
        <w:spacing w:after="0" w:line="300" w:lineRule="atLeast"/>
        <w:ind w:firstLine="709"/>
        <w:jc w:val="both"/>
        <w:rPr>
          <w:rFonts w:ascii="Arial" w:hAnsi="Arial" w:cs="Arial"/>
        </w:rPr>
      </w:pPr>
      <w:r w:rsidRPr="00BC513A">
        <w:rPr>
          <w:rFonts w:ascii="Arial" w:hAnsi="Arial" w:cs="Arial"/>
        </w:rPr>
        <w:lastRenderedPageBreak/>
        <w:t xml:space="preserve">По отношение изпълнението на поставените индикатори в края на периода се отчита много високо изпълнение, което достига нива от 258% при изходния индикатор за брой на участниците и 154% при броя на обучителните дни. При индикатора за резултат се отчита преизпълнение на заложената цел от 13 950 успешно завършили обучавани, като в действителност са обучени 40 062 души. </w:t>
      </w:r>
    </w:p>
    <w:p w14:paraId="0997D8C6" w14:textId="64AFC4E3"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Положителен момент в изпълняването на дейностите по мярката е постигането на по-високо присъствие на млади хора до 40 години, както и на жени. Включените в обученията жени съставляват 13</w:t>
      </w:r>
      <w:r w:rsidR="00EC0171">
        <w:rPr>
          <w:rFonts w:ascii="Arial" w:hAnsi="Arial" w:cs="Arial"/>
        </w:rPr>
        <w:t> </w:t>
      </w:r>
      <w:r w:rsidRPr="00BC513A">
        <w:rPr>
          <w:rFonts w:ascii="Arial" w:hAnsi="Arial" w:cs="Arial"/>
        </w:rPr>
        <w:t>867 или 35% от всички обучени. През 2013 г. в страната е имало 57 хил.жени, които са били управители на стопанства, което показва, че мярка 111 е успяла да обхване сравнително висок дял на жените в земеделието, като ако броят на преминалите обучение жени се отнесе към жените управители през 2013 г. този процент ще съставлява 25%. Направеният разрез по възраст на обучените показва, че лицата между 18 и 40 г. са 24</w:t>
      </w:r>
      <w:r w:rsidR="007E0450">
        <w:rPr>
          <w:rFonts w:ascii="Arial" w:hAnsi="Arial" w:cs="Arial"/>
        </w:rPr>
        <w:t> </w:t>
      </w:r>
      <w:r w:rsidRPr="00BC513A">
        <w:rPr>
          <w:rFonts w:ascii="Arial" w:hAnsi="Arial" w:cs="Arial"/>
        </w:rPr>
        <w:t xml:space="preserve">142 или 60% от всички обучени. Макар и да няма точна статистика за броя на управители на </w:t>
      </w:r>
      <w:r w:rsidR="00BC7BC0">
        <w:rPr>
          <w:rFonts w:ascii="Arial" w:hAnsi="Arial" w:cs="Arial"/>
        </w:rPr>
        <w:t>стопанства</w:t>
      </w:r>
      <w:r w:rsidRPr="00BC513A">
        <w:rPr>
          <w:rFonts w:ascii="Arial" w:hAnsi="Arial" w:cs="Arial"/>
        </w:rPr>
        <w:t xml:space="preserve"> до 40 години, т.к. </w:t>
      </w:r>
      <w:r w:rsidR="00EC0171">
        <w:rPr>
          <w:rFonts w:ascii="Arial" w:hAnsi="Arial" w:cs="Arial"/>
        </w:rPr>
        <w:t>отдел „А</w:t>
      </w:r>
      <w:r w:rsidRPr="00BC513A">
        <w:rPr>
          <w:rFonts w:ascii="Arial" w:hAnsi="Arial" w:cs="Arial"/>
        </w:rPr>
        <w:t>гростатистика</w:t>
      </w:r>
      <w:r w:rsidR="00EC0171">
        <w:rPr>
          <w:rFonts w:ascii="Arial" w:hAnsi="Arial" w:cs="Arial"/>
        </w:rPr>
        <w:t>“</w:t>
      </w:r>
      <w:r w:rsidRPr="00BC513A">
        <w:rPr>
          <w:rFonts w:ascii="Arial" w:hAnsi="Arial" w:cs="Arial"/>
        </w:rPr>
        <w:t xml:space="preserve"> групира тази категория между 35-44 години, може да се допусне, че броят на управители на стопанства до 40 години е между 30-35 хил. към 2013 г., което означава, че над 70% от тези хора са преминали в една или друга форма </w:t>
      </w:r>
      <w:r w:rsidR="007E0450">
        <w:rPr>
          <w:rFonts w:ascii="Arial" w:hAnsi="Arial" w:cs="Arial"/>
        </w:rPr>
        <w:t xml:space="preserve">на </w:t>
      </w:r>
      <w:r w:rsidRPr="00BC513A">
        <w:rPr>
          <w:rFonts w:ascii="Arial" w:hAnsi="Arial" w:cs="Arial"/>
        </w:rPr>
        <w:t xml:space="preserve">обучение по мярката. Това е много добър резултат, като интересът на младите хора е продиктуван както от техния стремеж към нови знания, така и </w:t>
      </w:r>
      <w:r w:rsidR="007E0450">
        <w:rPr>
          <w:rFonts w:ascii="Arial" w:hAnsi="Arial" w:cs="Arial"/>
        </w:rPr>
        <w:t xml:space="preserve">от </w:t>
      </w:r>
      <w:r w:rsidRPr="00BC513A">
        <w:rPr>
          <w:rFonts w:ascii="Arial" w:hAnsi="Arial" w:cs="Arial"/>
        </w:rPr>
        <w:t>задължението желаещите за подпомагане по мярка 112 и мярка 214 от ПРСР да преминат такова обучение в случай, че нямат аграрно образование.</w:t>
      </w:r>
    </w:p>
    <w:p w14:paraId="2163C81F" w14:textId="77777777" w:rsidR="00E8617E" w:rsidRPr="00BC513A" w:rsidRDefault="00E8617E" w:rsidP="00E8617E">
      <w:pPr>
        <w:pStyle w:val="DefaultText"/>
        <w:keepNext/>
        <w:spacing w:before="240"/>
        <w:rPr>
          <w:rFonts w:cs="Arial"/>
          <w:b/>
          <w:color w:val="0070C0"/>
          <w:sz w:val="20"/>
          <w:szCs w:val="20"/>
          <w:lang w:val="bg-BG"/>
        </w:rPr>
      </w:pPr>
      <w:bookmarkStart w:id="92" w:name="_Toc504136196"/>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24</w:t>
      </w:r>
      <w:r w:rsidRPr="00BC513A">
        <w:rPr>
          <w:rFonts w:cs="Arial"/>
          <w:b/>
          <w:color w:val="0070C0"/>
          <w:sz w:val="20"/>
          <w:szCs w:val="20"/>
          <w:lang w:val="bg-BG"/>
        </w:rPr>
        <w:fldChar w:fldCharType="end"/>
      </w:r>
      <w:r w:rsidRPr="00BC513A">
        <w:rPr>
          <w:rFonts w:cs="Arial"/>
          <w:b/>
          <w:color w:val="0070C0"/>
          <w:sz w:val="20"/>
          <w:szCs w:val="20"/>
          <w:lang w:val="bg-BG"/>
        </w:rPr>
        <w:t>.  Количествени цели относно общите индикатори на ЕС по мярка 111</w:t>
      </w:r>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91"/>
        <w:gridCol w:w="3460"/>
        <w:gridCol w:w="1348"/>
        <w:gridCol w:w="1557"/>
        <w:gridCol w:w="1555"/>
      </w:tblGrid>
      <w:tr w:rsidR="00E8617E" w:rsidRPr="00BC513A" w14:paraId="421671E5" w14:textId="77777777" w:rsidTr="00922731">
        <w:trPr>
          <w:trHeight w:val="315"/>
        </w:trPr>
        <w:tc>
          <w:tcPr>
            <w:tcW w:w="701" w:type="pct"/>
            <w:shd w:val="clear" w:color="auto" w:fill="1F4E79" w:themeFill="accent1" w:themeFillShade="80"/>
            <w:noWrap/>
            <w:vAlign w:val="center"/>
            <w:hideMark/>
          </w:tcPr>
          <w:p w14:paraId="0C011CD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878" w:type="pct"/>
            <w:shd w:val="clear" w:color="auto" w:fill="1F4E79" w:themeFill="accent1" w:themeFillShade="80"/>
            <w:vAlign w:val="center"/>
            <w:hideMark/>
          </w:tcPr>
          <w:p w14:paraId="21BC13D6"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Индикатори</w:t>
            </w:r>
          </w:p>
        </w:tc>
        <w:tc>
          <w:tcPr>
            <w:tcW w:w="732" w:type="pct"/>
            <w:shd w:val="clear" w:color="auto" w:fill="1F4E79" w:themeFill="accent1" w:themeFillShade="80"/>
            <w:noWrap/>
            <w:vAlign w:val="center"/>
            <w:hideMark/>
          </w:tcPr>
          <w:p w14:paraId="4751C74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845" w:type="pct"/>
            <w:shd w:val="clear" w:color="auto" w:fill="1F4E79" w:themeFill="accent1" w:themeFillShade="80"/>
            <w:vAlign w:val="center"/>
            <w:hideMark/>
          </w:tcPr>
          <w:p w14:paraId="27566355"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44" w:type="pct"/>
            <w:shd w:val="clear" w:color="auto" w:fill="1F4E79" w:themeFill="accent1" w:themeFillShade="80"/>
            <w:vAlign w:val="center"/>
            <w:hideMark/>
          </w:tcPr>
          <w:p w14:paraId="382D6F5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изпълнение</w:t>
            </w:r>
          </w:p>
        </w:tc>
      </w:tr>
      <w:tr w:rsidR="00E8617E" w:rsidRPr="00BC513A" w14:paraId="1BE853D9" w14:textId="77777777" w:rsidTr="00922731">
        <w:trPr>
          <w:trHeight w:val="507"/>
        </w:trPr>
        <w:tc>
          <w:tcPr>
            <w:tcW w:w="701" w:type="pct"/>
            <w:vMerge w:val="restart"/>
            <w:shd w:val="clear" w:color="auto" w:fill="auto"/>
            <w:noWrap/>
            <w:vAlign w:val="center"/>
            <w:hideMark/>
          </w:tcPr>
          <w:p w14:paraId="721C249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Изходен</w:t>
            </w:r>
          </w:p>
        </w:tc>
        <w:tc>
          <w:tcPr>
            <w:tcW w:w="1878" w:type="pct"/>
            <w:shd w:val="clear" w:color="auto" w:fill="auto"/>
            <w:vAlign w:val="center"/>
            <w:hideMark/>
          </w:tcPr>
          <w:p w14:paraId="3CB5DE1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 xml:space="preserve">брой на участниците в обучението </w:t>
            </w:r>
          </w:p>
        </w:tc>
        <w:tc>
          <w:tcPr>
            <w:tcW w:w="732" w:type="pct"/>
            <w:shd w:val="clear" w:color="auto" w:fill="auto"/>
            <w:noWrap/>
            <w:vAlign w:val="center"/>
            <w:hideMark/>
          </w:tcPr>
          <w:p w14:paraId="2815518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15 500</w:t>
            </w:r>
          </w:p>
        </w:tc>
        <w:tc>
          <w:tcPr>
            <w:tcW w:w="845" w:type="pct"/>
            <w:shd w:val="clear" w:color="auto" w:fill="auto"/>
            <w:vAlign w:val="center"/>
            <w:hideMark/>
          </w:tcPr>
          <w:p w14:paraId="54E64F1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40 062</w:t>
            </w:r>
          </w:p>
        </w:tc>
        <w:tc>
          <w:tcPr>
            <w:tcW w:w="844" w:type="pct"/>
            <w:shd w:val="clear" w:color="auto" w:fill="auto"/>
            <w:vAlign w:val="center"/>
            <w:hideMark/>
          </w:tcPr>
          <w:p w14:paraId="2275CA8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258%</w:t>
            </w:r>
          </w:p>
        </w:tc>
      </w:tr>
      <w:tr w:rsidR="00E8617E" w:rsidRPr="00BC513A" w14:paraId="2778CBD0" w14:textId="77777777" w:rsidTr="00922731">
        <w:trPr>
          <w:trHeight w:val="525"/>
        </w:trPr>
        <w:tc>
          <w:tcPr>
            <w:tcW w:w="701" w:type="pct"/>
            <w:vMerge/>
            <w:shd w:val="clear" w:color="auto" w:fill="auto"/>
            <w:vAlign w:val="center"/>
            <w:hideMark/>
          </w:tcPr>
          <w:p w14:paraId="3AE57064" w14:textId="77777777" w:rsidR="00E8617E" w:rsidRPr="00BC513A" w:rsidRDefault="00E8617E" w:rsidP="00922731">
            <w:pPr>
              <w:spacing w:after="0" w:line="240" w:lineRule="auto"/>
              <w:rPr>
                <w:rFonts w:ascii="Arial" w:eastAsia="Times New Roman" w:hAnsi="Arial" w:cs="Arial"/>
                <w:sz w:val="20"/>
                <w:szCs w:val="20"/>
                <w:lang w:eastAsia="bg-BG"/>
              </w:rPr>
            </w:pPr>
          </w:p>
        </w:tc>
        <w:tc>
          <w:tcPr>
            <w:tcW w:w="1878" w:type="pct"/>
            <w:shd w:val="clear" w:color="auto" w:fill="auto"/>
            <w:vAlign w:val="center"/>
            <w:hideMark/>
          </w:tcPr>
          <w:p w14:paraId="0F158DE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на получените дни обучение</w:t>
            </w:r>
          </w:p>
        </w:tc>
        <w:tc>
          <w:tcPr>
            <w:tcW w:w="732" w:type="pct"/>
            <w:shd w:val="clear" w:color="auto" w:fill="auto"/>
            <w:noWrap/>
            <w:vAlign w:val="center"/>
            <w:hideMark/>
          </w:tcPr>
          <w:p w14:paraId="48F103F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132 000</w:t>
            </w:r>
          </w:p>
        </w:tc>
        <w:tc>
          <w:tcPr>
            <w:tcW w:w="845" w:type="pct"/>
            <w:shd w:val="clear" w:color="auto" w:fill="auto"/>
            <w:vAlign w:val="center"/>
            <w:hideMark/>
          </w:tcPr>
          <w:p w14:paraId="61323E5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203 909</w:t>
            </w:r>
          </w:p>
        </w:tc>
        <w:tc>
          <w:tcPr>
            <w:tcW w:w="844" w:type="pct"/>
            <w:shd w:val="clear" w:color="auto" w:fill="auto"/>
            <w:vAlign w:val="center"/>
            <w:hideMark/>
          </w:tcPr>
          <w:p w14:paraId="5F8FB75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154%</w:t>
            </w:r>
          </w:p>
        </w:tc>
      </w:tr>
      <w:tr w:rsidR="00E8617E" w:rsidRPr="00BC513A" w14:paraId="2702F31C" w14:textId="77777777" w:rsidTr="00922731">
        <w:trPr>
          <w:trHeight w:val="1043"/>
        </w:trPr>
        <w:tc>
          <w:tcPr>
            <w:tcW w:w="701" w:type="pct"/>
            <w:shd w:val="clear" w:color="auto" w:fill="auto"/>
            <w:noWrap/>
            <w:vAlign w:val="center"/>
            <w:hideMark/>
          </w:tcPr>
          <w:p w14:paraId="602FAA2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Резултат</w:t>
            </w:r>
          </w:p>
        </w:tc>
        <w:tc>
          <w:tcPr>
            <w:tcW w:w="1878" w:type="pct"/>
            <w:shd w:val="clear" w:color="auto" w:fill="auto"/>
            <w:vAlign w:val="center"/>
            <w:hideMark/>
          </w:tcPr>
          <w:p w14:paraId="1FA0625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дял на участниците, които успешно са завършили различните видове обучение в областта на земеделието и/или горите</w:t>
            </w:r>
          </w:p>
        </w:tc>
        <w:tc>
          <w:tcPr>
            <w:tcW w:w="732" w:type="pct"/>
            <w:shd w:val="clear" w:color="auto" w:fill="auto"/>
            <w:noWrap/>
            <w:vAlign w:val="center"/>
            <w:hideMark/>
          </w:tcPr>
          <w:p w14:paraId="66EA070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13 950</w:t>
            </w:r>
          </w:p>
        </w:tc>
        <w:tc>
          <w:tcPr>
            <w:tcW w:w="845" w:type="pct"/>
            <w:shd w:val="clear" w:color="auto" w:fill="auto"/>
            <w:vAlign w:val="center"/>
            <w:hideMark/>
          </w:tcPr>
          <w:p w14:paraId="3B1BE2A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40 062</w:t>
            </w:r>
          </w:p>
        </w:tc>
        <w:tc>
          <w:tcPr>
            <w:tcW w:w="844" w:type="pct"/>
            <w:shd w:val="clear" w:color="auto" w:fill="auto"/>
            <w:vAlign w:val="center"/>
            <w:hideMark/>
          </w:tcPr>
          <w:p w14:paraId="37D2A4A4"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287%</w:t>
            </w:r>
          </w:p>
        </w:tc>
      </w:tr>
    </w:tbl>
    <w:p w14:paraId="3735303F" w14:textId="23133D1E" w:rsidR="00E8617E" w:rsidRPr="00AE71CA" w:rsidRDefault="00E8617E" w:rsidP="00E8617E">
      <w:pPr>
        <w:spacing w:after="0" w:line="240" w:lineRule="auto"/>
        <w:jc w:val="both"/>
        <w:rPr>
          <w:rFonts w:ascii="Arial" w:hAnsi="Arial" w:cs="Arial"/>
          <w:sz w:val="18"/>
          <w:szCs w:val="18"/>
        </w:rPr>
      </w:pPr>
      <w:r w:rsidRPr="00AE71CA">
        <w:rPr>
          <w:rFonts w:ascii="Arial" w:hAnsi="Arial" w:cs="Arial"/>
          <w:sz w:val="18"/>
          <w:szCs w:val="18"/>
        </w:rPr>
        <w:t xml:space="preserve">Източник: Годишен </w:t>
      </w:r>
      <w:r w:rsidR="007E0450">
        <w:rPr>
          <w:rFonts w:ascii="Arial" w:hAnsi="Arial" w:cs="Arial"/>
          <w:sz w:val="18"/>
          <w:szCs w:val="18"/>
        </w:rPr>
        <w:t>д</w:t>
      </w:r>
      <w:r w:rsidRPr="00AE71CA">
        <w:rPr>
          <w:rFonts w:ascii="Arial" w:hAnsi="Arial" w:cs="Arial"/>
          <w:sz w:val="18"/>
          <w:szCs w:val="18"/>
        </w:rPr>
        <w:t xml:space="preserve">оклад за </w:t>
      </w:r>
      <w:r w:rsidR="007E0450">
        <w:rPr>
          <w:rFonts w:ascii="Arial" w:hAnsi="Arial" w:cs="Arial"/>
          <w:sz w:val="18"/>
          <w:szCs w:val="18"/>
        </w:rPr>
        <w:t>и</w:t>
      </w:r>
      <w:r w:rsidRPr="00AE71CA">
        <w:rPr>
          <w:rFonts w:ascii="Arial" w:hAnsi="Arial" w:cs="Arial"/>
          <w:sz w:val="18"/>
          <w:szCs w:val="18"/>
        </w:rPr>
        <w:t>зпълнение на ПРСР от юни, 2016 г.</w:t>
      </w:r>
    </w:p>
    <w:p w14:paraId="0E88A7C6" w14:textId="77777777" w:rsidR="00E8617E" w:rsidRPr="00BC513A" w:rsidRDefault="00E8617E" w:rsidP="00E8617E">
      <w:pPr>
        <w:pStyle w:val="DefaultText"/>
        <w:keepNext/>
        <w:spacing w:before="240"/>
        <w:rPr>
          <w:rFonts w:cs="Arial"/>
          <w:sz w:val="22"/>
          <w:szCs w:val="22"/>
          <w:lang w:val="bg-BG"/>
        </w:rPr>
      </w:pPr>
      <w:bookmarkStart w:id="93" w:name="_Toc504136197"/>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25</w:t>
      </w:r>
      <w:r w:rsidRPr="00BC513A">
        <w:rPr>
          <w:rFonts w:cs="Arial"/>
          <w:b/>
          <w:color w:val="0070C0"/>
          <w:sz w:val="20"/>
          <w:szCs w:val="20"/>
          <w:lang w:val="bg-BG"/>
        </w:rPr>
        <w:fldChar w:fldCharType="end"/>
      </w:r>
      <w:r w:rsidRPr="00BC513A">
        <w:rPr>
          <w:rFonts w:cs="Arial"/>
          <w:b/>
          <w:color w:val="0070C0"/>
          <w:sz w:val="20"/>
          <w:szCs w:val="20"/>
          <w:lang w:val="bg-BG"/>
        </w:rPr>
        <w:t>.</w:t>
      </w:r>
      <w:r w:rsidRPr="00BC513A">
        <w:rPr>
          <w:rFonts w:cs="Arial"/>
          <w:b/>
          <w:i/>
          <w:color w:val="0070C0"/>
          <w:sz w:val="20"/>
          <w:szCs w:val="20"/>
          <w:lang w:val="bg-BG"/>
        </w:rPr>
        <w:t xml:space="preserve"> </w:t>
      </w:r>
      <w:r w:rsidRPr="00BC513A">
        <w:rPr>
          <w:sz w:val="22"/>
          <w:szCs w:val="22"/>
          <w:lang w:val="bg-BG"/>
        </w:rPr>
        <w:t xml:space="preserve"> </w:t>
      </w:r>
      <w:r w:rsidRPr="00BC513A">
        <w:rPr>
          <w:rFonts w:cs="Arial"/>
          <w:b/>
          <w:color w:val="0070C0"/>
          <w:sz w:val="20"/>
          <w:szCs w:val="20"/>
          <w:lang w:val="bg-BG"/>
        </w:rPr>
        <w:t>Брой обучени по обхванати направления по мярка 111</w:t>
      </w:r>
      <w:bookmarkEnd w:id="93"/>
    </w:p>
    <w:tbl>
      <w:tblPr>
        <w:tblW w:w="49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301"/>
        <w:gridCol w:w="1305"/>
        <w:gridCol w:w="1152"/>
        <w:gridCol w:w="1297"/>
        <w:gridCol w:w="2119"/>
      </w:tblGrid>
      <w:tr w:rsidR="00E8617E" w:rsidRPr="00BC513A" w14:paraId="46047D55" w14:textId="77777777" w:rsidTr="00922731">
        <w:trPr>
          <w:trHeight w:val="315"/>
          <w:jc w:val="center"/>
        </w:trPr>
        <w:tc>
          <w:tcPr>
            <w:tcW w:w="1799" w:type="pct"/>
            <w:shd w:val="clear" w:color="auto" w:fill="1F4E79" w:themeFill="accent1" w:themeFillShade="80"/>
            <w:vAlign w:val="center"/>
            <w:hideMark/>
          </w:tcPr>
          <w:p w14:paraId="2B9903F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Направление</w:t>
            </w:r>
          </w:p>
        </w:tc>
        <w:tc>
          <w:tcPr>
            <w:tcW w:w="711" w:type="pct"/>
            <w:shd w:val="clear" w:color="auto" w:fill="1F4E79" w:themeFill="accent1" w:themeFillShade="80"/>
            <w:vAlign w:val="center"/>
          </w:tcPr>
          <w:p w14:paraId="2839D49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обучени участници</w:t>
            </w:r>
          </w:p>
        </w:tc>
        <w:tc>
          <w:tcPr>
            <w:tcW w:w="628" w:type="pct"/>
            <w:shd w:val="clear" w:color="auto" w:fill="1F4E79" w:themeFill="accent1" w:themeFillShade="80"/>
            <w:vAlign w:val="center"/>
            <w:hideMark/>
          </w:tcPr>
          <w:p w14:paraId="4D9CEDE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Брой на дните обучение</w:t>
            </w:r>
          </w:p>
        </w:tc>
        <w:tc>
          <w:tcPr>
            <w:tcW w:w="707" w:type="pct"/>
            <w:shd w:val="clear" w:color="auto" w:fill="1F4E79" w:themeFill="accent1" w:themeFillShade="80"/>
            <w:vAlign w:val="center"/>
            <w:hideMark/>
          </w:tcPr>
          <w:p w14:paraId="1860BE3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Платени публични средства, хил</w:t>
            </w:r>
            <w:r w:rsidR="00EC0171">
              <w:rPr>
                <w:rFonts w:ascii="Arial" w:eastAsia="Times New Roman" w:hAnsi="Arial" w:cs="Arial"/>
                <w:b/>
                <w:bCs/>
                <w:color w:val="FFFFFF" w:themeColor="background1"/>
                <w:sz w:val="20"/>
                <w:szCs w:val="20"/>
                <w:lang w:eastAsia="bg-BG"/>
              </w:rPr>
              <w:t>.</w:t>
            </w:r>
            <w:r w:rsidRPr="00BC513A">
              <w:rPr>
                <w:rFonts w:ascii="Arial" w:eastAsia="Times New Roman" w:hAnsi="Arial" w:cs="Arial"/>
                <w:b/>
                <w:bCs/>
                <w:color w:val="FFFFFF" w:themeColor="background1"/>
                <w:sz w:val="20"/>
                <w:szCs w:val="20"/>
                <w:lang w:eastAsia="bg-BG"/>
              </w:rPr>
              <w:t xml:space="preserve"> евро</w:t>
            </w:r>
          </w:p>
        </w:tc>
        <w:tc>
          <w:tcPr>
            <w:tcW w:w="1155" w:type="pct"/>
            <w:shd w:val="clear" w:color="auto" w:fill="1F4E79" w:themeFill="accent1" w:themeFillShade="80"/>
          </w:tcPr>
          <w:p w14:paraId="526D4BD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Продължителност на обучението на 1 обучаем, дни</w:t>
            </w:r>
          </w:p>
        </w:tc>
      </w:tr>
      <w:tr w:rsidR="00E8617E" w:rsidRPr="00BC513A" w14:paraId="1199C69A" w14:textId="77777777" w:rsidTr="00922731">
        <w:trPr>
          <w:trHeight w:val="570"/>
          <w:jc w:val="center"/>
        </w:trPr>
        <w:tc>
          <w:tcPr>
            <w:tcW w:w="1799" w:type="pct"/>
            <w:shd w:val="clear" w:color="auto" w:fill="auto"/>
            <w:vAlign w:val="center"/>
            <w:hideMark/>
          </w:tcPr>
          <w:p w14:paraId="3548FF1F"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Административни, управленски и маркетингови умения</w:t>
            </w:r>
          </w:p>
        </w:tc>
        <w:tc>
          <w:tcPr>
            <w:tcW w:w="711" w:type="pct"/>
            <w:vAlign w:val="center"/>
          </w:tcPr>
          <w:p w14:paraId="4C70088D"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5 892</w:t>
            </w:r>
          </w:p>
        </w:tc>
        <w:tc>
          <w:tcPr>
            <w:tcW w:w="628" w:type="pct"/>
            <w:shd w:val="clear" w:color="auto" w:fill="auto"/>
            <w:noWrap/>
            <w:vAlign w:val="center"/>
            <w:hideMark/>
          </w:tcPr>
          <w:p w14:paraId="0104DD39"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32 020</w:t>
            </w:r>
          </w:p>
        </w:tc>
        <w:tc>
          <w:tcPr>
            <w:tcW w:w="707" w:type="pct"/>
            <w:shd w:val="clear" w:color="auto" w:fill="auto"/>
            <w:noWrap/>
            <w:vAlign w:val="center"/>
            <w:hideMark/>
          </w:tcPr>
          <w:p w14:paraId="32A77893"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1 347</w:t>
            </w:r>
          </w:p>
        </w:tc>
        <w:tc>
          <w:tcPr>
            <w:tcW w:w="1155" w:type="pct"/>
            <w:vAlign w:val="center"/>
          </w:tcPr>
          <w:p w14:paraId="5DC960F7"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5,4</w:t>
            </w:r>
          </w:p>
        </w:tc>
      </w:tr>
      <w:tr w:rsidR="00E8617E" w:rsidRPr="00BC513A" w14:paraId="6DCB5C88" w14:textId="77777777" w:rsidTr="00922731">
        <w:trPr>
          <w:trHeight w:val="315"/>
          <w:jc w:val="center"/>
        </w:trPr>
        <w:tc>
          <w:tcPr>
            <w:tcW w:w="1799" w:type="pct"/>
            <w:shd w:val="clear" w:color="auto" w:fill="auto"/>
            <w:vAlign w:val="center"/>
            <w:hideMark/>
          </w:tcPr>
          <w:p w14:paraId="5364BC17"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ИКТ в земеделието</w:t>
            </w:r>
          </w:p>
        </w:tc>
        <w:tc>
          <w:tcPr>
            <w:tcW w:w="711" w:type="pct"/>
            <w:vAlign w:val="center"/>
          </w:tcPr>
          <w:p w14:paraId="5A909665"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233</w:t>
            </w:r>
          </w:p>
        </w:tc>
        <w:tc>
          <w:tcPr>
            <w:tcW w:w="628" w:type="pct"/>
            <w:shd w:val="clear" w:color="auto" w:fill="auto"/>
            <w:noWrap/>
            <w:vAlign w:val="center"/>
            <w:hideMark/>
          </w:tcPr>
          <w:p w14:paraId="77E68AF0"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1 921</w:t>
            </w:r>
          </w:p>
        </w:tc>
        <w:tc>
          <w:tcPr>
            <w:tcW w:w="707" w:type="pct"/>
            <w:shd w:val="clear" w:color="auto" w:fill="auto"/>
            <w:noWrap/>
            <w:vAlign w:val="center"/>
            <w:hideMark/>
          </w:tcPr>
          <w:p w14:paraId="626D08C1"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53</w:t>
            </w:r>
          </w:p>
        </w:tc>
        <w:tc>
          <w:tcPr>
            <w:tcW w:w="1155" w:type="pct"/>
            <w:vAlign w:val="center"/>
          </w:tcPr>
          <w:p w14:paraId="0BF5BFCA"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8,2</w:t>
            </w:r>
          </w:p>
        </w:tc>
      </w:tr>
      <w:tr w:rsidR="00E8617E" w:rsidRPr="00BC513A" w14:paraId="02FC395D" w14:textId="77777777" w:rsidTr="00922731">
        <w:trPr>
          <w:trHeight w:val="732"/>
          <w:jc w:val="center"/>
        </w:trPr>
        <w:tc>
          <w:tcPr>
            <w:tcW w:w="1799" w:type="pct"/>
            <w:shd w:val="clear" w:color="auto" w:fill="auto"/>
            <w:vAlign w:val="center"/>
            <w:hideMark/>
          </w:tcPr>
          <w:p w14:paraId="2DA9B76E"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 xml:space="preserve">Технически познания и умения – нови технологични процеси и машини, иновативни практики </w:t>
            </w:r>
          </w:p>
        </w:tc>
        <w:tc>
          <w:tcPr>
            <w:tcW w:w="711" w:type="pct"/>
            <w:vAlign w:val="center"/>
          </w:tcPr>
          <w:p w14:paraId="62EED1B3"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14 898</w:t>
            </w:r>
          </w:p>
        </w:tc>
        <w:tc>
          <w:tcPr>
            <w:tcW w:w="628" w:type="pct"/>
            <w:shd w:val="clear" w:color="auto" w:fill="auto"/>
            <w:noWrap/>
            <w:vAlign w:val="center"/>
            <w:hideMark/>
          </w:tcPr>
          <w:p w14:paraId="7EEF9897"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85 500</w:t>
            </w:r>
          </w:p>
        </w:tc>
        <w:tc>
          <w:tcPr>
            <w:tcW w:w="707" w:type="pct"/>
            <w:shd w:val="clear" w:color="auto" w:fill="auto"/>
            <w:noWrap/>
            <w:vAlign w:val="center"/>
            <w:hideMark/>
          </w:tcPr>
          <w:p w14:paraId="48BDCD8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3 407</w:t>
            </w:r>
          </w:p>
        </w:tc>
        <w:tc>
          <w:tcPr>
            <w:tcW w:w="1155" w:type="pct"/>
            <w:vAlign w:val="center"/>
          </w:tcPr>
          <w:p w14:paraId="34823A1D"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5,7</w:t>
            </w:r>
          </w:p>
        </w:tc>
      </w:tr>
      <w:tr w:rsidR="00E8617E" w:rsidRPr="00BC513A" w14:paraId="3B806D09" w14:textId="77777777" w:rsidTr="00922731">
        <w:trPr>
          <w:trHeight w:val="315"/>
          <w:jc w:val="center"/>
        </w:trPr>
        <w:tc>
          <w:tcPr>
            <w:tcW w:w="1799" w:type="pct"/>
            <w:shd w:val="clear" w:color="auto" w:fill="auto"/>
            <w:vAlign w:val="center"/>
            <w:hideMark/>
          </w:tcPr>
          <w:p w14:paraId="21315B8F"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Нови стандарти</w:t>
            </w:r>
          </w:p>
        </w:tc>
        <w:tc>
          <w:tcPr>
            <w:tcW w:w="711" w:type="pct"/>
            <w:vAlign w:val="center"/>
          </w:tcPr>
          <w:p w14:paraId="7D924E52"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170</w:t>
            </w:r>
          </w:p>
        </w:tc>
        <w:tc>
          <w:tcPr>
            <w:tcW w:w="628" w:type="pct"/>
            <w:shd w:val="clear" w:color="auto" w:fill="auto"/>
            <w:noWrap/>
            <w:vAlign w:val="center"/>
            <w:hideMark/>
          </w:tcPr>
          <w:p w14:paraId="70D39AAB"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2 247</w:t>
            </w:r>
          </w:p>
        </w:tc>
        <w:tc>
          <w:tcPr>
            <w:tcW w:w="707" w:type="pct"/>
            <w:shd w:val="clear" w:color="auto" w:fill="auto"/>
            <w:noWrap/>
            <w:vAlign w:val="center"/>
            <w:hideMark/>
          </w:tcPr>
          <w:p w14:paraId="00E18E22"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39</w:t>
            </w:r>
          </w:p>
        </w:tc>
        <w:tc>
          <w:tcPr>
            <w:tcW w:w="1155" w:type="pct"/>
            <w:vAlign w:val="center"/>
          </w:tcPr>
          <w:p w14:paraId="68165324"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13,2</w:t>
            </w:r>
          </w:p>
        </w:tc>
      </w:tr>
      <w:tr w:rsidR="00E8617E" w:rsidRPr="00BC513A" w14:paraId="7717176C" w14:textId="77777777" w:rsidTr="00922731">
        <w:trPr>
          <w:trHeight w:val="372"/>
          <w:jc w:val="center"/>
        </w:trPr>
        <w:tc>
          <w:tcPr>
            <w:tcW w:w="1799" w:type="pct"/>
            <w:shd w:val="clear" w:color="auto" w:fill="auto"/>
            <w:vAlign w:val="center"/>
            <w:hideMark/>
          </w:tcPr>
          <w:p w14:paraId="48E3D939"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 xml:space="preserve">Качество на продукцията </w:t>
            </w:r>
          </w:p>
        </w:tc>
        <w:tc>
          <w:tcPr>
            <w:tcW w:w="711" w:type="pct"/>
            <w:vAlign w:val="center"/>
          </w:tcPr>
          <w:p w14:paraId="68112936"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100</w:t>
            </w:r>
          </w:p>
        </w:tc>
        <w:tc>
          <w:tcPr>
            <w:tcW w:w="628" w:type="pct"/>
            <w:shd w:val="clear" w:color="auto" w:fill="auto"/>
            <w:noWrap/>
            <w:vAlign w:val="center"/>
            <w:hideMark/>
          </w:tcPr>
          <w:p w14:paraId="7566DDB9"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2 163</w:t>
            </w:r>
          </w:p>
        </w:tc>
        <w:tc>
          <w:tcPr>
            <w:tcW w:w="707" w:type="pct"/>
            <w:shd w:val="clear" w:color="auto" w:fill="auto"/>
            <w:noWrap/>
            <w:vAlign w:val="center"/>
            <w:hideMark/>
          </w:tcPr>
          <w:p w14:paraId="0654EBA3"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23</w:t>
            </w:r>
          </w:p>
        </w:tc>
        <w:tc>
          <w:tcPr>
            <w:tcW w:w="1155" w:type="pct"/>
            <w:vAlign w:val="center"/>
          </w:tcPr>
          <w:p w14:paraId="02E06F36"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21,6</w:t>
            </w:r>
          </w:p>
        </w:tc>
      </w:tr>
      <w:tr w:rsidR="00E8617E" w:rsidRPr="00BC513A" w14:paraId="5D38C4E7" w14:textId="77777777" w:rsidTr="00922731">
        <w:trPr>
          <w:trHeight w:val="705"/>
          <w:jc w:val="center"/>
        </w:trPr>
        <w:tc>
          <w:tcPr>
            <w:tcW w:w="1799" w:type="pct"/>
            <w:shd w:val="clear" w:color="auto" w:fill="auto"/>
            <w:vAlign w:val="center"/>
            <w:hideMark/>
          </w:tcPr>
          <w:p w14:paraId="4BEA7BE7"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lastRenderedPageBreak/>
              <w:t xml:space="preserve">Устойчиво управление на природните ресурси и опазване на околната среда </w:t>
            </w:r>
          </w:p>
        </w:tc>
        <w:tc>
          <w:tcPr>
            <w:tcW w:w="711" w:type="pct"/>
            <w:vAlign w:val="center"/>
          </w:tcPr>
          <w:p w14:paraId="7DA02C73"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17 157</w:t>
            </w:r>
          </w:p>
        </w:tc>
        <w:tc>
          <w:tcPr>
            <w:tcW w:w="628" w:type="pct"/>
            <w:shd w:val="clear" w:color="auto" w:fill="auto"/>
            <w:noWrap/>
            <w:vAlign w:val="center"/>
            <w:hideMark/>
          </w:tcPr>
          <w:p w14:paraId="04D62853"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75 874</w:t>
            </w:r>
          </w:p>
        </w:tc>
        <w:tc>
          <w:tcPr>
            <w:tcW w:w="707" w:type="pct"/>
            <w:shd w:val="clear" w:color="auto" w:fill="auto"/>
            <w:noWrap/>
            <w:vAlign w:val="center"/>
            <w:hideMark/>
          </w:tcPr>
          <w:p w14:paraId="26D5A509"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3 923</w:t>
            </w:r>
          </w:p>
        </w:tc>
        <w:tc>
          <w:tcPr>
            <w:tcW w:w="1155" w:type="pct"/>
            <w:vAlign w:val="center"/>
          </w:tcPr>
          <w:p w14:paraId="6D291C8A"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4,4</w:t>
            </w:r>
          </w:p>
        </w:tc>
      </w:tr>
      <w:tr w:rsidR="00E8617E" w:rsidRPr="00BC513A" w14:paraId="35ABD160" w14:textId="77777777" w:rsidTr="00922731">
        <w:trPr>
          <w:trHeight w:val="315"/>
          <w:jc w:val="center"/>
        </w:trPr>
        <w:tc>
          <w:tcPr>
            <w:tcW w:w="1799" w:type="pct"/>
            <w:shd w:val="clear" w:color="auto" w:fill="auto"/>
            <w:vAlign w:val="center"/>
            <w:hideMark/>
          </w:tcPr>
          <w:p w14:paraId="65E6CBF9"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Други</w:t>
            </w:r>
          </w:p>
        </w:tc>
        <w:tc>
          <w:tcPr>
            <w:tcW w:w="711" w:type="pct"/>
            <w:vAlign w:val="center"/>
          </w:tcPr>
          <w:p w14:paraId="622C0B89"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1 612</w:t>
            </w:r>
          </w:p>
        </w:tc>
        <w:tc>
          <w:tcPr>
            <w:tcW w:w="628" w:type="pct"/>
            <w:shd w:val="clear" w:color="auto" w:fill="auto"/>
            <w:noWrap/>
            <w:vAlign w:val="center"/>
            <w:hideMark/>
          </w:tcPr>
          <w:p w14:paraId="4EC37F2E"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4 184</w:t>
            </w:r>
          </w:p>
        </w:tc>
        <w:tc>
          <w:tcPr>
            <w:tcW w:w="707" w:type="pct"/>
            <w:shd w:val="clear" w:color="auto" w:fill="auto"/>
            <w:noWrap/>
            <w:vAlign w:val="center"/>
            <w:hideMark/>
          </w:tcPr>
          <w:p w14:paraId="3CF2DD94"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369</w:t>
            </w:r>
          </w:p>
        </w:tc>
        <w:tc>
          <w:tcPr>
            <w:tcW w:w="1155" w:type="pct"/>
            <w:vAlign w:val="center"/>
          </w:tcPr>
          <w:p w14:paraId="4C2B56C0"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2,6</w:t>
            </w:r>
          </w:p>
        </w:tc>
      </w:tr>
      <w:tr w:rsidR="00E8617E" w:rsidRPr="00BC513A" w14:paraId="11296CB6" w14:textId="77777777" w:rsidTr="00922731">
        <w:trPr>
          <w:trHeight w:val="315"/>
          <w:jc w:val="center"/>
        </w:trPr>
        <w:tc>
          <w:tcPr>
            <w:tcW w:w="1799" w:type="pct"/>
            <w:shd w:val="clear" w:color="auto" w:fill="DEEAF6" w:themeFill="accent1" w:themeFillTint="33"/>
            <w:vAlign w:val="center"/>
            <w:hideMark/>
          </w:tcPr>
          <w:p w14:paraId="1B8C309C"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ОБЩО</w:t>
            </w:r>
          </w:p>
        </w:tc>
        <w:tc>
          <w:tcPr>
            <w:tcW w:w="711" w:type="pct"/>
            <w:shd w:val="clear" w:color="auto" w:fill="DEEAF6" w:themeFill="accent1" w:themeFillTint="33"/>
            <w:vAlign w:val="center"/>
          </w:tcPr>
          <w:p w14:paraId="6C319741"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40 062</w:t>
            </w:r>
          </w:p>
        </w:tc>
        <w:tc>
          <w:tcPr>
            <w:tcW w:w="628" w:type="pct"/>
            <w:shd w:val="clear" w:color="auto" w:fill="DEEAF6" w:themeFill="accent1" w:themeFillTint="33"/>
            <w:noWrap/>
            <w:vAlign w:val="center"/>
            <w:hideMark/>
          </w:tcPr>
          <w:p w14:paraId="45847680"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203 909</w:t>
            </w:r>
          </w:p>
        </w:tc>
        <w:tc>
          <w:tcPr>
            <w:tcW w:w="707" w:type="pct"/>
            <w:shd w:val="clear" w:color="auto" w:fill="DEEAF6" w:themeFill="accent1" w:themeFillTint="33"/>
            <w:noWrap/>
            <w:vAlign w:val="center"/>
            <w:hideMark/>
          </w:tcPr>
          <w:p w14:paraId="05C2D6E8"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9 161</w:t>
            </w:r>
          </w:p>
        </w:tc>
        <w:tc>
          <w:tcPr>
            <w:tcW w:w="1155" w:type="pct"/>
            <w:shd w:val="clear" w:color="auto" w:fill="DEEAF6" w:themeFill="accent1" w:themeFillTint="33"/>
            <w:vAlign w:val="center"/>
          </w:tcPr>
          <w:p w14:paraId="1EBB43EC"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5,1</w:t>
            </w:r>
          </w:p>
        </w:tc>
      </w:tr>
    </w:tbl>
    <w:p w14:paraId="7D3C2987" w14:textId="77777777" w:rsidR="00E8617E" w:rsidRPr="00AE71CA" w:rsidRDefault="00E8617E" w:rsidP="00E8617E">
      <w:pPr>
        <w:spacing w:after="0" w:line="240" w:lineRule="auto"/>
        <w:jc w:val="both"/>
        <w:rPr>
          <w:rFonts w:ascii="Arial" w:hAnsi="Arial" w:cs="Arial"/>
          <w:sz w:val="18"/>
          <w:szCs w:val="18"/>
        </w:rPr>
      </w:pPr>
      <w:r w:rsidRPr="00AE71CA">
        <w:rPr>
          <w:rFonts w:ascii="Arial" w:hAnsi="Arial" w:cs="Arial"/>
          <w:sz w:val="18"/>
          <w:szCs w:val="18"/>
        </w:rPr>
        <w:t>Източник: МЗХГ</w:t>
      </w:r>
    </w:p>
    <w:p w14:paraId="08120EB7" w14:textId="12271DC8" w:rsidR="00E8617E" w:rsidRPr="00BC513A" w:rsidRDefault="00E8617E" w:rsidP="00886DDF">
      <w:pPr>
        <w:spacing w:before="120" w:after="0" w:line="300" w:lineRule="atLeast"/>
        <w:ind w:firstLine="709"/>
        <w:jc w:val="both"/>
        <w:rPr>
          <w:rFonts w:ascii="Arial" w:hAnsi="Arial" w:cs="Arial"/>
        </w:rPr>
      </w:pPr>
      <w:r w:rsidRPr="00BC513A">
        <w:rPr>
          <w:rFonts w:ascii="Arial" w:hAnsi="Arial" w:cs="Arial"/>
        </w:rPr>
        <w:t xml:space="preserve">Проведените обучения и информационни събития са събрани в 7 направления, като най-голям </w:t>
      </w:r>
      <w:r w:rsidR="007E0450">
        <w:rPr>
          <w:rFonts w:ascii="Arial" w:hAnsi="Arial" w:cs="Arial"/>
        </w:rPr>
        <w:t xml:space="preserve">брой </w:t>
      </w:r>
      <w:r w:rsidRPr="00BC513A">
        <w:rPr>
          <w:rFonts w:ascii="Arial" w:hAnsi="Arial" w:cs="Arial"/>
        </w:rPr>
        <w:t>участници има в тематичната област „Устойчиво управление на природните ресурси и опазване на околната среда”, съответно с обхванати 17 157 участници и общо 75 874 обучителни дни. В мярката е заложен и допълнителен индикатор</w:t>
      </w:r>
      <w:r w:rsidR="007E0450">
        <w:rPr>
          <w:rFonts w:ascii="Arial" w:hAnsi="Arial" w:cs="Arial"/>
        </w:rPr>
        <w:t>,</w:t>
      </w:r>
      <w:r w:rsidRPr="00BC513A">
        <w:rPr>
          <w:rFonts w:ascii="Arial" w:hAnsi="Arial" w:cs="Arial"/>
        </w:rPr>
        <w:t xml:space="preserve"> свързан с тази област на обучение, като целта в </w:t>
      </w:r>
      <w:r w:rsidR="000F57E9">
        <w:rPr>
          <w:rFonts w:ascii="Arial" w:hAnsi="Arial" w:cs="Arial"/>
        </w:rPr>
        <w:t>п</w:t>
      </w:r>
      <w:r w:rsidRPr="00BC513A">
        <w:rPr>
          <w:rFonts w:ascii="Arial" w:hAnsi="Arial" w:cs="Arial"/>
        </w:rPr>
        <w:t>рограмата е да бъдат обучени 5 930 производители. Тук отново се наблюдава преизпълнение на заложената цел, което възлиза на 289%. Това дава основание да се твърди, че в зависимост от разпределението на участниците в различните тематични направления се наблюдава подходящо разпределение, съобразено както с интересите, така и с нуждите на земеделската общност в страната в обхванатия период.</w:t>
      </w:r>
    </w:p>
    <w:p w14:paraId="37CB40E6" w14:textId="77777777" w:rsidR="00E8617E" w:rsidRPr="00BC513A" w:rsidRDefault="00E8617E" w:rsidP="00E8617E">
      <w:pPr>
        <w:spacing w:after="120" w:line="300" w:lineRule="atLeast"/>
        <w:ind w:firstLine="709"/>
        <w:jc w:val="both"/>
        <w:rPr>
          <w:rFonts w:ascii="Arial" w:hAnsi="Arial" w:cs="Arial"/>
        </w:rPr>
      </w:pPr>
      <w:r w:rsidRPr="00BC513A">
        <w:rPr>
          <w:rFonts w:ascii="Arial" w:hAnsi="Arial" w:cs="Arial"/>
        </w:rPr>
        <w:t>Една от идентифицираните слабости при прилагането на мярката, която е констатирана и при изготвената текуща оценка на ПРСР, обхващаща периода 2011-2013 г. е информираността на земеделските производители за възможността да присъстват в различните курсове и мероприятия, което е и една от причините за недостатъчния обхват на участници в обученията. Съответните центрове и организации</w:t>
      </w:r>
      <w:r w:rsidR="007E0450">
        <w:rPr>
          <w:rFonts w:ascii="Arial" w:hAnsi="Arial" w:cs="Arial"/>
        </w:rPr>
        <w:t>,</w:t>
      </w:r>
      <w:r w:rsidRPr="00BC513A">
        <w:rPr>
          <w:rFonts w:ascii="Arial" w:hAnsi="Arial" w:cs="Arial"/>
        </w:rPr>
        <w:t xml:space="preserve"> провеждащи обученията и информационните кампании не са успели в достатъчна степен да достигнат до всички потенциални кандидати и заинтересовани лица, което е попречило да се постигне още по-голям ефект и резултат от прилагането на мярката.</w:t>
      </w:r>
    </w:p>
    <w:p w14:paraId="0B8576CC" w14:textId="5BA45862"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В страната </w:t>
      </w:r>
      <w:r w:rsidR="007E0450">
        <w:rPr>
          <w:sz w:val="22"/>
          <w:szCs w:val="22"/>
          <w:lang w:val="bg-BG"/>
        </w:rPr>
        <w:t>през</w:t>
      </w:r>
      <w:r w:rsidR="007E0450" w:rsidRPr="00BC513A">
        <w:rPr>
          <w:sz w:val="22"/>
          <w:szCs w:val="22"/>
          <w:lang w:val="bg-BG"/>
        </w:rPr>
        <w:t xml:space="preserve"> </w:t>
      </w:r>
      <w:r w:rsidRPr="00BC513A">
        <w:rPr>
          <w:sz w:val="22"/>
          <w:szCs w:val="22"/>
          <w:lang w:val="bg-BG"/>
        </w:rPr>
        <w:t xml:space="preserve">последните години, като активни земеделски производители могат да се считат онези, които кандидатстват по различните схеми на директни плащания и техният брой в периода до 2013 </w:t>
      </w:r>
      <w:r w:rsidR="007E0450">
        <w:rPr>
          <w:sz w:val="22"/>
          <w:szCs w:val="22"/>
          <w:lang w:val="bg-BG"/>
        </w:rPr>
        <w:t xml:space="preserve">г. </w:t>
      </w:r>
      <w:r w:rsidRPr="00BC513A">
        <w:rPr>
          <w:sz w:val="22"/>
          <w:szCs w:val="22"/>
          <w:lang w:val="bg-BG"/>
        </w:rPr>
        <w:t>бе около 80 хил. В този случай, може да се предположи, че не повече от 50% от активните стопанства в периода до 2013 г</w:t>
      </w:r>
      <w:r w:rsidR="007E0450">
        <w:rPr>
          <w:sz w:val="22"/>
          <w:szCs w:val="22"/>
          <w:lang w:val="bg-BG"/>
        </w:rPr>
        <w:t>.</w:t>
      </w:r>
      <w:r w:rsidRPr="00BC513A">
        <w:rPr>
          <w:sz w:val="22"/>
          <w:szCs w:val="22"/>
          <w:lang w:val="bg-BG"/>
        </w:rPr>
        <w:t xml:space="preserve"> са имали под една или друга форма участие в провежданите обучения по мярката. Причина за това до голяма степен е свиване </w:t>
      </w:r>
      <w:r w:rsidR="007E0450">
        <w:rPr>
          <w:sz w:val="22"/>
          <w:szCs w:val="22"/>
          <w:lang w:val="bg-BG"/>
        </w:rPr>
        <w:t xml:space="preserve">на </w:t>
      </w:r>
      <w:r w:rsidRPr="00BC513A">
        <w:rPr>
          <w:sz w:val="22"/>
          <w:szCs w:val="22"/>
          <w:lang w:val="bg-BG"/>
        </w:rPr>
        <w:t>бюджета на мярката, който остава на нива от 22% от първоначално заложения. В същото време съкращаването на бюджета не е неоправдано, защото от постигнатите резултати се вижда, че първоначалният бюджет е силно надценен</w:t>
      </w:r>
      <w:r w:rsidR="007E0450">
        <w:rPr>
          <w:sz w:val="22"/>
          <w:szCs w:val="22"/>
          <w:lang w:val="bg-BG"/>
        </w:rPr>
        <w:t>,</w:t>
      </w:r>
      <w:r w:rsidRPr="00BC513A">
        <w:rPr>
          <w:sz w:val="22"/>
          <w:szCs w:val="22"/>
          <w:lang w:val="bg-BG"/>
        </w:rPr>
        <w:t xml:space="preserve"> тъй като дори с неколкократно съкратен бюджет целите на изходните индикатори за участници и продължителност на обученията са постигнати.</w:t>
      </w:r>
    </w:p>
    <w:p w14:paraId="1A2B2F47" w14:textId="4ADF802B"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Общата оценката на въздействието на мярка 111 е направена на база заложения в ПРСР индикатор, който е промяна на добавената стойност в земеделието на ГРЕ. От мярката се очаква да допринесе за повишаване производителността на труда в българското земеделие. Повишението на производителността на труда е функция както на обучението и по-доброто знание сред производителите, но още в по-голяма степен и на модернизацията на производствените процеси. </w:t>
      </w:r>
    </w:p>
    <w:p w14:paraId="05C16EFE" w14:textId="77777777" w:rsidR="00E8617E" w:rsidRPr="00AE71CA" w:rsidRDefault="00AE71CA" w:rsidP="007C3883">
      <w:pPr>
        <w:pStyle w:val="DefaultText"/>
        <w:spacing w:line="240" w:lineRule="auto"/>
        <w:rPr>
          <w:rFonts w:eastAsiaTheme="minorHAnsi" w:cs="Arial"/>
          <w:i/>
          <w:szCs w:val="18"/>
          <w:lang w:val="bg-BG" w:eastAsia="en-US"/>
        </w:rPr>
      </w:pPr>
      <w:r w:rsidRPr="00AE71CA">
        <w:rPr>
          <w:szCs w:val="18"/>
          <w:lang w:val="bg-BG"/>
        </w:rPr>
        <w:object w:dxaOrig="9093" w:dyaOrig="4546" w14:anchorId="71BDF7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15pt;height:208.85pt" o:ole="">
            <v:imagedata r:id="rId35" o:title=""/>
          </v:shape>
          <o:OLEObject Type="Embed" ProgID="Excel.Sheet.12" ShapeID="_x0000_i1025" DrawAspect="Content" ObjectID="_1585652216" r:id="rId36"/>
        </w:object>
      </w:r>
      <w:r w:rsidR="00E8617E" w:rsidRPr="00AE71CA">
        <w:rPr>
          <w:rFonts w:eastAsiaTheme="minorHAnsi" w:cs="Arial"/>
          <w:szCs w:val="18"/>
          <w:lang w:val="bg-BG" w:eastAsia="en-US"/>
        </w:rPr>
        <w:t>Източник: НСИ</w:t>
      </w:r>
    </w:p>
    <w:p w14:paraId="68CBC297" w14:textId="45C33C9B" w:rsidR="00E8617E" w:rsidRPr="00BC513A" w:rsidRDefault="00E8617E" w:rsidP="007C3883">
      <w:pPr>
        <w:pStyle w:val="Caption"/>
        <w:keepNext/>
        <w:spacing w:before="40" w:after="0"/>
        <w:jc w:val="center"/>
        <w:rPr>
          <w:rFonts w:ascii="Arial" w:hAnsi="Arial" w:cs="Arial"/>
          <w:b/>
          <w:i w:val="0"/>
          <w:color w:val="0070C0"/>
          <w:sz w:val="20"/>
          <w:szCs w:val="20"/>
        </w:rPr>
      </w:pPr>
      <w:bookmarkStart w:id="94" w:name="_Toc506984712"/>
      <w:r w:rsidRPr="00BC513A">
        <w:rPr>
          <w:rFonts w:ascii="Arial" w:hAnsi="Arial" w:cs="Arial"/>
          <w:b/>
          <w:i w:val="0"/>
          <w:color w:val="0070C0"/>
          <w:sz w:val="20"/>
          <w:szCs w:val="20"/>
        </w:rPr>
        <w:t xml:space="preserve">Фигура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Фигура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6</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xml:space="preserve">. БДС и факторен доход на </w:t>
      </w:r>
      <w:r w:rsidR="00174633">
        <w:rPr>
          <w:rFonts w:ascii="Arial" w:hAnsi="Arial" w:cs="Arial"/>
          <w:b/>
          <w:i w:val="0"/>
          <w:color w:val="0070C0"/>
          <w:sz w:val="20"/>
          <w:szCs w:val="20"/>
        </w:rPr>
        <w:t>г</w:t>
      </w:r>
      <w:r w:rsidRPr="00BC513A">
        <w:rPr>
          <w:rFonts w:ascii="Arial" w:hAnsi="Arial" w:cs="Arial"/>
          <w:b/>
          <w:i w:val="0"/>
          <w:color w:val="0070C0"/>
          <w:sz w:val="20"/>
          <w:szCs w:val="20"/>
        </w:rPr>
        <w:t>одишна работна единица, лв</w:t>
      </w:r>
      <w:r w:rsidR="007E0450">
        <w:rPr>
          <w:rFonts w:ascii="Arial" w:hAnsi="Arial" w:cs="Arial"/>
          <w:b/>
          <w:i w:val="0"/>
          <w:color w:val="0070C0"/>
          <w:sz w:val="20"/>
          <w:szCs w:val="20"/>
        </w:rPr>
        <w:t>.</w:t>
      </w:r>
      <w:r w:rsidRPr="00BC513A">
        <w:rPr>
          <w:rFonts w:ascii="Arial" w:hAnsi="Arial" w:cs="Arial"/>
          <w:b/>
          <w:i w:val="0"/>
          <w:color w:val="0070C0"/>
          <w:sz w:val="20"/>
          <w:szCs w:val="20"/>
        </w:rPr>
        <w:t>/ГРЕ</w:t>
      </w:r>
      <w:bookmarkEnd w:id="94"/>
    </w:p>
    <w:p w14:paraId="6BF4FD29" w14:textId="77777777" w:rsidR="00E8617E" w:rsidRPr="007C3883" w:rsidRDefault="00E8617E" w:rsidP="007C3883">
      <w:pPr>
        <w:pStyle w:val="DefaultText"/>
        <w:spacing w:line="240" w:lineRule="auto"/>
        <w:rPr>
          <w:rFonts w:eastAsiaTheme="minorHAnsi" w:cs="Arial"/>
          <w:b/>
          <w:i/>
          <w:sz w:val="14"/>
          <w:szCs w:val="20"/>
          <w:lang w:val="bg-BG" w:eastAsia="en-US"/>
        </w:rPr>
      </w:pPr>
    </w:p>
    <w:p w14:paraId="30A0F3B9" w14:textId="7D96DC2D"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В същото време промяната на производствената структура, както и изменението на разходните производни</w:t>
      </w:r>
      <w:r w:rsidR="00D8355A">
        <w:rPr>
          <w:sz w:val="22"/>
          <w:szCs w:val="22"/>
          <w:lang w:val="bg-BG"/>
        </w:rPr>
        <w:t>,</w:t>
      </w:r>
      <w:r w:rsidRPr="00BC513A">
        <w:rPr>
          <w:sz w:val="22"/>
          <w:szCs w:val="22"/>
          <w:lang w:val="bg-BG"/>
        </w:rPr>
        <w:t xml:space="preserve"> също влияе върху добавената стойност и вложения труд в земеделието. За периода 2007 – 2013 г. номиналната възвращаемост на труда нараства до 10 317 лв</w:t>
      </w:r>
      <w:r w:rsidR="00D8355A">
        <w:rPr>
          <w:sz w:val="22"/>
          <w:szCs w:val="22"/>
          <w:lang w:val="bg-BG"/>
        </w:rPr>
        <w:t>.</w:t>
      </w:r>
      <w:r w:rsidRPr="00BC513A">
        <w:rPr>
          <w:sz w:val="22"/>
          <w:szCs w:val="22"/>
          <w:lang w:val="bg-BG"/>
        </w:rPr>
        <w:t>/ГРЕ. За периода до 2015 г. производителността на труда нараства повече от 2 пъти в сравнение с базовата 2006 г., което се изчислява на 2</w:t>
      </w:r>
      <w:r w:rsidR="00D8355A">
        <w:rPr>
          <w:sz w:val="22"/>
          <w:szCs w:val="22"/>
          <w:lang w:val="bg-BG"/>
        </w:rPr>
        <w:t> </w:t>
      </w:r>
      <w:r w:rsidRPr="00BC513A">
        <w:rPr>
          <w:sz w:val="22"/>
          <w:szCs w:val="22"/>
          <w:lang w:val="bg-BG"/>
        </w:rPr>
        <w:t>998 евро/ГРЕ. На годишна база в абсолютна стойност това прави 333 евро/ГРЕ. Заложеният индикатор в програмата ∆БДС/ГРЕ е 230 евро. Да се изчисли точно приносът на мярката в повишение на производителността на труда е много трудно</w:t>
      </w:r>
      <w:r w:rsidR="00D8355A">
        <w:rPr>
          <w:sz w:val="22"/>
          <w:szCs w:val="22"/>
          <w:lang w:val="bg-BG"/>
        </w:rPr>
        <w:t>,</w:t>
      </w:r>
      <w:r w:rsidRPr="00BC513A">
        <w:rPr>
          <w:sz w:val="22"/>
          <w:szCs w:val="22"/>
          <w:lang w:val="bg-BG"/>
        </w:rPr>
        <w:t xml:space="preserve"> защото такива данни не са събирани. Макар, както бе споменато</w:t>
      </w:r>
      <w:r w:rsidR="00D8355A">
        <w:rPr>
          <w:sz w:val="22"/>
          <w:szCs w:val="22"/>
          <w:lang w:val="bg-BG"/>
        </w:rPr>
        <w:t>,</w:t>
      </w:r>
      <w:r w:rsidRPr="00BC513A">
        <w:rPr>
          <w:sz w:val="22"/>
          <w:szCs w:val="22"/>
          <w:lang w:val="bg-BG"/>
        </w:rPr>
        <w:t xml:space="preserve"> много по-сериозен принос към чувствителното подобрение на показателя да имат други фактори, безспорно принос за това имат и извършените обучения и проведените информационни мероприятия по мярка 111.</w:t>
      </w:r>
    </w:p>
    <w:p w14:paraId="29B2D45A" w14:textId="6759AE6A"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 xml:space="preserve">Българското земеделие има нужда както от повишаване на знанията, така и от подобряване на информираността на активните земеделски производители. Има много теми, които са значими и приоритетни и трябва да се намерят както подходящи форми, така и изпълнители. По темата за устойчиво управление на природните ресурси има най-голям дял обучени. Има редица проблеми, които до голяма степен могат да бъдат намалени чрез обучение и повече информация. Такива са проблемите с намаляване на азотния и фосфорен баланс в почвите и увеличаване на парниковите емисии от земеделие. Също така в страната има проблеми с производителността и добивите и това е най-силно в секторите, определени в </w:t>
      </w:r>
      <w:r w:rsidR="000F57E9">
        <w:rPr>
          <w:sz w:val="22"/>
          <w:szCs w:val="22"/>
          <w:lang w:val="bg-BG"/>
        </w:rPr>
        <w:t>п</w:t>
      </w:r>
      <w:r w:rsidRPr="00BC513A">
        <w:rPr>
          <w:sz w:val="22"/>
          <w:szCs w:val="22"/>
          <w:lang w:val="bg-BG"/>
        </w:rPr>
        <w:t>рограмата като чувствителни – мляко и градинарство. По мярката 37% от обучените са по темите на технически и технологични умения и практики, но в същото време въпросите с ниските добиви (в млякото 70% по-ниски добиви в сравнение с ЕС) продължават да бъдат остри и много малко е направено в тази област.</w:t>
      </w:r>
    </w:p>
    <w:p w14:paraId="4C8959DC" w14:textId="768509B9"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В бъдеще безспорно ще има от повече и по-добре фокусирани</w:t>
      </w:r>
      <w:r w:rsidR="00D8355A">
        <w:rPr>
          <w:sz w:val="22"/>
          <w:szCs w:val="22"/>
          <w:lang w:val="bg-BG"/>
        </w:rPr>
        <w:t>те</w:t>
      </w:r>
      <w:r w:rsidRPr="00BC513A">
        <w:rPr>
          <w:sz w:val="22"/>
          <w:szCs w:val="22"/>
          <w:lang w:val="bg-BG"/>
        </w:rPr>
        <w:t xml:space="preserve"> обучения и информационните кампании. Целта трябва да бъде да се достигне до много повече производители и заети в земеделието. Провеждането на демонстрационни обучения по места дава много предимства, като осигурява по-добър достъп на фермерите и </w:t>
      </w:r>
      <w:r w:rsidRPr="00BC513A">
        <w:rPr>
          <w:sz w:val="22"/>
          <w:szCs w:val="22"/>
          <w:lang w:val="bg-BG"/>
        </w:rPr>
        <w:lastRenderedPageBreak/>
        <w:t>води до съкращаване на разходите за обучение. По-дългосрочните обучения трябва да се обмислят и да се провеждат от доказани институции, което да гарантира качество на знанията, защото в периода през този период общо бенефициенти по мярката са били 91 обучаващи организации, но много от тях нямат достатъчен капацитет да предават по-специализирани знания. Като обобщение, с оглед на размера на изразходваните средства по мярката, изходната среда от която се тръгва, експертният и технически капацитет, който съществува</w:t>
      </w:r>
      <w:r w:rsidR="00D8355A">
        <w:rPr>
          <w:sz w:val="22"/>
          <w:szCs w:val="22"/>
          <w:lang w:val="bg-BG"/>
        </w:rPr>
        <w:t>,</w:t>
      </w:r>
      <w:r w:rsidRPr="00BC513A">
        <w:rPr>
          <w:sz w:val="22"/>
          <w:szCs w:val="22"/>
          <w:lang w:val="bg-BG"/>
        </w:rPr>
        <w:t xml:space="preserve"> постигнатите резултати и ефекти могат да се оценят като добри и мярката допринася положително за успешното прилагане на </w:t>
      </w:r>
      <w:r w:rsidR="000F57E9">
        <w:rPr>
          <w:sz w:val="22"/>
          <w:szCs w:val="22"/>
          <w:lang w:val="bg-BG"/>
        </w:rPr>
        <w:t>п</w:t>
      </w:r>
      <w:r w:rsidRPr="00BC513A">
        <w:rPr>
          <w:sz w:val="22"/>
          <w:szCs w:val="22"/>
          <w:lang w:val="bg-BG"/>
        </w:rPr>
        <w:t>рограмата.</w:t>
      </w:r>
    </w:p>
    <w:bookmarkEnd w:id="90"/>
    <w:p w14:paraId="4C492C9B" w14:textId="77777777" w:rsidR="00E8617E" w:rsidRPr="00BC513A" w:rsidRDefault="00E8617E" w:rsidP="00AE71CA">
      <w:pPr>
        <w:pStyle w:val="DefaultText"/>
        <w:keepNext/>
        <w:spacing w:before="240" w:after="120" w:line="300" w:lineRule="atLeast"/>
        <w:ind w:firstLine="709"/>
        <w:rPr>
          <w:i/>
          <w:sz w:val="22"/>
          <w:szCs w:val="22"/>
          <w:lang w:val="bg-BG"/>
        </w:rPr>
      </w:pPr>
      <w:r w:rsidRPr="00BC513A">
        <w:rPr>
          <w:i/>
          <w:sz w:val="22"/>
          <w:szCs w:val="22"/>
          <w:lang w:val="bg-BG"/>
        </w:rPr>
        <w:t>112. Създаване на стопанства на млади фермери</w:t>
      </w:r>
    </w:p>
    <w:p w14:paraId="2E410E6D"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Мярка 112 за създаване на стопанства за млади фермери е сред първите мерки, стартирали в програмния период 2007-2013 г. (на 17.04.2008 г.) Първоначално заложения</w:t>
      </w:r>
      <w:r w:rsidR="00D8355A">
        <w:rPr>
          <w:rFonts w:ascii="Arial" w:hAnsi="Arial" w:cs="Arial"/>
        </w:rPr>
        <w:t>т</w:t>
      </w:r>
      <w:r w:rsidRPr="00BC513A">
        <w:rPr>
          <w:rFonts w:ascii="Arial" w:hAnsi="Arial" w:cs="Arial"/>
        </w:rPr>
        <w:t xml:space="preserve"> бюджет по мярката възлиза на 102,4 млн. евро обща публична подкрепа, от която 81,9 млн. евро е приносът на ЕЗФРСР. В края на финансовия период крайният бюджет по мярката достига 118  млн. евро общо публични средства, като усвоените и разплатени средства са 115  млн. евро. Финансовото изпълнение на М112 се изчислява на 97,1%, което е много висок процент на изпълнение.</w:t>
      </w:r>
    </w:p>
    <w:p w14:paraId="10D33674" w14:textId="113ADA64"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 xml:space="preserve">Още през първата година на приложение (2008 г) са постъпили 1 957 проекта на млади фермери с бюджет от 49 млн. евро, което съставлява почти 45% от целия бюджет на мярката. </w:t>
      </w:r>
    </w:p>
    <w:p w14:paraId="11DCC53A" w14:textId="77777777" w:rsidR="00E8617E" w:rsidRPr="00BC513A" w:rsidRDefault="00E8617E" w:rsidP="00E8617E">
      <w:pPr>
        <w:pStyle w:val="DefaultText"/>
        <w:keepNext/>
        <w:spacing w:before="240"/>
        <w:rPr>
          <w:b/>
          <w:lang w:val="bg-BG"/>
        </w:rPr>
      </w:pPr>
      <w:bookmarkStart w:id="95" w:name="_Toc504136198"/>
      <w:bookmarkStart w:id="96" w:name="_Toc391899884"/>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26</w:t>
      </w:r>
      <w:r w:rsidRPr="00BC513A">
        <w:rPr>
          <w:rFonts w:cs="Arial"/>
          <w:b/>
          <w:color w:val="0070C0"/>
          <w:sz w:val="20"/>
          <w:szCs w:val="20"/>
          <w:lang w:val="bg-BG"/>
        </w:rPr>
        <w:fldChar w:fldCharType="end"/>
      </w:r>
      <w:r w:rsidRPr="00BC513A">
        <w:rPr>
          <w:rFonts w:cs="Arial"/>
          <w:b/>
          <w:color w:val="0070C0"/>
          <w:sz w:val="20"/>
          <w:szCs w:val="20"/>
          <w:lang w:val="bg-BG"/>
        </w:rPr>
        <w:t>. Подадени, отхвърлени, сключени и платени заявки по мярка 112</w:t>
      </w:r>
      <w:bookmarkEnd w:id="95"/>
      <w:r w:rsidRPr="00BC513A">
        <w:rPr>
          <w:b/>
          <w:lang w:val="bg-BG"/>
        </w:rPr>
        <w:t xml:space="preserve"> </w:t>
      </w:r>
      <w:bookmarkEnd w:id="96"/>
    </w:p>
    <w:tbl>
      <w:tblPr>
        <w:tblW w:w="5000" w:type="pct"/>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1152"/>
        <w:gridCol w:w="761"/>
        <w:gridCol w:w="1277"/>
        <w:gridCol w:w="707"/>
        <w:gridCol w:w="1135"/>
        <w:gridCol w:w="707"/>
        <w:gridCol w:w="1278"/>
        <w:gridCol w:w="851"/>
        <w:gridCol w:w="1343"/>
      </w:tblGrid>
      <w:tr w:rsidR="00E8617E" w:rsidRPr="00BC513A" w14:paraId="717356F8" w14:textId="77777777" w:rsidTr="00922731">
        <w:trPr>
          <w:trHeight w:val="315"/>
        </w:trPr>
        <w:tc>
          <w:tcPr>
            <w:tcW w:w="625" w:type="pct"/>
            <w:vMerge w:val="restart"/>
            <w:shd w:val="clear" w:color="auto" w:fill="1F4E79" w:themeFill="accent1" w:themeFillShade="80"/>
            <w:vAlign w:val="center"/>
            <w:hideMark/>
          </w:tcPr>
          <w:p w14:paraId="5D8707A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Години</w:t>
            </w:r>
          </w:p>
        </w:tc>
        <w:tc>
          <w:tcPr>
            <w:tcW w:w="1106" w:type="pct"/>
            <w:gridSpan w:val="2"/>
            <w:shd w:val="clear" w:color="auto" w:fill="1F4E79" w:themeFill="accent1" w:themeFillShade="80"/>
            <w:vAlign w:val="center"/>
            <w:hideMark/>
          </w:tcPr>
          <w:p w14:paraId="203E6E3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Постъпили заявления</w:t>
            </w:r>
          </w:p>
        </w:tc>
        <w:tc>
          <w:tcPr>
            <w:tcW w:w="1000" w:type="pct"/>
            <w:gridSpan w:val="2"/>
            <w:shd w:val="clear" w:color="auto" w:fill="1F4E79" w:themeFill="accent1" w:themeFillShade="80"/>
            <w:vAlign w:val="center"/>
            <w:hideMark/>
          </w:tcPr>
          <w:p w14:paraId="1617CD5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Сключени договори</w:t>
            </w:r>
          </w:p>
        </w:tc>
        <w:tc>
          <w:tcPr>
            <w:tcW w:w="1078" w:type="pct"/>
            <w:gridSpan w:val="2"/>
            <w:shd w:val="clear" w:color="auto" w:fill="1F4E79" w:themeFill="accent1" w:themeFillShade="80"/>
            <w:vAlign w:val="center"/>
            <w:hideMark/>
          </w:tcPr>
          <w:p w14:paraId="2A2D3868"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Отхвърлени заявления заради липса на бюджет</w:t>
            </w:r>
          </w:p>
        </w:tc>
        <w:tc>
          <w:tcPr>
            <w:tcW w:w="1191" w:type="pct"/>
            <w:gridSpan w:val="2"/>
            <w:shd w:val="clear" w:color="auto" w:fill="1F4E79" w:themeFill="accent1" w:themeFillShade="80"/>
            <w:vAlign w:val="center"/>
            <w:hideMark/>
          </w:tcPr>
          <w:p w14:paraId="23D9B14B"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Изплатени средства</w:t>
            </w:r>
          </w:p>
        </w:tc>
      </w:tr>
      <w:tr w:rsidR="00E8617E" w:rsidRPr="00BC513A" w14:paraId="2A6DE436" w14:textId="77777777" w:rsidTr="00922731">
        <w:trPr>
          <w:trHeight w:val="1260"/>
        </w:trPr>
        <w:tc>
          <w:tcPr>
            <w:tcW w:w="625" w:type="pct"/>
            <w:vMerge/>
            <w:shd w:val="clear" w:color="auto" w:fill="1F4E79" w:themeFill="accent1" w:themeFillShade="80"/>
            <w:vAlign w:val="center"/>
            <w:hideMark/>
          </w:tcPr>
          <w:p w14:paraId="70DC684B" w14:textId="77777777" w:rsidR="00E8617E" w:rsidRPr="00BC513A" w:rsidRDefault="00E8617E" w:rsidP="00922731">
            <w:pPr>
              <w:spacing w:after="0" w:line="240" w:lineRule="auto"/>
              <w:rPr>
                <w:rFonts w:ascii="Arial" w:eastAsia="Times New Roman" w:hAnsi="Arial" w:cs="Arial"/>
                <w:b/>
                <w:bCs/>
                <w:color w:val="FFFFFF" w:themeColor="background1"/>
                <w:sz w:val="20"/>
                <w:szCs w:val="20"/>
                <w:lang w:eastAsia="bg-BG"/>
              </w:rPr>
            </w:pPr>
          </w:p>
        </w:tc>
        <w:tc>
          <w:tcPr>
            <w:tcW w:w="413" w:type="pct"/>
            <w:shd w:val="clear" w:color="auto" w:fill="1F4E79" w:themeFill="accent1" w:themeFillShade="80"/>
            <w:vAlign w:val="center"/>
            <w:hideMark/>
          </w:tcPr>
          <w:p w14:paraId="5299FD5B"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w:t>
            </w:r>
          </w:p>
        </w:tc>
        <w:tc>
          <w:tcPr>
            <w:tcW w:w="693" w:type="pct"/>
            <w:shd w:val="clear" w:color="auto" w:fill="1F4E79" w:themeFill="accent1" w:themeFillShade="80"/>
            <w:vAlign w:val="center"/>
            <w:hideMark/>
          </w:tcPr>
          <w:p w14:paraId="78996C7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публични разходи млн. евро</w:t>
            </w:r>
          </w:p>
        </w:tc>
        <w:tc>
          <w:tcPr>
            <w:tcW w:w="384" w:type="pct"/>
            <w:shd w:val="clear" w:color="auto" w:fill="1F4E79" w:themeFill="accent1" w:themeFillShade="80"/>
            <w:vAlign w:val="center"/>
            <w:hideMark/>
          </w:tcPr>
          <w:p w14:paraId="30E3EED9"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w:t>
            </w:r>
          </w:p>
        </w:tc>
        <w:tc>
          <w:tcPr>
            <w:tcW w:w="616" w:type="pct"/>
            <w:shd w:val="clear" w:color="auto" w:fill="1F4E79" w:themeFill="accent1" w:themeFillShade="80"/>
            <w:vAlign w:val="center"/>
            <w:hideMark/>
          </w:tcPr>
          <w:p w14:paraId="334EC2F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публични разходи млн. евро</w:t>
            </w:r>
          </w:p>
        </w:tc>
        <w:tc>
          <w:tcPr>
            <w:tcW w:w="384" w:type="pct"/>
            <w:shd w:val="clear" w:color="auto" w:fill="1F4E79" w:themeFill="accent1" w:themeFillShade="80"/>
            <w:vAlign w:val="center"/>
            <w:hideMark/>
          </w:tcPr>
          <w:p w14:paraId="6F9B3AA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w:t>
            </w:r>
          </w:p>
        </w:tc>
        <w:tc>
          <w:tcPr>
            <w:tcW w:w="694" w:type="pct"/>
            <w:shd w:val="clear" w:color="auto" w:fill="1F4E79" w:themeFill="accent1" w:themeFillShade="80"/>
            <w:vAlign w:val="center"/>
            <w:hideMark/>
          </w:tcPr>
          <w:p w14:paraId="3126E5BA"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публични разходи млн. евро</w:t>
            </w:r>
          </w:p>
        </w:tc>
        <w:tc>
          <w:tcPr>
            <w:tcW w:w="462" w:type="pct"/>
            <w:shd w:val="clear" w:color="auto" w:fill="1F4E79" w:themeFill="accent1" w:themeFillShade="80"/>
            <w:vAlign w:val="center"/>
            <w:hideMark/>
          </w:tcPr>
          <w:p w14:paraId="3C47D32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w:t>
            </w:r>
          </w:p>
        </w:tc>
        <w:tc>
          <w:tcPr>
            <w:tcW w:w="729" w:type="pct"/>
            <w:shd w:val="clear" w:color="auto" w:fill="1F4E79" w:themeFill="accent1" w:themeFillShade="80"/>
            <w:vAlign w:val="center"/>
            <w:hideMark/>
          </w:tcPr>
          <w:p w14:paraId="2A7D77E9"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публични разходи млн. евро</w:t>
            </w:r>
          </w:p>
        </w:tc>
      </w:tr>
      <w:tr w:rsidR="00E8617E" w:rsidRPr="00BC513A" w14:paraId="45E13A76" w14:textId="77777777" w:rsidTr="00922731">
        <w:trPr>
          <w:trHeight w:val="315"/>
        </w:trPr>
        <w:tc>
          <w:tcPr>
            <w:tcW w:w="625" w:type="pct"/>
            <w:shd w:val="clear" w:color="auto" w:fill="auto"/>
            <w:noWrap/>
            <w:vAlign w:val="center"/>
            <w:hideMark/>
          </w:tcPr>
          <w:p w14:paraId="54D8B8CB"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2008</w:t>
            </w:r>
          </w:p>
        </w:tc>
        <w:tc>
          <w:tcPr>
            <w:tcW w:w="413" w:type="pct"/>
            <w:shd w:val="clear" w:color="auto" w:fill="auto"/>
            <w:noWrap/>
            <w:vAlign w:val="center"/>
            <w:hideMark/>
          </w:tcPr>
          <w:p w14:paraId="1936210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1 957</w:t>
            </w:r>
          </w:p>
        </w:tc>
        <w:tc>
          <w:tcPr>
            <w:tcW w:w="693" w:type="pct"/>
            <w:shd w:val="clear" w:color="auto" w:fill="auto"/>
            <w:noWrap/>
            <w:vAlign w:val="center"/>
            <w:hideMark/>
          </w:tcPr>
          <w:p w14:paraId="4C9E0F3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49</w:t>
            </w:r>
          </w:p>
        </w:tc>
        <w:tc>
          <w:tcPr>
            <w:tcW w:w="384" w:type="pct"/>
            <w:shd w:val="clear" w:color="auto" w:fill="auto"/>
            <w:noWrap/>
            <w:vAlign w:val="center"/>
            <w:hideMark/>
          </w:tcPr>
          <w:p w14:paraId="66BA8C9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392</w:t>
            </w:r>
          </w:p>
        </w:tc>
        <w:tc>
          <w:tcPr>
            <w:tcW w:w="616" w:type="pct"/>
            <w:shd w:val="clear" w:color="auto" w:fill="auto"/>
            <w:noWrap/>
            <w:vAlign w:val="center"/>
            <w:hideMark/>
          </w:tcPr>
          <w:p w14:paraId="1DB168D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10</w:t>
            </w:r>
          </w:p>
        </w:tc>
        <w:tc>
          <w:tcPr>
            <w:tcW w:w="384" w:type="pct"/>
            <w:shd w:val="clear" w:color="auto" w:fill="auto"/>
            <w:noWrap/>
            <w:vAlign w:val="center"/>
            <w:hideMark/>
          </w:tcPr>
          <w:p w14:paraId="3A108322"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694" w:type="pct"/>
            <w:shd w:val="clear" w:color="auto" w:fill="auto"/>
            <w:noWrap/>
            <w:vAlign w:val="center"/>
            <w:hideMark/>
          </w:tcPr>
          <w:p w14:paraId="26838692"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462" w:type="pct"/>
            <w:shd w:val="clear" w:color="auto" w:fill="auto"/>
            <w:noWrap/>
            <w:vAlign w:val="center"/>
            <w:hideMark/>
          </w:tcPr>
          <w:p w14:paraId="1ECE5300"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0,4</w:t>
            </w:r>
          </w:p>
        </w:tc>
        <w:tc>
          <w:tcPr>
            <w:tcW w:w="729" w:type="pct"/>
            <w:shd w:val="clear" w:color="auto" w:fill="auto"/>
            <w:noWrap/>
            <w:vAlign w:val="center"/>
            <w:hideMark/>
          </w:tcPr>
          <w:p w14:paraId="6C52F72C"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0,5</w:t>
            </w:r>
          </w:p>
        </w:tc>
      </w:tr>
      <w:tr w:rsidR="00E8617E" w:rsidRPr="00BC513A" w14:paraId="383009F9" w14:textId="77777777" w:rsidTr="00922731">
        <w:trPr>
          <w:trHeight w:val="315"/>
        </w:trPr>
        <w:tc>
          <w:tcPr>
            <w:tcW w:w="625" w:type="pct"/>
            <w:shd w:val="clear" w:color="auto" w:fill="auto"/>
            <w:noWrap/>
            <w:vAlign w:val="center"/>
            <w:hideMark/>
          </w:tcPr>
          <w:p w14:paraId="6C8C94DC"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2009</w:t>
            </w:r>
          </w:p>
        </w:tc>
        <w:tc>
          <w:tcPr>
            <w:tcW w:w="413" w:type="pct"/>
            <w:shd w:val="clear" w:color="auto" w:fill="auto"/>
            <w:noWrap/>
            <w:vAlign w:val="center"/>
            <w:hideMark/>
          </w:tcPr>
          <w:p w14:paraId="6837AD8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3 476</w:t>
            </w:r>
          </w:p>
        </w:tc>
        <w:tc>
          <w:tcPr>
            <w:tcW w:w="693" w:type="pct"/>
            <w:shd w:val="clear" w:color="auto" w:fill="auto"/>
            <w:noWrap/>
            <w:vAlign w:val="center"/>
            <w:hideMark/>
          </w:tcPr>
          <w:p w14:paraId="3B086284"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87</w:t>
            </w:r>
          </w:p>
        </w:tc>
        <w:tc>
          <w:tcPr>
            <w:tcW w:w="384" w:type="pct"/>
            <w:shd w:val="clear" w:color="auto" w:fill="auto"/>
            <w:noWrap/>
            <w:vAlign w:val="center"/>
            <w:hideMark/>
          </w:tcPr>
          <w:p w14:paraId="4BB8395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2 040</w:t>
            </w:r>
          </w:p>
        </w:tc>
        <w:tc>
          <w:tcPr>
            <w:tcW w:w="616" w:type="pct"/>
            <w:shd w:val="clear" w:color="auto" w:fill="auto"/>
            <w:noWrap/>
            <w:vAlign w:val="center"/>
            <w:hideMark/>
          </w:tcPr>
          <w:p w14:paraId="757BD0A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51</w:t>
            </w:r>
          </w:p>
        </w:tc>
        <w:tc>
          <w:tcPr>
            <w:tcW w:w="384" w:type="pct"/>
            <w:shd w:val="clear" w:color="auto" w:fill="auto"/>
            <w:noWrap/>
            <w:vAlign w:val="center"/>
            <w:hideMark/>
          </w:tcPr>
          <w:p w14:paraId="2A01B7DF"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694" w:type="pct"/>
            <w:shd w:val="clear" w:color="auto" w:fill="auto"/>
            <w:noWrap/>
            <w:vAlign w:val="center"/>
            <w:hideMark/>
          </w:tcPr>
          <w:p w14:paraId="1EF7A7E0"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462" w:type="pct"/>
            <w:shd w:val="clear" w:color="auto" w:fill="auto"/>
            <w:noWrap/>
            <w:vAlign w:val="center"/>
            <w:hideMark/>
          </w:tcPr>
          <w:p w14:paraId="1DF00941"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14,38</w:t>
            </w:r>
          </w:p>
        </w:tc>
        <w:tc>
          <w:tcPr>
            <w:tcW w:w="729" w:type="pct"/>
            <w:shd w:val="clear" w:color="auto" w:fill="auto"/>
            <w:noWrap/>
            <w:vAlign w:val="center"/>
            <w:hideMark/>
          </w:tcPr>
          <w:p w14:paraId="1C9FC407"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17,97</w:t>
            </w:r>
          </w:p>
        </w:tc>
      </w:tr>
      <w:tr w:rsidR="00E8617E" w:rsidRPr="00BC513A" w14:paraId="40ABFEB0" w14:textId="77777777" w:rsidTr="00922731">
        <w:trPr>
          <w:trHeight w:val="315"/>
        </w:trPr>
        <w:tc>
          <w:tcPr>
            <w:tcW w:w="625" w:type="pct"/>
            <w:shd w:val="clear" w:color="auto" w:fill="auto"/>
            <w:noWrap/>
            <w:vAlign w:val="center"/>
            <w:hideMark/>
          </w:tcPr>
          <w:p w14:paraId="25FB6F99"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2010</w:t>
            </w:r>
          </w:p>
        </w:tc>
        <w:tc>
          <w:tcPr>
            <w:tcW w:w="413" w:type="pct"/>
            <w:shd w:val="clear" w:color="auto" w:fill="auto"/>
            <w:noWrap/>
            <w:vAlign w:val="center"/>
            <w:hideMark/>
          </w:tcPr>
          <w:p w14:paraId="39F507C4"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693" w:type="pct"/>
            <w:shd w:val="clear" w:color="auto" w:fill="auto"/>
            <w:noWrap/>
            <w:vAlign w:val="center"/>
            <w:hideMark/>
          </w:tcPr>
          <w:p w14:paraId="0837B31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384" w:type="pct"/>
            <w:shd w:val="clear" w:color="auto" w:fill="auto"/>
            <w:noWrap/>
            <w:vAlign w:val="center"/>
            <w:hideMark/>
          </w:tcPr>
          <w:p w14:paraId="5BDF08E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1 653</w:t>
            </w:r>
          </w:p>
        </w:tc>
        <w:tc>
          <w:tcPr>
            <w:tcW w:w="616" w:type="pct"/>
            <w:shd w:val="clear" w:color="auto" w:fill="auto"/>
            <w:noWrap/>
            <w:vAlign w:val="center"/>
            <w:hideMark/>
          </w:tcPr>
          <w:p w14:paraId="16651D3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41</w:t>
            </w:r>
          </w:p>
        </w:tc>
        <w:tc>
          <w:tcPr>
            <w:tcW w:w="384" w:type="pct"/>
            <w:shd w:val="clear" w:color="auto" w:fill="auto"/>
            <w:noWrap/>
            <w:vAlign w:val="center"/>
            <w:hideMark/>
          </w:tcPr>
          <w:p w14:paraId="401ED9F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103</w:t>
            </w:r>
          </w:p>
        </w:tc>
        <w:tc>
          <w:tcPr>
            <w:tcW w:w="694" w:type="pct"/>
            <w:shd w:val="clear" w:color="auto" w:fill="auto"/>
            <w:noWrap/>
            <w:vAlign w:val="center"/>
            <w:hideMark/>
          </w:tcPr>
          <w:p w14:paraId="7A9DA74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2,6</w:t>
            </w:r>
          </w:p>
        </w:tc>
        <w:tc>
          <w:tcPr>
            <w:tcW w:w="462" w:type="pct"/>
            <w:shd w:val="clear" w:color="auto" w:fill="auto"/>
            <w:noWrap/>
            <w:vAlign w:val="center"/>
            <w:hideMark/>
          </w:tcPr>
          <w:p w14:paraId="0D277656"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25,75</w:t>
            </w:r>
          </w:p>
        </w:tc>
        <w:tc>
          <w:tcPr>
            <w:tcW w:w="729" w:type="pct"/>
            <w:shd w:val="clear" w:color="auto" w:fill="auto"/>
            <w:noWrap/>
            <w:vAlign w:val="center"/>
            <w:hideMark/>
          </w:tcPr>
          <w:p w14:paraId="3DF37A6A"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32,19</w:t>
            </w:r>
          </w:p>
        </w:tc>
      </w:tr>
      <w:tr w:rsidR="00E8617E" w:rsidRPr="00BC513A" w14:paraId="57BFFE0E" w14:textId="77777777" w:rsidTr="00922731">
        <w:trPr>
          <w:trHeight w:val="315"/>
        </w:trPr>
        <w:tc>
          <w:tcPr>
            <w:tcW w:w="625" w:type="pct"/>
            <w:shd w:val="clear" w:color="auto" w:fill="auto"/>
            <w:noWrap/>
            <w:vAlign w:val="center"/>
            <w:hideMark/>
          </w:tcPr>
          <w:p w14:paraId="21567909"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2011</w:t>
            </w:r>
          </w:p>
        </w:tc>
        <w:tc>
          <w:tcPr>
            <w:tcW w:w="413" w:type="pct"/>
            <w:shd w:val="clear" w:color="auto" w:fill="auto"/>
            <w:noWrap/>
            <w:vAlign w:val="center"/>
            <w:hideMark/>
          </w:tcPr>
          <w:p w14:paraId="0D6E129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693" w:type="pct"/>
            <w:shd w:val="clear" w:color="auto" w:fill="auto"/>
            <w:noWrap/>
            <w:vAlign w:val="center"/>
            <w:hideMark/>
          </w:tcPr>
          <w:p w14:paraId="52CC90F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384" w:type="pct"/>
            <w:shd w:val="clear" w:color="auto" w:fill="auto"/>
            <w:noWrap/>
            <w:vAlign w:val="center"/>
            <w:hideMark/>
          </w:tcPr>
          <w:p w14:paraId="0CE2003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11</w:t>
            </w:r>
          </w:p>
        </w:tc>
        <w:tc>
          <w:tcPr>
            <w:tcW w:w="616" w:type="pct"/>
            <w:shd w:val="clear" w:color="auto" w:fill="auto"/>
            <w:noWrap/>
            <w:vAlign w:val="center"/>
            <w:hideMark/>
          </w:tcPr>
          <w:p w14:paraId="552FF9F4"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384" w:type="pct"/>
            <w:shd w:val="clear" w:color="auto" w:fill="auto"/>
            <w:noWrap/>
            <w:vAlign w:val="center"/>
            <w:hideMark/>
          </w:tcPr>
          <w:p w14:paraId="2C94DEA8"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694" w:type="pct"/>
            <w:shd w:val="clear" w:color="auto" w:fill="auto"/>
            <w:noWrap/>
            <w:vAlign w:val="center"/>
            <w:hideMark/>
          </w:tcPr>
          <w:p w14:paraId="662EA4C7"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462" w:type="pct"/>
            <w:shd w:val="clear" w:color="auto" w:fill="auto"/>
            <w:noWrap/>
            <w:vAlign w:val="center"/>
            <w:hideMark/>
          </w:tcPr>
          <w:p w14:paraId="267446A7"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0,16</w:t>
            </w:r>
          </w:p>
        </w:tc>
        <w:tc>
          <w:tcPr>
            <w:tcW w:w="729" w:type="pct"/>
            <w:shd w:val="clear" w:color="auto" w:fill="auto"/>
            <w:noWrap/>
            <w:vAlign w:val="center"/>
            <w:hideMark/>
          </w:tcPr>
          <w:p w14:paraId="55C73EC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0,2</w:t>
            </w:r>
          </w:p>
        </w:tc>
      </w:tr>
      <w:tr w:rsidR="00E8617E" w:rsidRPr="00BC513A" w14:paraId="743D413F" w14:textId="77777777" w:rsidTr="00922731">
        <w:trPr>
          <w:trHeight w:val="315"/>
        </w:trPr>
        <w:tc>
          <w:tcPr>
            <w:tcW w:w="625" w:type="pct"/>
            <w:shd w:val="clear" w:color="auto" w:fill="auto"/>
            <w:noWrap/>
            <w:vAlign w:val="center"/>
            <w:hideMark/>
          </w:tcPr>
          <w:p w14:paraId="7B824DE7"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2012</w:t>
            </w:r>
          </w:p>
        </w:tc>
        <w:tc>
          <w:tcPr>
            <w:tcW w:w="413" w:type="pct"/>
            <w:shd w:val="clear" w:color="auto" w:fill="auto"/>
            <w:noWrap/>
            <w:vAlign w:val="center"/>
            <w:hideMark/>
          </w:tcPr>
          <w:p w14:paraId="50F3898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1 479</w:t>
            </w:r>
          </w:p>
        </w:tc>
        <w:tc>
          <w:tcPr>
            <w:tcW w:w="693" w:type="pct"/>
            <w:shd w:val="clear" w:color="auto" w:fill="auto"/>
            <w:noWrap/>
            <w:vAlign w:val="center"/>
            <w:hideMark/>
          </w:tcPr>
          <w:p w14:paraId="29F1097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37</w:t>
            </w:r>
          </w:p>
        </w:tc>
        <w:tc>
          <w:tcPr>
            <w:tcW w:w="384" w:type="pct"/>
            <w:shd w:val="clear" w:color="auto" w:fill="auto"/>
            <w:noWrap/>
            <w:vAlign w:val="center"/>
            <w:hideMark/>
          </w:tcPr>
          <w:p w14:paraId="1F05F8B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1 323</w:t>
            </w:r>
          </w:p>
        </w:tc>
        <w:tc>
          <w:tcPr>
            <w:tcW w:w="616" w:type="pct"/>
            <w:shd w:val="clear" w:color="auto" w:fill="auto"/>
            <w:noWrap/>
            <w:vAlign w:val="center"/>
            <w:hideMark/>
          </w:tcPr>
          <w:p w14:paraId="4324864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33</w:t>
            </w:r>
          </w:p>
        </w:tc>
        <w:tc>
          <w:tcPr>
            <w:tcW w:w="384" w:type="pct"/>
            <w:shd w:val="clear" w:color="auto" w:fill="auto"/>
            <w:noWrap/>
            <w:vAlign w:val="center"/>
            <w:hideMark/>
          </w:tcPr>
          <w:p w14:paraId="6B40829F"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694" w:type="pct"/>
            <w:shd w:val="clear" w:color="auto" w:fill="auto"/>
            <w:noWrap/>
            <w:vAlign w:val="center"/>
            <w:hideMark/>
          </w:tcPr>
          <w:p w14:paraId="24E00161"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462" w:type="pct"/>
            <w:shd w:val="clear" w:color="auto" w:fill="auto"/>
            <w:noWrap/>
            <w:vAlign w:val="center"/>
            <w:hideMark/>
          </w:tcPr>
          <w:p w14:paraId="40A1A434"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28,39</w:t>
            </w:r>
          </w:p>
        </w:tc>
        <w:tc>
          <w:tcPr>
            <w:tcW w:w="729" w:type="pct"/>
            <w:shd w:val="clear" w:color="auto" w:fill="auto"/>
            <w:noWrap/>
            <w:vAlign w:val="center"/>
            <w:hideMark/>
          </w:tcPr>
          <w:p w14:paraId="1425410D"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35,49</w:t>
            </w:r>
          </w:p>
        </w:tc>
      </w:tr>
      <w:tr w:rsidR="00E8617E" w:rsidRPr="00BC513A" w14:paraId="5BB3A642" w14:textId="77777777" w:rsidTr="00922731">
        <w:trPr>
          <w:trHeight w:val="315"/>
        </w:trPr>
        <w:tc>
          <w:tcPr>
            <w:tcW w:w="625" w:type="pct"/>
            <w:shd w:val="clear" w:color="auto" w:fill="auto"/>
            <w:noWrap/>
            <w:vAlign w:val="center"/>
            <w:hideMark/>
          </w:tcPr>
          <w:p w14:paraId="6CFD108F"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2013</w:t>
            </w:r>
          </w:p>
        </w:tc>
        <w:tc>
          <w:tcPr>
            <w:tcW w:w="413" w:type="pct"/>
            <w:shd w:val="clear" w:color="auto" w:fill="auto"/>
            <w:noWrap/>
            <w:vAlign w:val="center"/>
            <w:hideMark/>
          </w:tcPr>
          <w:p w14:paraId="437135C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2 678</w:t>
            </w:r>
          </w:p>
        </w:tc>
        <w:tc>
          <w:tcPr>
            <w:tcW w:w="693" w:type="pct"/>
            <w:shd w:val="clear" w:color="auto" w:fill="auto"/>
            <w:noWrap/>
            <w:vAlign w:val="center"/>
            <w:hideMark/>
          </w:tcPr>
          <w:p w14:paraId="69283E6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131</w:t>
            </w:r>
          </w:p>
        </w:tc>
        <w:tc>
          <w:tcPr>
            <w:tcW w:w="384" w:type="pct"/>
            <w:shd w:val="clear" w:color="auto" w:fill="auto"/>
            <w:noWrap/>
            <w:vAlign w:val="center"/>
            <w:hideMark/>
          </w:tcPr>
          <w:p w14:paraId="47EEB09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6</w:t>
            </w:r>
          </w:p>
        </w:tc>
        <w:tc>
          <w:tcPr>
            <w:tcW w:w="616" w:type="pct"/>
            <w:shd w:val="clear" w:color="auto" w:fill="auto"/>
            <w:noWrap/>
            <w:vAlign w:val="center"/>
            <w:hideMark/>
          </w:tcPr>
          <w:p w14:paraId="2AFA3D8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w:t>
            </w:r>
          </w:p>
        </w:tc>
        <w:tc>
          <w:tcPr>
            <w:tcW w:w="384" w:type="pct"/>
            <w:shd w:val="clear" w:color="auto" w:fill="auto"/>
            <w:noWrap/>
            <w:vAlign w:val="center"/>
            <w:hideMark/>
          </w:tcPr>
          <w:p w14:paraId="5D17D469"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694" w:type="pct"/>
            <w:shd w:val="clear" w:color="auto" w:fill="auto"/>
            <w:noWrap/>
            <w:vAlign w:val="center"/>
            <w:hideMark/>
          </w:tcPr>
          <w:p w14:paraId="763CB4F4"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462" w:type="pct"/>
            <w:shd w:val="clear" w:color="auto" w:fill="auto"/>
            <w:noWrap/>
            <w:vAlign w:val="center"/>
            <w:hideMark/>
          </w:tcPr>
          <w:p w14:paraId="11F6FBAA"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15,219</w:t>
            </w:r>
          </w:p>
        </w:tc>
        <w:tc>
          <w:tcPr>
            <w:tcW w:w="729" w:type="pct"/>
            <w:shd w:val="clear" w:color="auto" w:fill="auto"/>
            <w:noWrap/>
            <w:vAlign w:val="center"/>
            <w:hideMark/>
          </w:tcPr>
          <w:p w14:paraId="4B21688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19,02</w:t>
            </w:r>
          </w:p>
        </w:tc>
      </w:tr>
      <w:tr w:rsidR="00E8617E" w:rsidRPr="00BC513A" w14:paraId="470AF40E" w14:textId="77777777" w:rsidTr="00922731">
        <w:trPr>
          <w:trHeight w:val="315"/>
        </w:trPr>
        <w:tc>
          <w:tcPr>
            <w:tcW w:w="625" w:type="pct"/>
            <w:shd w:val="clear" w:color="auto" w:fill="auto"/>
            <w:noWrap/>
            <w:vAlign w:val="center"/>
            <w:hideMark/>
          </w:tcPr>
          <w:p w14:paraId="15FE1A0E"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2014</w:t>
            </w:r>
          </w:p>
        </w:tc>
        <w:tc>
          <w:tcPr>
            <w:tcW w:w="413" w:type="pct"/>
            <w:shd w:val="clear" w:color="auto" w:fill="auto"/>
            <w:noWrap/>
            <w:vAlign w:val="center"/>
            <w:hideMark/>
          </w:tcPr>
          <w:p w14:paraId="503A4A0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693" w:type="pct"/>
            <w:shd w:val="clear" w:color="auto" w:fill="auto"/>
            <w:noWrap/>
            <w:vAlign w:val="center"/>
            <w:hideMark/>
          </w:tcPr>
          <w:p w14:paraId="6736B83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384" w:type="pct"/>
            <w:shd w:val="clear" w:color="auto" w:fill="auto"/>
            <w:noWrap/>
            <w:vAlign w:val="center"/>
            <w:hideMark/>
          </w:tcPr>
          <w:p w14:paraId="3945453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403</w:t>
            </w:r>
          </w:p>
        </w:tc>
        <w:tc>
          <w:tcPr>
            <w:tcW w:w="616" w:type="pct"/>
            <w:shd w:val="clear" w:color="auto" w:fill="auto"/>
            <w:noWrap/>
            <w:vAlign w:val="center"/>
            <w:hideMark/>
          </w:tcPr>
          <w:p w14:paraId="317CE37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10</w:t>
            </w:r>
          </w:p>
        </w:tc>
        <w:tc>
          <w:tcPr>
            <w:tcW w:w="384" w:type="pct"/>
            <w:shd w:val="clear" w:color="auto" w:fill="auto"/>
            <w:noWrap/>
            <w:vAlign w:val="center"/>
            <w:hideMark/>
          </w:tcPr>
          <w:p w14:paraId="1F2E09B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2210</w:t>
            </w:r>
          </w:p>
        </w:tc>
        <w:tc>
          <w:tcPr>
            <w:tcW w:w="694" w:type="pct"/>
            <w:shd w:val="clear" w:color="auto" w:fill="auto"/>
            <w:noWrap/>
            <w:vAlign w:val="center"/>
            <w:hideMark/>
          </w:tcPr>
          <w:p w14:paraId="44379D0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55</w:t>
            </w:r>
          </w:p>
        </w:tc>
        <w:tc>
          <w:tcPr>
            <w:tcW w:w="462" w:type="pct"/>
            <w:shd w:val="clear" w:color="auto" w:fill="auto"/>
            <w:noWrap/>
            <w:vAlign w:val="center"/>
            <w:hideMark/>
          </w:tcPr>
          <w:p w14:paraId="248EFBF1"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6,309</w:t>
            </w:r>
          </w:p>
        </w:tc>
        <w:tc>
          <w:tcPr>
            <w:tcW w:w="729" w:type="pct"/>
            <w:shd w:val="clear" w:color="auto" w:fill="auto"/>
            <w:noWrap/>
            <w:vAlign w:val="center"/>
            <w:hideMark/>
          </w:tcPr>
          <w:p w14:paraId="1C64187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7,88</w:t>
            </w:r>
          </w:p>
        </w:tc>
      </w:tr>
      <w:tr w:rsidR="00E8617E" w:rsidRPr="00BC513A" w14:paraId="56F3F6CA" w14:textId="77777777" w:rsidTr="00922731">
        <w:trPr>
          <w:trHeight w:val="315"/>
        </w:trPr>
        <w:tc>
          <w:tcPr>
            <w:tcW w:w="625" w:type="pct"/>
            <w:shd w:val="clear" w:color="auto" w:fill="auto"/>
            <w:noWrap/>
            <w:vAlign w:val="center"/>
            <w:hideMark/>
          </w:tcPr>
          <w:p w14:paraId="0A4195BB"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2015</w:t>
            </w:r>
          </w:p>
        </w:tc>
        <w:tc>
          <w:tcPr>
            <w:tcW w:w="413" w:type="pct"/>
            <w:shd w:val="clear" w:color="auto" w:fill="auto"/>
            <w:noWrap/>
            <w:vAlign w:val="center"/>
            <w:hideMark/>
          </w:tcPr>
          <w:p w14:paraId="1119D5D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693" w:type="pct"/>
            <w:shd w:val="clear" w:color="auto" w:fill="auto"/>
            <w:noWrap/>
            <w:vAlign w:val="center"/>
            <w:hideMark/>
          </w:tcPr>
          <w:p w14:paraId="272D67B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384" w:type="pct"/>
            <w:shd w:val="clear" w:color="auto" w:fill="auto"/>
            <w:noWrap/>
            <w:vAlign w:val="center"/>
            <w:hideMark/>
          </w:tcPr>
          <w:p w14:paraId="13F052F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w:t>
            </w:r>
          </w:p>
        </w:tc>
        <w:tc>
          <w:tcPr>
            <w:tcW w:w="616" w:type="pct"/>
            <w:shd w:val="clear" w:color="auto" w:fill="auto"/>
            <w:noWrap/>
            <w:vAlign w:val="center"/>
            <w:hideMark/>
          </w:tcPr>
          <w:p w14:paraId="05AC6B4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0,025</w:t>
            </w:r>
          </w:p>
        </w:tc>
        <w:tc>
          <w:tcPr>
            <w:tcW w:w="384" w:type="pct"/>
            <w:shd w:val="clear" w:color="auto" w:fill="auto"/>
            <w:noWrap/>
            <w:vAlign w:val="center"/>
            <w:hideMark/>
          </w:tcPr>
          <w:p w14:paraId="429C8BE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w:t>
            </w:r>
          </w:p>
        </w:tc>
        <w:tc>
          <w:tcPr>
            <w:tcW w:w="694" w:type="pct"/>
            <w:shd w:val="clear" w:color="auto" w:fill="auto"/>
            <w:noWrap/>
            <w:vAlign w:val="center"/>
            <w:hideMark/>
          </w:tcPr>
          <w:p w14:paraId="0AB052E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462" w:type="pct"/>
            <w:shd w:val="clear" w:color="auto" w:fill="auto"/>
            <w:noWrap/>
            <w:vAlign w:val="center"/>
            <w:hideMark/>
          </w:tcPr>
          <w:p w14:paraId="2969E314"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1,771</w:t>
            </w:r>
          </w:p>
        </w:tc>
        <w:tc>
          <w:tcPr>
            <w:tcW w:w="729" w:type="pct"/>
            <w:shd w:val="clear" w:color="auto" w:fill="auto"/>
            <w:noWrap/>
            <w:vAlign w:val="center"/>
            <w:hideMark/>
          </w:tcPr>
          <w:p w14:paraId="5E394AB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2,21</w:t>
            </w:r>
          </w:p>
        </w:tc>
      </w:tr>
      <w:tr w:rsidR="00E8617E" w:rsidRPr="00BC513A" w14:paraId="2028D969" w14:textId="77777777" w:rsidTr="00922731">
        <w:trPr>
          <w:trHeight w:val="315"/>
        </w:trPr>
        <w:tc>
          <w:tcPr>
            <w:tcW w:w="625" w:type="pct"/>
            <w:shd w:val="clear" w:color="auto" w:fill="DEEAF6" w:themeFill="accent1" w:themeFillTint="33"/>
            <w:noWrap/>
            <w:vAlign w:val="center"/>
            <w:hideMark/>
          </w:tcPr>
          <w:p w14:paraId="684F98F1"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Общо</w:t>
            </w:r>
          </w:p>
        </w:tc>
        <w:tc>
          <w:tcPr>
            <w:tcW w:w="413" w:type="pct"/>
            <w:shd w:val="clear" w:color="auto" w:fill="DEEAF6" w:themeFill="accent1" w:themeFillTint="33"/>
            <w:noWrap/>
            <w:vAlign w:val="center"/>
            <w:hideMark/>
          </w:tcPr>
          <w:p w14:paraId="50AB5587"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9 590</w:t>
            </w:r>
          </w:p>
        </w:tc>
        <w:tc>
          <w:tcPr>
            <w:tcW w:w="693" w:type="pct"/>
            <w:shd w:val="clear" w:color="auto" w:fill="DEEAF6" w:themeFill="accent1" w:themeFillTint="33"/>
            <w:noWrap/>
            <w:vAlign w:val="center"/>
            <w:hideMark/>
          </w:tcPr>
          <w:p w14:paraId="57FCFF2C"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304</w:t>
            </w:r>
          </w:p>
        </w:tc>
        <w:tc>
          <w:tcPr>
            <w:tcW w:w="384" w:type="pct"/>
            <w:shd w:val="clear" w:color="auto" w:fill="DEEAF6" w:themeFill="accent1" w:themeFillTint="33"/>
            <w:noWrap/>
            <w:vAlign w:val="center"/>
            <w:hideMark/>
          </w:tcPr>
          <w:p w14:paraId="1FD620BD"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5 829</w:t>
            </w:r>
          </w:p>
        </w:tc>
        <w:tc>
          <w:tcPr>
            <w:tcW w:w="616" w:type="pct"/>
            <w:shd w:val="clear" w:color="auto" w:fill="DEEAF6" w:themeFill="accent1" w:themeFillTint="33"/>
            <w:noWrap/>
            <w:vAlign w:val="center"/>
            <w:hideMark/>
          </w:tcPr>
          <w:p w14:paraId="74B2BFC2"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146</w:t>
            </w:r>
          </w:p>
        </w:tc>
        <w:tc>
          <w:tcPr>
            <w:tcW w:w="384" w:type="pct"/>
            <w:shd w:val="clear" w:color="auto" w:fill="DEEAF6" w:themeFill="accent1" w:themeFillTint="33"/>
            <w:noWrap/>
            <w:vAlign w:val="center"/>
            <w:hideMark/>
          </w:tcPr>
          <w:p w14:paraId="08737229"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2314</w:t>
            </w:r>
          </w:p>
        </w:tc>
        <w:tc>
          <w:tcPr>
            <w:tcW w:w="694" w:type="pct"/>
            <w:shd w:val="clear" w:color="auto" w:fill="DEEAF6" w:themeFill="accent1" w:themeFillTint="33"/>
            <w:noWrap/>
            <w:vAlign w:val="center"/>
            <w:hideMark/>
          </w:tcPr>
          <w:p w14:paraId="4FEF4BF6"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57,6</w:t>
            </w:r>
          </w:p>
        </w:tc>
        <w:tc>
          <w:tcPr>
            <w:tcW w:w="462" w:type="pct"/>
            <w:shd w:val="clear" w:color="auto" w:fill="DEEAF6" w:themeFill="accent1" w:themeFillTint="33"/>
            <w:noWrap/>
            <w:vAlign w:val="center"/>
            <w:hideMark/>
          </w:tcPr>
          <w:p w14:paraId="2A41F7A2"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92,4</w:t>
            </w:r>
          </w:p>
        </w:tc>
        <w:tc>
          <w:tcPr>
            <w:tcW w:w="729" w:type="pct"/>
            <w:shd w:val="clear" w:color="auto" w:fill="DEEAF6" w:themeFill="accent1" w:themeFillTint="33"/>
            <w:noWrap/>
            <w:vAlign w:val="center"/>
            <w:hideMark/>
          </w:tcPr>
          <w:p w14:paraId="3FC5BE78"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115,5</w:t>
            </w:r>
          </w:p>
        </w:tc>
      </w:tr>
    </w:tbl>
    <w:p w14:paraId="5A29667D" w14:textId="77777777" w:rsidR="00E8617E" w:rsidRPr="00AE71CA" w:rsidRDefault="00E8617E" w:rsidP="00E8617E">
      <w:pPr>
        <w:pStyle w:val="ListParagraph"/>
        <w:ind w:left="0"/>
        <w:rPr>
          <w:sz w:val="18"/>
          <w:szCs w:val="18"/>
        </w:rPr>
      </w:pPr>
      <w:r w:rsidRPr="00AE71CA">
        <w:rPr>
          <w:rFonts w:ascii="Arial" w:hAnsi="Arial" w:cs="Arial"/>
          <w:sz w:val="18"/>
          <w:szCs w:val="18"/>
        </w:rPr>
        <w:t>Източник: МЗХГ</w:t>
      </w:r>
    </w:p>
    <w:p w14:paraId="014D9EFB"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 xml:space="preserve">По мярката за периода на прилагане са подадени 9 590 заявления на обща стойност на публичните разходи 304 млн. евро. От тях 2 314 заявления или около 24% от всички подадени проекти са отхвърлени заради липса на бюджет. </w:t>
      </w:r>
    </w:p>
    <w:p w14:paraId="19D8C74C"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 xml:space="preserve">Въпреки този голям интерес по някои от следените индикатори за изпълнение, мярката не достига предварително заложените цели. По отношение на </w:t>
      </w:r>
      <w:r w:rsidRPr="00BC513A">
        <w:rPr>
          <w:rFonts w:ascii="Arial" w:hAnsi="Arial" w:cs="Arial"/>
        </w:rPr>
        <w:lastRenderedPageBreak/>
        <w:t xml:space="preserve">подпомогнатите млади фермери се отчита преизпълнение на поставената цел с 8%. Подкрепени са 5 808 бенефициенти, което е много добро постижение по отношение на заложените цели. Отчита се и равномерно разпределение на одобрените кандидати по пол, като 3 393 от одобрените млади фермери са мъже, което е 58% от всички сключени договори, а одобрените проекти на жени е 2 415 или 42%. </w:t>
      </w:r>
    </w:p>
    <w:p w14:paraId="2C62665C" w14:textId="42ABAEAB"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Трябва да се отчете, че броя</w:t>
      </w:r>
      <w:r w:rsidR="006F711F">
        <w:rPr>
          <w:rFonts w:ascii="Arial" w:hAnsi="Arial" w:cs="Arial"/>
        </w:rPr>
        <w:t>т</w:t>
      </w:r>
      <w:r w:rsidRPr="00BC513A">
        <w:rPr>
          <w:rFonts w:ascii="Arial" w:hAnsi="Arial" w:cs="Arial"/>
        </w:rPr>
        <w:t xml:space="preserve"> на управителите на </w:t>
      </w:r>
      <w:r w:rsidR="006F711F">
        <w:rPr>
          <w:rFonts w:ascii="Arial" w:hAnsi="Arial" w:cs="Arial"/>
        </w:rPr>
        <w:t>земеделски стопанства</w:t>
      </w:r>
      <w:r w:rsidRPr="00BC513A">
        <w:rPr>
          <w:rFonts w:ascii="Arial" w:hAnsi="Arial" w:cs="Arial"/>
        </w:rPr>
        <w:t xml:space="preserve"> на възраст до 40 години през 2007 г</w:t>
      </w:r>
      <w:r w:rsidR="006F711F">
        <w:rPr>
          <w:rFonts w:ascii="Arial" w:hAnsi="Arial" w:cs="Arial"/>
        </w:rPr>
        <w:t>.</w:t>
      </w:r>
      <w:r w:rsidRPr="00BC513A">
        <w:rPr>
          <w:rFonts w:ascii="Arial" w:hAnsi="Arial" w:cs="Arial"/>
        </w:rPr>
        <w:t xml:space="preserve"> е между 35-40 хил., а през 2013 год. този брой намалява до 30-35 хил., което е намаление с около 13%. В същото време стопанствата в страната за същия период се редуцират от 493 хил. на 254 хил</w:t>
      </w:r>
      <w:r w:rsidR="006F711F">
        <w:rPr>
          <w:rFonts w:ascii="Arial" w:hAnsi="Arial" w:cs="Arial"/>
        </w:rPr>
        <w:t>.</w:t>
      </w:r>
      <w:r w:rsidRPr="00BC513A">
        <w:rPr>
          <w:rFonts w:ascii="Arial" w:hAnsi="Arial" w:cs="Arial"/>
        </w:rPr>
        <w:t xml:space="preserve"> (</w:t>
      </w:r>
      <w:r w:rsidR="006F711F">
        <w:rPr>
          <w:rFonts w:ascii="Arial" w:hAnsi="Arial" w:cs="Arial"/>
        </w:rPr>
        <w:t>52</w:t>
      </w:r>
      <w:r w:rsidRPr="00BC513A">
        <w:rPr>
          <w:rFonts w:ascii="Arial" w:hAnsi="Arial" w:cs="Arial"/>
        </w:rPr>
        <w:t xml:space="preserve">%). Една от причините за относителното запазване на броя на </w:t>
      </w:r>
      <w:r w:rsidR="006F711F">
        <w:rPr>
          <w:rFonts w:ascii="Arial" w:hAnsi="Arial" w:cs="Arial"/>
        </w:rPr>
        <w:t>стопанствата,</w:t>
      </w:r>
      <w:r w:rsidR="006F711F" w:rsidRPr="00BC513A">
        <w:rPr>
          <w:rFonts w:ascii="Arial" w:hAnsi="Arial" w:cs="Arial"/>
        </w:rPr>
        <w:t xml:space="preserve"> </w:t>
      </w:r>
      <w:r w:rsidRPr="00BC513A">
        <w:rPr>
          <w:rFonts w:ascii="Arial" w:hAnsi="Arial" w:cs="Arial"/>
        </w:rPr>
        <w:t>управлявани от млади хора в програмния период трябва да бъде отдадено и на мярка 112, която създава стимули и предоставя възможности за младите хора в селските райони да намерят поприще в земеделието, гарантиращо устойчивост и приемственост в отрасъла.</w:t>
      </w:r>
    </w:p>
    <w:p w14:paraId="55FD9BCB"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В същото време трябва да се отбележи, че целевата стойност на индикатора за общ размер инвестиции, направени в подпомогнатите стопанства на младите фермери</w:t>
      </w:r>
      <w:r w:rsidR="006F711F">
        <w:rPr>
          <w:rFonts w:ascii="Arial" w:hAnsi="Arial" w:cs="Arial"/>
        </w:rPr>
        <w:t>,</w:t>
      </w:r>
      <w:r w:rsidRPr="00BC513A">
        <w:rPr>
          <w:rFonts w:ascii="Arial" w:hAnsi="Arial" w:cs="Arial"/>
        </w:rPr>
        <w:t xml:space="preserve"> не е постигната. Предварително заложените инвестиционни цели възлизат на 281 млн. евро, докато в края на прилагане на мярката се отчита достигане на 184,7 млн. евро, което е 66% от заложената цел. Причина за неизпълнението на поставената цел е, че в началото не са били заложени  критерии при кандидатстването и задължение при изпълнението на проектите за осъществяване на минимални инвестиции. </w:t>
      </w:r>
    </w:p>
    <w:p w14:paraId="7D4E9E0F" w14:textId="77777777" w:rsidR="00E8617E" w:rsidRPr="00BC513A" w:rsidRDefault="00E8617E" w:rsidP="00E8617E">
      <w:pPr>
        <w:pStyle w:val="DefaultText"/>
        <w:keepNext/>
        <w:spacing w:before="240"/>
        <w:rPr>
          <w:rFonts w:cs="Arial"/>
          <w:b/>
          <w:color w:val="0070C0"/>
          <w:sz w:val="20"/>
          <w:szCs w:val="20"/>
          <w:lang w:val="bg-BG"/>
        </w:rPr>
      </w:pPr>
      <w:bookmarkStart w:id="97" w:name="_Toc504136199"/>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27</w:t>
      </w:r>
      <w:r w:rsidRPr="00BC513A">
        <w:rPr>
          <w:rFonts w:cs="Arial"/>
          <w:b/>
          <w:color w:val="0070C0"/>
          <w:sz w:val="20"/>
          <w:szCs w:val="20"/>
          <w:lang w:val="bg-BG"/>
        </w:rPr>
        <w:fldChar w:fldCharType="end"/>
      </w:r>
      <w:r w:rsidR="004D7C9E">
        <w:rPr>
          <w:rFonts w:cs="Arial"/>
          <w:b/>
          <w:color w:val="0070C0"/>
          <w:sz w:val="20"/>
          <w:szCs w:val="20"/>
          <w:lang w:val="en-US"/>
        </w:rPr>
        <w:t>.</w:t>
      </w:r>
      <w:r w:rsidRPr="00BC513A">
        <w:rPr>
          <w:rFonts w:cs="Arial"/>
          <w:b/>
          <w:color w:val="0070C0"/>
          <w:sz w:val="20"/>
          <w:szCs w:val="20"/>
          <w:lang w:val="bg-BG"/>
        </w:rPr>
        <w:t xml:space="preserve"> Количествени цели и изпълнение на индикаторите по мярка 112</w:t>
      </w:r>
      <w:bookmarkEnd w:id="97"/>
    </w:p>
    <w:tbl>
      <w:tblPr>
        <w:tblW w:w="5000" w:type="pct"/>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1291"/>
        <w:gridCol w:w="3749"/>
        <w:gridCol w:w="1153"/>
        <w:gridCol w:w="1533"/>
        <w:gridCol w:w="1485"/>
      </w:tblGrid>
      <w:tr w:rsidR="00E8617E" w:rsidRPr="00BC513A" w14:paraId="35F6EBB8" w14:textId="77777777" w:rsidTr="00AE71CA">
        <w:trPr>
          <w:trHeight w:val="315"/>
        </w:trPr>
        <w:tc>
          <w:tcPr>
            <w:tcW w:w="701" w:type="pct"/>
            <w:shd w:val="clear" w:color="auto" w:fill="1F4E79" w:themeFill="accent1" w:themeFillShade="80"/>
            <w:noWrap/>
            <w:vAlign w:val="center"/>
            <w:hideMark/>
          </w:tcPr>
          <w:p w14:paraId="4C12AFC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2035" w:type="pct"/>
            <w:shd w:val="clear" w:color="auto" w:fill="1F4E79" w:themeFill="accent1" w:themeFillShade="80"/>
            <w:vAlign w:val="center"/>
            <w:hideMark/>
          </w:tcPr>
          <w:p w14:paraId="03EDD809"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Индикатори</w:t>
            </w:r>
          </w:p>
        </w:tc>
        <w:tc>
          <w:tcPr>
            <w:tcW w:w="626" w:type="pct"/>
            <w:shd w:val="clear" w:color="auto" w:fill="1F4E79" w:themeFill="accent1" w:themeFillShade="80"/>
            <w:noWrap/>
            <w:vAlign w:val="center"/>
            <w:hideMark/>
          </w:tcPr>
          <w:p w14:paraId="56857EFA"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832" w:type="pct"/>
            <w:shd w:val="clear" w:color="auto" w:fill="1F4E79" w:themeFill="accent1" w:themeFillShade="80"/>
            <w:vAlign w:val="center"/>
            <w:hideMark/>
          </w:tcPr>
          <w:p w14:paraId="5A650F0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06" w:type="pct"/>
            <w:shd w:val="clear" w:color="auto" w:fill="1F4E79" w:themeFill="accent1" w:themeFillShade="80"/>
            <w:vAlign w:val="center"/>
            <w:hideMark/>
          </w:tcPr>
          <w:p w14:paraId="71FDF04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изпълнение</w:t>
            </w:r>
          </w:p>
        </w:tc>
      </w:tr>
      <w:tr w:rsidR="00E8617E" w:rsidRPr="00BC513A" w14:paraId="6C26BA20" w14:textId="77777777" w:rsidTr="00AE71CA">
        <w:trPr>
          <w:trHeight w:val="507"/>
        </w:trPr>
        <w:tc>
          <w:tcPr>
            <w:tcW w:w="701" w:type="pct"/>
            <w:vMerge w:val="restart"/>
            <w:shd w:val="clear" w:color="auto" w:fill="auto"/>
            <w:noWrap/>
            <w:vAlign w:val="center"/>
            <w:hideMark/>
          </w:tcPr>
          <w:p w14:paraId="5CBDC04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Изходен</w:t>
            </w:r>
          </w:p>
        </w:tc>
        <w:tc>
          <w:tcPr>
            <w:tcW w:w="2035" w:type="pct"/>
            <w:shd w:val="clear" w:color="auto" w:fill="auto"/>
            <w:vAlign w:val="center"/>
            <w:hideMark/>
          </w:tcPr>
          <w:p w14:paraId="7686DDE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на подпомогнати млади фермери</w:t>
            </w:r>
          </w:p>
        </w:tc>
        <w:tc>
          <w:tcPr>
            <w:tcW w:w="626" w:type="pct"/>
            <w:shd w:val="clear" w:color="auto" w:fill="auto"/>
            <w:noWrap/>
            <w:vAlign w:val="center"/>
            <w:hideMark/>
          </w:tcPr>
          <w:p w14:paraId="2EFBCCE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5 375</w:t>
            </w:r>
          </w:p>
        </w:tc>
        <w:tc>
          <w:tcPr>
            <w:tcW w:w="832" w:type="pct"/>
            <w:shd w:val="clear" w:color="auto" w:fill="auto"/>
            <w:vAlign w:val="center"/>
            <w:hideMark/>
          </w:tcPr>
          <w:p w14:paraId="0CF04F4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5 808</w:t>
            </w:r>
          </w:p>
        </w:tc>
        <w:tc>
          <w:tcPr>
            <w:tcW w:w="806" w:type="pct"/>
            <w:shd w:val="clear" w:color="auto" w:fill="auto"/>
            <w:vAlign w:val="center"/>
            <w:hideMark/>
          </w:tcPr>
          <w:p w14:paraId="7A1E015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108%</w:t>
            </w:r>
          </w:p>
        </w:tc>
      </w:tr>
      <w:tr w:rsidR="00E8617E" w:rsidRPr="00BC513A" w14:paraId="3DD0087E" w14:textId="77777777" w:rsidTr="00AE71CA">
        <w:trPr>
          <w:trHeight w:val="525"/>
        </w:trPr>
        <w:tc>
          <w:tcPr>
            <w:tcW w:w="701" w:type="pct"/>
            <w:vMerge/>
            <w:shd w:val="clear" w:color="auto" w:fill="auto"/>
            <w:vAlign w:val="center"/>
            <w:hideMark/>
          </w:tcPr>
          <w:p w14:paraId="24BF5523" w14:textId="77777777" w:rsidR="00E8617E" w:rsidRPr="00BC513A" w:rsidRDefault="00E8617E" w:rsidP="00922731">
            <w:pPr>
              <w:spacing w:after="0" w:line="240" w:lineRule="auto"/>
              <w:rPr>
                <w:rFonts w:ascii="Arial" w:eastAsia="Times New Roman" w:hAnsi="Arial" w:cs="Arial"/>
                <w:sz w:val="20"/>
                <w:szCs w:val="20"/>
                <w:lang w:eastAsia="bg-BG"/>
              </w:rPr>
            </w:pPr>
          </w:p>
        </w:tc>
        <w:tc>
          <w:tcPr>
            <w:tcW w:w="2035" w:type="pct"/>
            <w:shd w:val="clear" w:color="auto" w:fill="auto"/>
            <w:vAlign w:val="center"/>
            <w:hideMark/>
          </w:tcPr>
          <w:p w14:paraId="5B31EEC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Общ размер на инвестициите (млн.евро)</w:t>
            </w:r>
          </w:p>
        </w:tc>
        <w:tc>
          <w:tcPr>
            <w:tcW w:w="626" w:type="pct"/>
            <w:shd w:val="clear" w:color="auto" w:fill="auto"/>
            <w:noWrap/>
            <w:vAlign w:val="center"/>
            <w:hideMark/>
          </w:tcPr>
          <w:p w14:paraId="25A1A0E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281</w:t>
            </w:r>
          </w:p>
        </w:tc>
        <w:tc>
          <w:tcPr>
            <w:tcW w:w="832" w:type="pct"/>
            <w:shd w:val="clear" w:color="auto" w:fill="auto"/>
            <w:vAlign w:val="center"/>
            <w:hideMark/>
          </w:tcPr>
          <w:p w14:paraId="44A5C31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184,7</w:t>
            </w:r>
          </w:p>
        </w:tc>
        <w:tc>
          <w:tcPr>
            <w:tcW w:w="806" w:type="pct"/>
            <w:shd w:val="clear" w:color="auto" w:fill="auto"/>
            <w:vAlign w:val="center"/>
            <w:hideMark/>
          </w:tcPr>
          <w:p w14:paraId="263AEE2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66%</w:t>
            </w:r>
          </w:p>
        </w:tc>
      </w:tr>
      <w:tr w:rsidR="00E8617E" w:rsidRPr="00BC513A" w14:paraId="265BA88F" w14:textId="77777777" w:rsidTr="00AE71CA">
        <w:trPr>
          <w:trHeight w:val="996"/>
        </w:trPr>
        <w:tc>
          <w:tcPr>
            <w:tcW w:w="701" w:type="pct"/>
            <w:shd w:val="clear" w:color="auto" w:fill="auto"/>
            <w:noWrap/>
            <w:vAlign w:val="center"/>
            <w:hideMark/>
          </w:tcPr>
          <w:p w14:paraId="70E2A2E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Резултат</w:t>
            </w:r>
          </w:p>
        </w:tc>
        <w:tc>
          <w:tcPr>
            <w:tcW w:w="2035" w:type="pct"/>
            <w:shd w:val="clear" w:color="auto" w:fill="auto"/>
            <w:vAlign w:val="center"/>
            <w:hideMark/>
          </w:tcPr>
          <w:p w14:paraId="4191B0DF" w14:textId="77777777" w:rsidR="00AE71C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 xml:space="preserve">Нарастване на земеделската брутна добавена стойност на подпомогнатите стопанства </w:t>
            </w:r>
          </w:p>
          <w:p w14:paraId="0D3B333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(млн. евро)</w:t>
            </w:r>
          </w:p>
        </w:tc>
        <w:tc>
          <w:tcPr>
            <w:tcW w:w="626" w:type="pct"/>
            <w:shd w:val="clear" w:color="auto" w:fill="auto"/>
            <w:noWrap/>
            <w:vAlign w:val="center"/>
            <w:hideMark/>
          </w:tcPr>
          <w:p w14:paraId="332823B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17,4</w:t>
            </w:r>
          </w:p>
        </w:tc>
        <w:tc>
          <w:tcPr>
            <w:tcW w:w="832" w:type="pct"/>
            <w:shd w:val="clear" w:color="auto" w:fill="auto"/>
            <w:vAlign w:val="center"/>
            <w:hideMark/>
          </w:tcPr>
          <w:p w14:paraId="25EEE47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32,8</w:t>
            </w:r>
          </w:p>
        </w:tc>
        <w:tc>
          <w:tcPr>
            <w:tcW w:w="806" w:type="pct"/>
            <w:shd w:val="clear" w:color="auto" w:fill="auto"/>
            <w:vAlign w:val="center"/>
            <w:hideMark/>
          </w:tcPr>
          <w:p w14:paraId="58BEAF6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189%</w:t>
            </w:r>
          </w:p>
        </w:tc>
      </w:tr>
    </w:tbl>
    <w:p w14:paraId="255E3AE3" w14:textId="77777777" w:rsidR="00E8617E" w:rsidRPr="00AE71CA" w:rsidRDefault="00E8617E" w:rsidP="00E8617E">
      <w:pPr>
        <w:spacing w:after="0" w:line="240" w:lineRule="auto"/>
        <w:jc w:val="both"/>
        <w:rPr>
          <w:rFonts w:ascii="Arial" w:hAnsi="Arial" w:cs="Arial"/>
          <w:sz w:val="18"/>
          <w:szCs w:val="18"/>
        </w:rPr>
      </w:pPr>
      <w:r w:rsidRPr="00AE71CA">
        <w:rPr>
          <w:rFonts w:ascii="Arial" w:hAnsi="Arial" w:cs="Arial"/>
          <w:sz w:val="18"/>
          <w:szCs w:val="18"/>
        </w:rPr>
        <w:t>Източник: МЗХГ</w:t>
      </w:r>
    </w:p>
    <w:p w14:paraId="2B05CE23"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 xml:space="preserve">Целевата стойност на индикатора принос на мярката в БДС в подпомогнатите стопанства е 15 млн. евро, но в следствие на повишаване с около 17% на първоначалния бюджет по мярката е увеличена </w:t>
      </w:r>
      <w:r w:rsidR="006F711F">
        <w:rPr>
          <w:rFonts w:ascii="Arial" w:hAnsi="Arial" w:cs="Arial"/>
        </w:rPr>
        <w:t xml:space="preserve">на </w:t>
      </w:r>
      <w:r w:rsidRPr="00BC513A">
        <w:rPr>
          <w:rFonts w:ascii="Arial" w:hAnsi="Arial" w:cs="Arial"/>
        </w:rPr>
        <w:t xml:space="preserve">17,4 млн. евро. По този индикатор се отчита много високо преизпълнение, като създадената добавена стойност в подпомогнатите стопанства възлиза на 32,8 млн. евро, което представлява постижение от 189% спрямо поставената цел. </w:t>
      </w:r>
    </w:p>
    <w:p w14:paraId="18C1ECFC" w14:textId="4410CD71"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Като добро управленско решение трябва да се отбележат направените промени през 2012 г., с които се повишава първоначалния</w:t>
      </w:r>
      <w:r w:rsidR="006F711F">
        <w:rPr>
          <w:rFonts w:ascii="Arial" w:hAnsi="Arial" w:cs="Arial"/>
        </w:rPr>
        <w:t>т</w:t>
      </w:r>
      <w:r w:rsidRPr="00BC513A">
        <w:rPr>
          <w:rFonts w:ascii="Arial" w:hAnsi="Arial" w:cs="Arial"/>
        </w:rPr>
        <w:t xml:space="preserve"> икономически размер на земеделското стопанство при кандидатстване от 2 икономически единици (ИЕ) на най-малко 4 ИЕ.  Увеличава се и маргиналния</w:t>
      </w:r>
      <w:r w:rsidR="006F711F">
        <w:rPr>
          <w:rFonts w:ascii="Arial" w:hAnsi="Arial" w:cs="Arial"/>
        </w:rPr>
        <w:t>т</w:t>
      </w:r>
      <w:r w:rsidRPr="00BC513A">
        <w:rPr>
          <w:rFonts w:ascii="Arial" w:hAnsi="Arial" w:cs="Arial"/>
        </w:rPr>
        <w:t xml:space="preserve"> изискуем ефект за създавана добавена стойност в стопанствата от 1 ИЕ на 1,5 ИЕ, като за всяка 1,5 ИЕ се запазва безвъзмездната финансова помощ от по 2</w:t>
      </w:r>
      <w:r w:rsidR="006F711F">
        <w:rPr>
          <w:rFonts w:ascii="Arial" w:hAnsi="Arial" w:cs="Arial"/>
        </w:rPr>
        <w:t> </w:t>
      </w:r>
      <w:r w:rsidRPr="00BC513A">
        <w:rPr>
          <w:rFonts w:ascii="Arial" w:hAnsi="Arial" w:cs="Arial"/>
        </w:rPr>
        <w:t xml:space="preserve">500 евро. Така минималният размер на </w:t>
      </w:r>
      <w:r w:rsidRPr="00BC513A">
        <w:rPr>
          <w:rFonts w:ascii="Arial" w:hAnsi="Arial" w:cs="Arial"/>
        </w:rPr>
        <w:lastRenderedPageBreak/>
        <w:t>стопанството към момента на извършване на проверката за изпълнение на бизнес плана става 8,5 ИЕ.</w:t>
      </w:r>
    </w:p>
    <w:p w14:paraId="62AD31F9" w14:textId="77777777" w:rsidR="00E8617E" w:rsidRPr="00BC513A" w:rsidRDefault="00E8617E" w:rsidP="007C3883">
      <w:pPr>
        <w:pStyle w:val="DefaultText"/>
        <w:keepNext/>
        <w:spacing w:before="60" w:line="240" w:lineRule="auto"/>
        <w:rPr>
          <w:rFonts w:cs="Arial"/>
          <w:b/>
          <w:color w:val="0070C0"/>
          <w:sz w:val="20"/>
          <w:szCs w:val="20"/>
          <w:lang w:val="bg-BG"/>
        </w:rPr>
      </w:pPr>
      <w:bookmarkStart w:id="98" w:name="_Toc391899888"/>
      <w:bookmarkStart w:id="99" w:name="_Toc504136200"/>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28</w:t>
      </w:r>
      <w:r w:rsidRPr="00BC513A">
        <w:rPr>
          <w:rFonts w:cs="Arial"/>
          <w:b/>
          <w:color w:val="0070C0"/>
          <w:sz w:val="20"/>
          <w:szCs w:val="20"/>
          <w:lang w:val="bg-BG"/>
        </w:rPr>
        <w:fldChar w:fldCharType="end"/>
      </w:r>
      <w:r w:rsidRPr="00BC513A">
        <w:rPr>
          <w:rFonts w:cs="Arial"/>
          <w:b/>
          <w:color w:val="0070C0"/>
          <w:sz w:val="20"/>
          <w:szCs w:val="20"/>
          <w:lang w:val="bg-BG"/>
        </w:rPr>
        <w:t>. Проекти с плащане по мярка 112 по вид селскостопанска дейност</w:t>
      </w:r>
      <w:bookmarkEnd w:id="98"/>
      <w:bookmarkEnd w:id="99"/>
    </w:p>
    <w:tbl>
      <w:tblPr>
        <w:tblW w:w="5000" w:type="pct"/>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2589"/>
        <w:gridCol w:w="1018"/>
        <w:gridCol w:w="1142"/>
        <w:gridCol w:w="1155"/>
        <w:gridCol w:w="1730"/>
        <w:gridCol w:w="1577"/>
      </w:tblGrid>
      <w:tr w:rsidR="00E8617E" w:rsidRPr="00BC513A" w14:paraId="172D61AC" w14:textId="77777777" w:rsidTr="00AE71CA">
        <w:trPr>
          <w:trHeight w:val="396"/>
        </w:trPr>
        <w:tc>
          <w:tcPr>
            <w:tcW w:w="1405" w:type="pct"/>
            <w:vMerge w:val="restart"/>
            <w:shd w:val="clear" w:color="auto" w:fill="1F4E79" w:themeFill="accent1" w:themeFillShade="80"/>
            <w:vAlign w:val="center"/>
            <w:hideMark/>
          </w:tcPr>
          <w:p w14:paraId="296300AA" w14:textId="77777777" w:rsidR="00E8617E" w:rsidRPr="00BC513A" w:rsidRDefault="00E8617E" w:rsidP="00922731">
            <w:pPr>
              <w:spacing w:after="0" w:line="240" w:lineRule="auto"/>
              <w:jc w:val="center"/>
              <w:rPr>
                <w:rFonts w:ascii="Arial" w:eastAsia="Times New Roman" w:hAnsi="Arial" w:cs="Arial"/>
                <w:b/>
                <w:color w:val="FFFFFF" w:themeColor="background1"/>
                <w:sz w:val="20"/>
                <w:szCs w:val="20"/>
                <w:lang w:eastAsia="bg-BG"/>
              </w:rPr>
            </w:pPr>
            <w:r w:rsidRPr="00BC513A">
              <w:rPr>
                <w:rFonts w:ascii="Arial" w:eastAsia="Times New Roman" w:hAnsi="Arial" w:cs="Arial"/>
                <w:b/>
                <w:color w:val="FFFFFF" w:themeColor="background1"/>
                <w:sz w:val="20"/>
                <w:szCs w:val="20"/>
                <w:lang w:eastAsia="bg-BG"/>
              </w:rPr>
              <w:t>Сектори на насочеността на подкрепата</w:t>
            </w:r>
          </w:p>
        </w:tc>
        <w:tc>
          <w:tcPr>
            <w:tcW w:w="552" w:type="pct"/>
            <w:vMerge w:val="restart"/>
            <w:shd w:val="clear" w:color="auto" w:fill="1F4E79" w:themeFill="accent1" w:themeFillShade="80"/>
            <w:vAlign w:val="center"/>
            <w:hideMark/>
          </w:tcPr>
          <w:p w14:paraId="561D401D" w14:textId="77777777" w:rsidR="00E8617E" w:rsidRPr="00BC513A" w:rsidRDefault="00E8617E" w:rsidP="00AE71CA">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Брой проекти</w:t>
            </w:r>
          </w:p>
        </w:tc>
        <w:tc>
          <w:tcPr>
            <w:tcW w:w="1247" w:type="pct"/>
            <w:gridSpan w:val="2"/>
            <w:shd w:val="clear" w:color="auto" w:fill="1F4E79" w:themeFill="accent1" w:themeFillShade="80"/>
            <w:vAlign w:val="center"/>
            <w:hideMark/>
          </w:tcPr>
          <w:p w14:paraId="3B3187E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xml:space="preserve">Публична подкрепа, </w:t>
            </w:r>
            <w:r w:rsidR="00AE71CA">
              <w:rPr>
                <w:rFonts w:ascii="Arial" w:eastAsia="Times New Roman" w:hAnsi="Arial" w:cs="Arial"/>
                <w:b/>
                <w:bCs/>
                <w:color w:val="FFFFFF" w:themeColor="background1"/>
                <w:sz w:val="20"/>
                <w:szCs w:val="20"/>
                <w:lang w:eastAsia="bg-BG"/>
              </w:rPr>
              <w:t>1</w:t>
            </w:r>
            <w:r w:rsidR="006F711F">
              <w:rPr>
                <w:rFonts w:ascii="Arial" w:eastAsia="Times New Roman" w:hAnsi="Arial" w:cs="Arial"/>
                <w:b/>
                <w:bCs/>
                <w:color w:val="FFFFFF" w:themeColor="background1"/>
                <w:sz w:val="20"/>
                <w:szCs w:val="20"/>
                <w:lang w:eastAsia="bg-BG"/>
              </w:rPr>
              <w:t> </w:t>
            </w:r>
            <w:r w:rsidRPr="00BC513A">
              <w:rPr>
                <w:rFonts w:ascii="Arial" w:eastAsia="Times New Roman" w:hAnsi="Arial" w:cs="Arial"/>
                <w:b/>
                <w:bCs/>
                <w:color w:val="FFFFFF" w:themeColor="background1"/>
                <w:sz w:val="20"/>
                <w:szCs w:val="20"/>
                <w:lang w:eastAsia="bg-BG"/>
              </w:rPr>
              <w:t>000 евро</w:t>
            </w:r>
          </w:p>
        </w:tc>
        <w:tc>
          <w:tcPr>
            <w:tcW w:w="939" w:type="pct"/>
            <w:vMerge w:val="restart"/>
            <w:shd w:val="clear" w:color="auto" w:fill="1F4E79" w:themeFill="accent1" w:themeFillShade="80"/>
            <w:vAlign w:val="center"/>
          </w:tcPr>
          <w:p w14:paraId="7636996D"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eastAsia="Times New Roman" w:hAnsi="Arial" w:cs="Arial"/>
                <w:b/>
                <w:color w:val="FFFFFF" w:themeColor="background1"/>
                <w:sz w:val="20"/>
                <w:szCs w:val="20"/>
                <w:lang w:eastAsia="bg-BG"/>
              </w:rPr>
              <w:t xml:space="preserve">Общ размер на инвестициите, </w:t>
            </w:r>
            <w:r w:rsidR="00AE71CA">
              <w:rPr>
                <w:rFonts w:ascii="Arial" w:eastAsia="Times New Roman" w:hAnsi="Arial" w:cs="Arial"/>
                <w:b/>
                <w:color w:val="FFFFFF" w:themeColor="background1"/>
                <w:sz w:val="20"/>
                <w:szCs w:val="20"/>
                <w:lang w:eastAsia="bg-BG"/>
              </w:rPr>
              <w:t>1</w:t>
            </w:r>
            <w:r w:rsidR="006F711F">
              <w:rPr>
                <w:rFonts w:ascii="Arial" w:eastAsia="Times New Roman" w:hAnsi="Arial" w:cs="Arial"/>
                <w:b/>
                <w:color w:val="FFFFFF" w:themeColor="background1"/>
                <w:sz w:val="20"/>
                <w:szCs w:val="20"/>
                <w:lang w:eastAsia="bg-BG"/>
              </w:rPr>
              <w:t> </w:t>
            </w:r>
            <w:r w:rsidRPr="00BC513A">
              <w:rPr>
                <w:rFonts w:ascii="Arial" w:eastAsia="Times New Roman" w:hAnsi="Arial" w:cs="Arial"/>
                <w:b/>
                <w:color w:val="FFFFFF" w:themeColor="background1"/>
                <w:sz w:val="20"/>
                <w:szCs w:val="20"/>
                <w:lang w:eastAsia="bg-BG"/>
              </w:rPr>
              <w:t>000 евро</w:t>
            </w:r>
          </w:p>
        </w:tc>
        <w:tc>
          <w:tcPr>
            <w:tcW w:w="856" w:type="pct"/>
            <w:vMerge w:val="restart"/>
            <w:shd w:val="clear" w:color="auto" w:fill="1F4E79" w:themeFill="accent1" w:themeFillShade="80"/>
            <w:vAlign w:val="center"/>
          </w:tcPr>
          <w:p w14:paraId="27A8F0DF" w14:textId="77777777" w:rsidR="00E8617E" w:rsidRPr="00BC513A" w:rsidRDefault="00E8617E" w:rsidP="00922731">
            <w:pPr>
              <w:spacing w:after="0" w:line="240" w:lineRule="auto"/>
              <w:jc w:val="center"/>
              <w:rPr>
                <w:rFonts w:ascii="Arial" w:eastAsia="Times New Roman" w:hAnsi="Arial" w:cs="Arial"/>
                <w:b/>
                <w:color w:val="FFFFFF" w:themeColor="background1"/>
                <w:sz w:val="20"/>
                <w:szCs w:val="20"/>
                <w:lang w:eastAsia="bg-BG"/>
              </w:rPr>
            </w:pPr>
            <w:r w:rsidRPr="00BC513A">
              <w:rPr>
                <w:rFonts w:ascii="Arial" w:eastAsia="Times New Roman" w:hAnsi="Arial" w:cs="Arial"/>
                <w:b/>
                <w:color w:val="FFFFFF" w:themeColor="background1"/>
                <w:sz w:val="20"/>
                <w:szCs w:val="20"/>
                <w:lang w:eastAsia="bg-BG"/>
              </w:rPr>
              <w:t>Инвестиции на единица публична помощ, евро</w:t>
            </w:r>
          </w:p>
        </w:tc>
      </w:tr>
      <w:tr w:rsidR="00E8617E" w:rsidRPr="00BC513A" w14:paraId="0F0D1CFA" w14:textId="77777777" w:rsidTr="00AE71CA">
        <w:trPr>
          <w:trHeight w:val="395"/>
        </w:trPr>
        <w:tc>
          <w:tcPr>
            <w:tcW w:w="1405" w:type="pct"/>
            <w:vMerge/>
            <w:vAlign w:val="center"/>
            <w:hideMark/>
          </w:tcPr>
          <w:p w14:paraId="4308C1FA" w14:textId="77777777" w:rsidR="00E8617E" w:rsidRPr="00BC513A" w:rsidRDefault="00E8617E" w:rsidP="00922731">
            <w:pPr>
              <w:spacing w:after="0" w:line="240" w:lineRule="auto"/>
              <w:rPr>
                <w:rFonts w:ascii="Arial" w:eastAsia="Times New Roman" w:hAnsi="Arial" w:cs="Arial"/>
                <w:b/>
                <w:sz w:val="20"/>
                <w:szCs w:val="20"/>
                <w:lang w:eastAsia="bg-BG"/>
              </w:rPr>
            </w:pPr>
          </w:p>
        </w:tc>
        <w:tc>
          <w:tcPr>
            <w:tcW w:w="552" w:type="pct"/>
            <w:vMerge/>
            <w:vAlign w:val="center"/>
            <w:hideMark/>
          </w:tcPr>
          <w:p w14:paraId="42065A07"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p>
        </w:tc>
        <w:tc>
          <w:tcPr>
            <w:tcW w:w="620" w:type="pct"/>
            <w:shd w:val="clear" w:color="auto" w:fill="1F4E79" w:themeFill="accent1" w:themeFillShade="80"/>
            <w:vAlign w:val="center"/>
            <w:hideMark/>
          </w:tcPr>
          <w:p w14:paraId="08B89FF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ЕЗФРСР</w:t>
            </w:r>
          </w:p>
        </w:tc>
        <w:tc>
          <w:tcPr>
            <w:tcW w:w="627" w:type="pct"/>
            <w:shd w:val="clear" w:color="auto" w:fill="1F4E79" w:themeFill="accent1" w:themeFillShade="80"/>
            <w:vAlign w:val="center"/>
          </w:tcPr>
          <w:p w14:paraId="2DDD0C3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w:t>
            </w:r>
          </w:p>
        </w:tc>
        <w:tc>
          <w:tcPr>
            <w:tcW w:w="939" w:type="pct"/>
            <w:vMerge/>
            <w:vAlign w:val="center"/>
          </w:tcPr>
          <w:p w14:paraId="142A52C7" w14:textId="77777777" w:rsidR="00E8617E" w:rsidRPr="00BC513A" w:rsidRDefault="00E8617E" w:rsidP="00922731">
            <w:pPr>
              <w:spacing w:after="0" w:line="240" w:lineRule="auto"/>
              <w:jc w:val="center"/>
              <w:rPr>
                <w:rFonts w:ascii="Arial" w:eastAsia="Times New Roman" w:hAnsi="Arial" w:cs="Arial"/>
                <w:b/>
                <w:sz w:val="20"/>
                <w:szCs w:val="20"/>
                <w:lang w:eastAsia="bg-BG"/>
              </w:rPr>
            </w:pPr>
          </w:p>
        </w:tc>
        <w:tc>
          <w:tcPr>
            <w:tcW w:w="856" w:type="pct"/>
            <w:vMerge/>
            <w:vAlign w:val="center"/>
          </w:tcPr>
          <w:p w14:paraId="36B669FF" w14:textId="77777777" w:rsidR="00E8617E" w:rsidRPr="00BC513A" w:rsidRDefault="00E8617E" w:rsidP="00922731">
            <w:pPr>
              <w:spacing w:after="0" w:line="240" w:lineRule="auto"/>
              <w:jc w:val="center"/>
              <w:rPr>
                <w:rFonts w:ascii="Arial" w:eastAsia="Times New Roman" w:hAnsi="Arial" w:cs="Arial"/>
                <w:b/>
                <w:sz w:val="20"/>
                <w:szCs w:val="20"/>
                <w:lang w:eastAsia="bg-BG"/>
              </w:rPr>
            </w:pPr>
          </w:p>
        </w:tc>
      </w:tr>
      <w:tr w:rsidR="00E8617E" w:rsidRPr="00BC513A" w14:paraId="0F805490" w14:textId="77777777" w:rsidTr="00AE71CA">
        <w:trPr>
          <w:trHeight w:val="315"/>
        </w:trPr>
        <w:tc>
          <w:tcPr>
            <w:tcW w:w="1405" w:type="pct"/>
            <w:shd w:val="clear" w:color="auto" w:fill="auto"/>
            <w:vAlign w:val="center"/>
            <w:hideMark/>
          </w:tcPr>
          <w:p w14:paraId="051D654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Полски култури</w:t>
            </w:r>
          </w:p>
        </w:tc>
        <w:tc>
          <w:tcPr>
            <w:tcW w:w="552" w:type="pct"/>
            <w:shd w:val="clear" w:color="auto" w:fill="auto"/>
            <w:vAlign w:val="center"/>
            <w:hideMark/>
          </w:tcPr>
          <w:p w14:paraId="53C3596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762</w:t>
            </w:r>
          </w:p>
        </w:tc>
        <w:tc>
          <w:tcPr>
            <w:tcW w:w="620" w:type="pct"/>
            <w:shd w:val="clear" w:color="auto" w:fill="auto"/>
            <w:vAlign w:val="center"/>
            <w:hideMark/>
          </w:tcPr>
          <w:p w14:paraId="084A24AF" w14:textId="6C96F57D"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13</w:t>
            </w:r>
            <w:r w:rsidR="009D5DFC">
              <w:rPr>
                <w:rFonts w:ascii="Arial" w:hAnsi="Arial" w:cs="Arial"/>
                <w:color w:val="000000"/>
                <w:sz w:val="20"/>
                <w:szCs w:val="20"/>
              </w:rPr>
              <w:t> </w:t>
            </w:r>
            <w:r w:rsidRPr="00BC513A">
              <w:rPr>
                <w:rFonts w:ascii="Arial" w:hAnsi="Arial" w:cs="Arial"/>
                <w:color w:val="000000"/>
                <w:sz w:val="20"/>
                <w:szCs w:val="20"/>
              </w:rPr>
              <w:t>210</w:t>
            </w:r>
          </w:p>
        </w:tc>
        <w:tc>
          <w:tcPr>
            <w:tcW w:w="627" w:type="pct"/>
            <w:vAlign w:val="center"/>
          </w:tcPr>
          <w:p w14:paraId="1F6DF3A4" w14:textId="7654BFD5"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16</w:t>
            </w:r>
            <w:r w:rsidR="009D5DFC">
              <w:rPr>
                <w:rFonts w:ascii="Arial" w:hAnsi="Arial" w:cs="Arial"/>
                <w:color w:val="000000"/>
                <w:sz w:val="20"/>
                <w:szCs w:val="20"/>
              </w:rPr>
              <w:t> </w:t>
            </w:r>
            <w:r w:rsidRPr="00BC513A">
              <w:rPr>
                <w:rFonts w:ascii="Arial" w:hAnsi="Arial" w:cs="Arial"/>
                <w:color w:val="000000"/>
                <w:sz w:val="20"/>
                <w:szCs w:val="20"/>
              </w:rPr>
              <w:t>511</w:t>
            </w:r>
          </w:p>
        </w:tc>
        <w:tc>
          <w:tcPr>
            <w:tcW w:w="939" w:type="pct"/>
            <w:vAlign w:val="center"/>
          </w:tcPr>
          <w:p w14:paraId="5828988B" w14:textId="2C503F4C"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24</w:t>
            </w:r>
            <w:r w:rsidR="009D5DFC">
              <w:rPr>
                <w:rFonts w:ascii="Arial" w:hAnsi="Arial" w:cs="Arial"/>
                <w:color w:val="000000"/>
                <w:sz w:val="20"/>
                <w:szCs w:val="20"/>
              </w:rPr>
              <w:t> </w:t>
            </w:r>
            <w:r w:rsidRPr="00BC513A">
              <w:rPr>
                <w:rFonts w:ascii="Arial" w:hAnsi="Arial" w:cs="Arial"/>
                <w:color w:val="000000"/>
                <w:sz w:val="20"/>
                <w:szCs w:val="20"/>
              </w:rPr>
              <w:t>404</w:t>
            </w:r>
          </w:p>
        </w:tc>
        <w:tc>
          <w:tcPr>
            <w:tcW w:w="856" w:type="pct"/>
            <w:vAlign w:val="center"/>
          </w:tcPr>
          <w:p w14:paraId="2870EEA7"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1,5</w:t>
            </w:r>
          </w:p>
        </w:tc>
      </w:tr>
      <w:tr w:rsidR="00E8617E" w:rsidRPr="00BC513A" w14:paraId="1BDB1DD5" w14:textId="77777777" w:rsidTr="00AE71CA">
        <w:trPr>
          <w:trHeight w:val="315"/>
        </w:trPr>
        <w:tc>
          <w:tcPr>
            <w:tcW w:w="1405" w:type="pct"/>
            <w:shd w:val="clear" w:color="auto" w:fill="auto"/>
            <w:vAlign w:val="center"/>
            <w:hideMark/>
          </w:tcPr>
          <w:p w14:paraId="4938CE4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Градинарство</w:t>
            </w:r>
          </w:p>
        </w:tc>
        <w:tc>
          <w:tcPr>
            <w:tcW w:w="552" w:type="pct"/>
            <w:shd w:val="clear" w:color="auto" w:fill="auto"/>
            <w:vAlign w:val="center"/>
            <w:hideMark/>
          </w:tcPr>
          <w:p w14:paraId="234DB1CA" w14:textId="1D991643"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w:t>
            </w:r>
            <w:r w:rsidR="006F711F">
              <w:rPr>
                <w:rFonts w:ascii="Arial" w:eastAsia="Times New Roman" w:hAnsi="Arial" w:cs="Arial"/>
                <w:sz w:val="20"/>
                <w:szCs w:val="20"/>
                <w:lang w:eastAsia="bg-BG"/>
              </w:rPr>
              <w:t> </w:t>
            </w:r>
            <w:r w:rsidRPr="00BC513A">
              <w:rPr>
                <w:rFonts w:ascii="Arial" w:eastAsia="Times New Roman" w:hAnsi="Arial" w:cs="Arial"/>
                <w:sz w:val="20"/>
                <w:szCs w:val="20"/>
                <w:lang w:eastAsia="bg-BG"/>
              </w:rPr>
              <w:t>956</w:t>
            </w:r>
          </w:p>
        </w:tc>
        <w:tc>
          <w:tcPr>
            <w:tcW w:w="620" w:type="pct"/>
            <w:shd w:val="clear" w:color="auto" w:fill="auto"/>
            <w:vAlign w:val="center"/>
            <w:hideMark/>
          </w:tcPr>
          <w:p w14:paraId="76AA56DD" w14:textId="14F7BF0A"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31</w:t>
            </w:r>
            <w:r w:rsidR="009D5DFC">
              <w:rPr>
                <w:rFonts w:ascii="Arial" w:hAnsi="Arial" w:cs="Arial"/>
                <w:color w:val="000000"/>
                <w:sz w:val="20"/>
                <w:szCs w:val="20"/>
              </w:rPr>
              <w:t> </w:t>
            </w:r>
            <w:r w:rsidRPr="00BC513A">
              <w:rPr>
                <w:rFonts w:ascii="Arial" w:hAnsi="Arial" w:cs="Arial"/>
                <w:color w:val="000000"/>
                <w:sz w:val="20"/>
                <w:szCs w:val="20"/>
              </w:rPr>
              <w:t>570</w:t>
            </w:r>
          </w:p>
        </w:tc>
        <w:tc>
          <w:tcPr>
            <w:tcW w:w="627" w:type="pct"/>
            <w:vAlign w:val="center"/>
          </w:tcPr>
          <w:p w14:paraId="7FD35D3C" w14:textId="7F68AD08"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39</w:t>
            </w:r>
            <w:r w:rsidR="009D5DFC">
              <w:rPr>
                <w:rFonts w:ascii="Arial" w:hAnsi="Arial" w:cs="Arial"/>
                <w:color w:val="000000"/>
                <w:sz w:val="20"/>
                <w:szCs w:val="20"/>
              </w:rPr>
              <w:t> </w:t>
            </w:r>
            <w:r w:rsidRPr="00BC513A">
              <w:rPr>
                <w:rFonts w:ascii="Arial" w:hAnsi="Arial" w:cs="Arial"/>
                <w:color w:val="000000"/>
                <w:sz w:val="20"/>
                <w:szCs w:val="20"/>
              </w:rPr>
              <w:t>462</w:t>
            </w:r>
          </w:p>
        </w:tc>
        <w:tc>
          <w:tcPr>
            <w:tcW w:w="939" w:type="pct"/>
            <w:vAlign w:val="center"/>
          </w:tcPr>
          <w:p w14:paraId="6AACB7DD" w14:textId="6DC31A44"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57</w:t>
            </w:r>
            <w:r w:rsidR="009D5DFC">
              <w:rPr>
                <w:rFonts w:ascii="Arial" w:hAnsi="Arial" w:cs="Arial"/>
                <w:color w:val="000000"/>
                <w:sz w:val="20"/>
                <w:szCs w:val="20"/>
              </w:rPr>
              <w:t> </w:t>
            </w:r>
            <w:r w:rsidRPr="00BC513A">
              <w:rPr>
                <w:rFonts w:ascii="Arial" w:hAnsi="Arial" w:cs="Arial"/>
                <w:color w:val="000000"/>
                <w:sz w:val="20"/>
                <w:szCs w:val="20"/>
              </w:rPr>
              <w:t>036</w:t>
            </w:r>
          </w:p>
        </w:tc>
        <w:tc>
          <w:tcPr>
            <w:tcW w:w="856" w:type="pct"/>
            <w:vAlign w:val="center"/>
          </w:tcPr>
          <w:p w14:paraId="7F1676DE"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1,4</w:t>
            </w:r>
          </w:p>
        </w:tc>
      </w:tr>
      <w:tr w:rsidR="00E8617E" w:rsidRPr="00BC513A" w14:paraId="74910D70" w14:textId="77777777" w:rsidTr="00AE71CA">
        <w:trPr>
          <w:trHeight w:val="315"/>
        </w:trPr>
        <w:tc>
          <w:tcPr>
            <w:tcW w:w="1405" w:type="pct"/>
            <w:shd w:val="clear" w:color="auto" w:fill="auto"/>
            <w:vAlign w:val="center"/>
            <w:hideMark/>
          </w:tcPr>
          <w:p w14:paraId="40143F8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Вина</w:t>
            </w:r>
          </w:p>
        </w:tc>
        <w:tc>
          <w:tcPr>
            <w:tcW w:w="552" w:type="pct"/>
            <w:shd w:val="clear" w:color="auto" w:fill="auto"/>
            <w:vAlign w:val="center"/>
            <w:hideMark/>
          </w:tcPr>
          <w:p w14:paraId="63D6255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89</w:t>
            </w:r>
          </w:p>
        </w:tc>
        <w:tc>
          <w:tcPr>
            <w:tcW w:w="620" w:type="pct"/>
            <w:shd w:val="clear" w:color="auto" w:fill="auto"/>
            <w:vAlign w:val="center"/>
            <w:hideMark/>
          </w:tcPr>
          <w:p w14:paraId="29643C46" w14:textId="70D3A766"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w:t>
            </w:r>
            <w:r w:rsidR="009D5DFC">
              <w:rPr>
                <w:rFonts w:ascii="Arial" w:hAnsi="Arial" w:cs="Arial"/>
                <w:color w:val="000000"/>
                <w:sz w:val="20"/>
                <w:szCs w:val="20"/>
              </w:rPr>
              <w:t> </w:t>
            </w:r>
            <w:r w:rsidRPr="00BC513A">
              <w:rPr>
                <w:rFonts w:ascii="Arial" w:hAnsi="Arial" w:cs="Arial"/>
                <w:color w:val="000000"/>
                <w:sz w:val="20"/>
                <w:szCs w:val="20"/>
              </w:rPr>
              <w:t>495</w:t>
            </w:r>
          </w:p>
        </w:tc>
        <w:tc>
          <w:tcPr>
            <w:tcW w:w="627" w:type="pct"/>
            <w:vAlign w:val="center"/>
          </w:tcPr>
          <w:p w14:paraId="05691AF5" w14:textId="02C9E846"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w:t>
            </w:r>
            <w:r w:rsidR="009D5DFC">
              <w:rPr>
                <w:rFonts w:ascii="Arial" w:hAnsi="Arial" w:cs="Arial"/>
                <w:color w:val="000000"/>
                <w:sz w:val="20"/>
                <w:szCs w:val="20"/>
              </w:rPr>
              <w:t> </w:t>
            </w:r>
            <w:r w:rsidRPr="00BC513A">
              <w:rPr>
                <w:rFonts w:ascii="Arial" w:hAnsi="Arial" w:cs="Arial"/>
                <w:color w:val="000000"/>
                <w:sz w:val="20"/>
                <w:szCs w:val="20"/>
              </w:rPr>
              <w:t>871</w:t>
            </w:r>
          </w:p>
        </w:tc>
        <w:tc>
          <w:tcPr>
            <w:tcW w:w="939" w:type="pct"/>
            <w:vAlign w:val="center"/>
          </w:tcPr>
          <w:p w14:paraId="2C3BCE18" w14:textId="16E06E6B"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w:t>
            </w:r>
            <w:r w:rsidR="009D5DFC">
              <w:rPr>
                <w:rFonts w:ascii="Arial" w:hAnsi="Arial" w:cs="Arial"/>
                <w:color w:val="000000"/>
                <w:sz w:val="20"/>
                <w:szCs w:val="20"/>
              </w:rPr>
              <w:t> </w:t>
            </w:r>
            <w:r w:rsidRPr="00BC513A">
              <w:rPr>
                <w:rFonts w:ascii="Arial" w:hAnsi="Arial" w:cs="Arial"/>
                <w:color w:val="000000"/>
                <w:sz w:val="20"/>
                <w:szCs w:val="20"/>
              </w:rPr>
              <w:t>350</w:t>
            </w:r>
          </w:p>
        </w:tc>
        <w:tc>
          <w:tcPr>
            <w:tcW w:w="856" w:type="pct"/>
            <w:vAlign w:val="center"/>
          </w:tcPr>
          <w:p w14:paraId="0D5E4530"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1,8</w:t>
            </w:r>
          </w:p>
        </w:tc>
      </w:tr>
      <w:tr w:rsidR="00E8617E" w:rsidRPr="00BC513A" w14:paraId="2C9280D3" w14:textId="77777777" w:rsidTr="00AE71CA">
        <w:trPr>
          <w:trHeight w:val="453"/>
        </w:trPr>
        <w:tc>
          <w:tcPr>
            <w:tcW w:w="1405" w:type="pct"/>
            <w:shd w:val="clear" w:color="auto" w:fill="auto"/>
            <w:vAlign w:val="center"/>
            <w:hideMark/>
          </w:tcPr>
          <w:p w14:paraId="7BBD7B1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Трайни насаждения</w:t>
            </w:r>
          </w:p>
        </w:tc>
        <w:tc>
          <w:tcPr>
            <w:tcW w:w="552" w:type="pct"/>
            <w:shd w:val="clear" w:color="auto" w:fill="auto"/>
            <w:vAlign w:val="center"/>
            <w:hideMark/>
          </w:tcPr>
          <w:p w14:paraId="2F274545" w14:textId="3AF8C010"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w:t>
            </w:r>
            <w:r w:rsidR="006F711F">
              <w:rPr>
                <w:rFonts w:ascii="Arial" w:eastAsia="Times New Roman" w:hAnsi="Arial" w:cs="Arial"/>
                <w:sz w:val="20"/>
                <w:szCs w:val="20"/>
                <w:lang w:eastAsia="bg-BG"/>
              </w:rPr>
              <w:t> </w:t>
            </w:r>
            <w:r w:rsidRPr="00BC513A">
              <w:rPr>
                <w:rFonts w:ascii="Arial" w:eastAsia="Times New Roman" w:hAnsi="Arial" w:cs="Arial"/>
                <w:sz w:val="20"/>
                <w:szCs w:val="20"/>
                <w:lang w:eastAsia="bg-BG"/>
              </w:rPr>
              <w:t>448</w:t>
            </w:r>
          </w:p>
        </w:tc>
        <w:tc>
          <w:tcPr>
            <w:tcW w:w="620" w:type="pct"/>
            <w:shd w:val="clear" w:color="auto" w:fill="auto"/>
            <w:vAlign w:val="center"/>
            <w:hideMark/>
          </w:tcPr>
          <w:p w14:paraId="109938EB" w14:textId="73ECF156"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24</w:t>
            </w:r>
            <w:r w:rsidR="009D5DFC">
              <w:rPr>
                <w:rFonts w:ascii="Arial" w:hAnsi="Arial" w:cs="Arial"/>
                <w:color w:val="000000"/>
                <w:sz w:val="20"/>
                <w:szCs w:val="20"/>
              </w:rPr>
              <w:t> </w:t>
            </w:r>
            <w:r w:rsidRPr="00BC513A">
              <w:rPr>
                <w:rFonts w:ascii="Arial" w:hAnsi="Arial" w:cs="Arial"/>
                <w:color w:val="000000"/>
                <w:sz w:val="20"/>
                <w:szCs w:val="20"/>
              </w:rPr>
              <w:t>504</w:t>
            </w:r>
          </w:p>
        </w:tc>
        <w:tc>
          <w:tcPr>
            <w:tcW w:w="627" w:type="pct"/>
            <w:vAlign w:val="center"/>
          </w:tcPr>
          <w:p w14:paraId="61294278" w14:textId="63F3740A"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30</w:t>
            </w:r>
            <w:r w:rsidR="009D5DFC">
              <w:rPr>
                <w:rFonts w:ascii="Arial" w:hAnsi="Arial" w:cs="Arial"/>
                <w:color w:val="000000"/>
                <w:sz w:val="20"/>
                <w:szCs w:val="20"/>
              </w:rPr>
              <w:t> </w:t>
            </w:r>
            <w:r w:rsidRPr="00BC513A">
              <w:rPr>
                <w:rFonts w:ascii="Arial" w:hAnsi="Arial" w:cs="Arial"/>
                <w:color w:val="000000"/>
                <w:sz w:val="20"/>
                <w:szCs w:val="20"/>
              </w:rPr>
              <w:t>630</w:t>
            </w:r>
          </w:p>
        </w:tc>
        <w:tc>
          <w:tcPr>
            <w:tcW w:w="939" w:type="pct"/>
            <w:vAlign w:val="center"/>
          </w:tcPr>
          <w:p w14:paraId="06E7F128" w14:textId="0DB790F5"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46</w:t>
            </w:r>
            <w:r w:rsidR="009D5DFC">
              <w:rPr>
                <w:rFonts w:ascii="Arial" w:hAnsi="Arial" w:cs="Arial"/>
                <w:color w:val="000000"/>
                <w:sz w:val="20"/>
                <w:szCs w:val="20"/>
              </w:rPr>
              <w:t> </w:t>
            </w:r>
            <w:r w:rsidRPr="00BC513A">
              <w:rPr>
                <w:rFonts w:ascii="Arial" w:hAnsi="Arial" w:cs="Arial"/>
                <w:color w:val="000000"/>
                <w:sz w:val="20"/>
                <w:szCs w:val="20"/>
              </w:rPr>
              <w:t>873</w:t>
            </w:r>
          </w:p>
        </w:tc>
        <w:tc>
          <w:tcPr>
            <w:tcW w:w="856" w:type="pct"/>
            <w:vAlign w:val="center"/>
          </w:tcPr>
          <w:p w14:paraId="0B1B2CCE"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1,5</w:t>
            </w:r>
          </w:p>
        </w:tc>
      </w:tr>
      <w:tr w:rsidR="00E8617E" w:rsidRPr="00BC513A" w14:paraId="5B215DB3" w14:textId="77777777" w:rsidTr="00AE71CA">
        <w:trPr>
          <w:trHeight w:val="315"/>
        </w:trPr>
        <w:tc>
          <w:tcPr>
            <w:tcW w:w="1405" w:type="pct"/>
            <w:shd w:val="clear" w:color="auto" w:fill="auto"/>
            <w:vAlign w:val="center"/>
            <w:hideMark/>
          </w:tcPr>
          <w:p w14:paraId="0B64FC04"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Мляко</w:t>
            </w:r>
          </w:p>
        </w:tc>
        <w:tc>
          <w:tcPr>
            <w:tcW w:w="552" w:type="pct"/>
            <w:shd w:val="clear" w:color="auto" w:fill="auto"/>
            <w:vAlign w:val="center"/>
            <w:hideMark/>
          </w:tcPr>
          <w:p w14:paraId="3C24E55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239</w:t>
            </w:r>
          </w:p>
        </w:tc>
        <w:tc>
          <w:tcPr>
            <w:tcW w:w="620" w:type="pct"/>
            <w:shd w:val="clear" w:color="auto" w:fill="auto"/>
            <w:vAlign w:val="center"/>
            <w:hideMark/>
          </w:tcPr>
          <w:p w14:paraId="6E801EAA" w14:textId="5640BB01"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w:t>
            </w:r>
            <w:r w:rsidR="009D5DFC">
              <w:rPr>
                <w:rFonts w:ascii="Arial" w:hAnsi="Arial" w:cs="Arial"/>
                <w:color w:val="000000"/>
                <w:sz w:val="20"/>
                <w:szCs w:val="20"/>
              </w:rPr>
              <w:t> </w:t>
            </w:r>
            <w:r w:rsidRPr="00BC513A">
              <w:rPr>
                <w:rFonts w:ascii="Arial" w:hAnsi="Arial" w:cs="Arial"/>
                <w:color w:val="000000"/>
                <w:sz w:val="20"/>
                <w:szCs w:val="20"/>
              </w:rPr>
              <w:t>401</w:t>
            </w:r>
          </w:p>
        </w:tc>
        <w:tc>
          <w:tcPr>
            <w:tcW w:w="627" w:type="pct"/>
            <w:vAlign w:val="center"/>
          </w:tcPr>
          <w:p w14:paraId="44253F97" w14:textId="0C52F174"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4</w:t>
            </w:r>
            <w:r w:rsidR="009D5DFC">
              <w:rPr>
                <w:rFonts w:ascii="Arial" w:hAnsi="Arial" w:cs="Arial"/>
                <w:color w:val="000000"/>
                <w:sz w:val="20"/>
                <w:szCs w:val="20"/>
              </w:rPr>
              <w:t> </w:t>
            </w:r>
            <w:r w:rsidRPr="00BC513A">
              <w:rPr>
                <w:rFonts w:ascii="Arial" w:hAnsi="Arial" w:cs="Arial"/>
                <w:color w:val="000000"/>
                <w:sz w:val="20"/>
                <w:szCs w:val="20"/>
              </w:rPr>
              <w:t>251</w:t>
            </w:r>
          </w:p>
        </w:tc>
        <w:tc>
          <w:tcPr>
            <w:tcW w:w="939" w:type="pct"/>
            <w:vAlign w:val="center"/>
          </w:tcPr>
          <w:p w14:paraId="640569FB" w14:textId="6505ABAE"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10</w:t>
            </w:r>
            <w:r w:rsidR="009D5DFC">
              <w:rPr>
                <w:rFonts w:ascii="Arial" w:hAnsi="Arial" w:cs="Arial"/>
                <w:color w:val="000000"/>
                <w:sz w:val="20"/>
                <w:szCs w:val="20"/>
              </w:rPr>
              <w:t> </w:t>
            </w:r>
            <w:r w:rsidRPr="00BC513A">
              <w:rPr>
                <w:rFonts w:ascii="Arial" w:hAnsi="Arial" w:cs="Arial"/>
                <w:color w:val="000000"/>
                <w:sz w:val="20"/>
                <w:szCs w:val="20"/>
              </w:rPr>
              <w:t>981</w:t>
            </w:r>
          </w:p>
        </w:tc>
        <w:tc>
          <w:tcPr>
            <w:tcW w:w="856" w:type="pct"/>
            <w:vAlign w:val="center"/>
          </w:tcPr>
          <w:p w14:paraId="3EBFB220"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2,6</w:t>
            </w:r>
          </w:p>
        </w:tc>
      </w:tr>
      <w:tr w:rsidR="00E8617E" w:rsidRPr="00BC513A" w14:paraId="21EC62F7" w14:textId="77777777" w:rsidTr="00AE71CA">
        <w:trPr>
          <w:trHeight w:val="484"/>
        </w:trPr>
        <w:tc>
          <w:tcPr>
            <w:tcW w:w="1405" w:type="pct"/>
            <w:shd w:val="clear" w:color="auto" w:fill="auto"/>
            <w:vAlign w:val="center"/>
            <w:hideMark/>
          </w:tcPr>
          <w:p w14:paraId="2A14815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Тревопасни (без мляко)</w:t>
            </w:r>
          </w:p>
        </w:tc>
        <w:tc>
          <w:tcPr>
            <w:tcW w:w="552" w:type="pct"/>
            <w:shd w:val="clear" w:color="auto" w:fill="auto"/>
            <w:vAlign w:val="center"/>
            <w:hideMark/>
          </w:tcPr>
          <w:p w14:paraId="6FB2638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151</w:t>
            </w:r>
          </w:p>
        </w:tc>
        <w:tc>
          <w:tcPr>
            <w:tcW w:w="620" w:type="pct"/>
            <w:shd w:val="clear" w:color="auto" w:fill="auto"/>
            <w:vAlign w:val="center"/>
            <w:hideMark/>
          </w:tcPr>
          <w:p w14:paraId="29A14774" w14:textId="2598296C"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w:t>
            </w:r>
            <w:r w:rsidR="009D5DFC">
              <w:rPr>
                <w:rFonts w:ascii="Arial" w:hAnsi="Arial" w:cs="Arial"/>
                <w:color w:val="000000"/>
                <w:sz w:val="20"/>
                <w:szCs w:val="20"/>
              </w:rPr>
              <w:t> </w:t>
            </w:r>
            <w:r w:rsidRPr="00BC513A">
              <w:rPr>
                <w:rFonts w:ascii="Arial" w:hAnsi="Arial" w:cs="Arial"/>
                <w:color w:val="000000"/>
                <w:sz w:val="20"/>
                <w:szCs w:val="20"/>
              </w:rPr>
              <w:t>061</w:t>
            </w:r>
          </w:p>
        </w:tc>
        <w:tc>
          <w:tcPr>
            <w:tcW w:w="627" w:type="pct"/>
            <w:vAlign w:val="center"/>
          </w:tcPr>
          <w:p w14:paraId="2B3EE81C" w14:textId="5979EDB3"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w:t>
            </w:r>
            <w:r w:rsidR="009D5DFC">
              <w:rPr>
                <w:rFonts w:ascii="Arial" w:hAnsi="Arial" w:cs="Arial"/>
                <w:color w:val="000000"/>
                <w:sz w:val="20"/>
                <w:szCs w:val="20"/>
              </w:rPr>
              <w:t> </w:t>
            </w:r>
            <w:r w:rsidRPr="00BC513A">
              <w:rPr>
                <w:rFonts w:ascii="Arial" w:hAnsi="Arial" w:cs="Arial"/>
                <w:color w:val="000000"/>
                <w:sz w:val="20"/>
                <w:szCs w:val="20"/>
              </w:rPr>
              <w:t>577</w:t>
            </w:r>
          </w:p>
        </w:tc>
        <w:tc>
          <w:tcPr>
            <w:tcW w:w="939" w:type="pct"/>
            <w:vAlign w:val="center"/>
          </w:tcPr>
          <w:p w14:paraId="275B5224" w14:textId="35A0C139"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5</w:t>
            </w:r>
            <w:r w:rsidR="009D5DFC">
              <w:rPr>
                <w:rFonts w:ascii="Arial" w:hAnsi="Arial" w:cs="Arial"/>
                <w:color w:val="000000"/>
                <w:sz w:val="20"/>
                <w:szCs w:val="20"/>
              </w:rPr>
              <w:t> </w:t>
            </w:r>
            <w:r w:rsidRPr="00BC513A">
              <w:rPr>
                <w:rFonts w:ascii="Arial" w:hAnsi="Arial" w:cs="Arial"/>
                <w:color w:val="000000"/>
                <w:sz w:val="20"/>
                <w:szCs w:val="20"/>
              </w:rPr>
              <w:t>452</w:t>
            </w:r>
          </w:p>
        </w:tc>
        <w:tc>
          <w:tcPr>
            <w:tcW w:w="856" w:type="pct"/>
            <w:vAlign w:val="center"/>
          </w:tcPr>
          <w:p w14:paraId="756AEBFE"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2,1</w:t>
            </w:r>
          </w:p>
        </w:tc>
      </w:tr>
      <w:tr w:rsidR="00E8617E" w:rsidRPr="00BC513A" w14:paraId="68822A67" w14:textId="77777777" w:rsidTr="00AE71CA">
        <w:trPr>
          <w:trHeight w:val="315"/>
        </w:trPr>
        <w:tc>
          <w:tcPr>
            <w:tcW w:w="1405" w:type="pct"/>
            <w:shd w:val="clear" w:color="auto" w:fill="auto"/>
            <w:vAlign w:val="center"/>
            <w:hideMark/>
          </w:tcPr>
          <w:p w14:paraId="049D629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Свине</w:t>
            </w:r>
          </w:p>
        </w:tc>
        <w:tc>
          <w:tcPr>
            <w:tcW w:w="552" w:type="pct"/>
            <w:shd w:val="clear" w:color="auto" w:fill="auto"/>
            <w:vAlign w:val="center"/>
            <w:hideMark/>
          </w:tcPr>
          <w:p w14:paraId="24DC11E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20</w:t>
            </w:r>
          </w:p>
        </w:tc>
        <w:tc>
          <w:tcPr>
            <w:tcW w:w="620" w:type="pct"/>
            <w:shd w:val="clear" w:color="auto" w:fill="auto"/>
            <w:vAlign w:val="center"/>
            <w:hideMark/>
          </w:tcPr>
          <w:p w14:paraId="29A8671F"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340</w:t>
            </w:r>
          </w:p>
        </w:tc>
        <w:tc>
          <w:tcPr>
            <w:tcW w:w="627" w:type="pct"/>
            <w:vAlign w:val="center"/>
          </w:tcPr>
          <w:p w14:paraId="3C88E8AD"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425</w:t>
            </w:r>
          </w:p>
        </w:tc>
        <w:tc>
          <w:tcPr>
            <w:tcW w:w="939" w:type="pct"/>
            <w:vAlign w:val="center"/>
          </w:tcPr>
          <w:p w14:paraId="6B531B92"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963</w:t>
            </w:r>
          </w:p>
        </w:tc>
        <w:tc>
          <w:tcPr>
            <w:tcW w:w="856" w:type="pct"/>
            <w:vAlign w:val="center"/>
          </w:tcPr>
          <w:p w14:paraId="6E55B15D"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2,3</w:t>
            </w:r>
          </w:p>
        </w:tc>
      </w:tr>
      <w:tr w:rsidR="00E8617E" w:rsidRPr="00BC513A" w14:paraId="64D67C62" w14:textId="77777777" w:rsidTr="00AE71CA">
        <w:trPr>
          <w:trHeight w:val="315"/>
        </w:trPr>
        <w:tc>
          <w:tcPr>
            <w:tcW w:w="1405" w:type="pct"/>
            <w:shd w:val="clear" w:color="auto" w:fill="auto"/>
            <w:vAlign w:val="center"/>
            <w:hideMark/>
          </w:tcPr>
          <w:p w14:paraId="64A1A7B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Домашни птици</w:t>
            </w:r>
          </w:p>
        </w:tc>
        <w:tc>
          <w:tcPr>
            <w:tcW w:w="552" w:type="pct"/>
            <w:shd w:val="clear" w:color="auto" w:fill="auto"/>
            <w:vAlign w:val="center"/>
            <w:hideMark/>
          </w:tcPr>
          <w:p w14:paraId="28AC838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75</w:t>
            </w:r>
          </w:p>
        </w:tc>
        <w:tc>
          <w:tcPr>
            <w:tcW w:w="620" w:type="pct"/>
            <w:shd w:val="clear" w:color="auto" w:fill="auto"/>
            <w:vAlign w:val="center"/>
            <w:hideMark/>
          </w:tcPr>
          <w:p w14:paraId="7D3DCC2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984</w:t>
            </w:r>
          </w:p>
        </w:tc>
        <w:tc>
          <w:tcPr>
            <w:tcW w:w="627" w:type="pct"/>
            <w:vAlign w:val="center"/>
          </w:tcPr>
          <w:p w14:paraId="46CD90F1" w14:textId="73216F56"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w:t>
            </w:r>
            <w:r w:rsidR="009D5DFC">
              <w:rPr>
                <w:rFonts w:ascii="Arial" w:hAnsi="Arial" w:cs="Arial"/>
                <w:color w:val="000000"/>
                <w:sz w:val="20"/>
                <w:szCs w:val="20"/>
              </w:rPr>
              <w:t> </w:t>
            </w:r>
            <w:r w:rsidRPr="00BC513A">
              <w:rPr>
                <w:rFonts w:ascii="Arial" w:hAnsi="Arial" w:cs="Arial"/>
                <w:color w:val="000000"/>
                <w:sz w:val="20"/>
                <w:szCs w:val="20"/>
              </w:rPr>
              <w:t>230</w:t>
            </w:r>
          </w:p>
        </w:tc>
        <w:tc>
          <w:tcPr>
            <w:tcW w:w="939" w:type="pct"/>
            <w:vAlign w:val="center"/>
          </w:tcPr>
          <w:p w14:paraId="573E3DCC" w14:textId="64B928F5"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w:t>
            </w:r>
            <w:r w:rsidR="009D5DFC">
              <w:rPr>
                <w:rFonts w:ascii="Arial" w:hAnsi="Arial" w:cs="Arial"/>
                <w:color w:val="000000"/>
                <w:sz w:val="20"/>
                <w:szCs w:val="20"/>
              </w:rPr>
              <w:t> </w:t>
            </w:r>
            <w:r w:rsidRPr="00BC513A">
              <w:rPr>
                <w:rFonts w:ascii="Arial" w:hAnsi="Arial" w:cs="Arial"/>
                <w:color w:val="000000"/>
                <w:sz w:val="20"/>
                <w:szCs w:val="20"/>
              </w:rPr>
              <w:t>022</w:t>
            </w:r>
          </w:p>
        </w:tc>
        <w:tc>
          <w:tcPr>
            <w:tcW w:w="856" w:type="pct"/>
            <w:vAlign w:val="center"/>
          </w:tcPr>
          <w:p w14:paraId="09D5A98F"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2,5</w:t>
            </w:r>
          </w:p>
        </w:tc>
      </w:tr>
      <w:tr w:rsidR="00E8617E" w:rsidRPr="00BC513A" w14:paraId="345053A7" w14:textId="77777777" w:rsidTr="00AE71CA">
        <w:trPr>
          <w:trHeight w:val="315"/>
        </w:trPr>
        <w:tc>
          <w:tcPr>
            <w:tcW w:w="1405" w:type="pct"/>
            <w:shd w:val="clear" w:color="auto" w:fill="auto"/>
            <w:vAlign w:val="center"/>
            <w:hideMark/>
          </w:tcPr>
          <w:p w14:paraId="136EA69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Смесени</w:t>
            </w:r>
          </w:p>
        </w:tc>
        <w:tc>
          <w:tcPr>
            <w:tcW w:w="552" w:type="pct"/>
            <w:shd w:val="clear" w:color="auto" w:fill="auto"/>
            <w:vAlign w:val="center"/>
            <w:hideMark/>
          </w:tcPr>
          <w:p w14:paraId="16FA241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424</w:t>
            </w:r>
          </w:p>
        </w:tc>
        <w:tc>
          <w:tcPr>
            <w:tcW w:w="620" w:type="pct"/>
            <w:shd w:val="clear" w:color="auto" w:fill="auto"/>
            <w:vAlign w:val="center"/>
            <w:hideMark/>
          </w:tcPr>
          <w:p w14:paraId="15480890" w14:textId="2E651C71"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7</w:t>
            </w:r>
            <w:r w:rsidR="009D5DFC">
              <w:rPr>
                <w:rFonts w:ascii="Arial" w:hAnsi="Arial" w:cs="Arial"/>
                <w:color w:val="000000"/>
                <w:sz w:val="20"/>
                <w:szCs w:val="20"/>
              </w:rPr>
              <w:t> </w:t>
            </w:r>
            <w:r w:rsidRPr="00BC513A">
              <w:rPr>
                <w:rFonts w:ascii="Arial" w:hAnsi="Arial" w:cs="Arial"/>
                <w:color w:val="000000"/>
                <w:sz w:val="20"/>
                <w:szCs w:val="20"/>
              </w:rPr>
              <w:t>157</w:t>
            </w:r>
          </w:p>
        </w:tc>
        <w:tc>
          <w:tcPr>
            <w:tcW w:w="627" w:type="pct"/>
            <w:vAlign w:val="center"/>
          </w:tcPr>
          <w:p w14:paraId="077D2D3F" w14:textId="7800E1EE"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8</w:t>
            </w:r>
            <w:r w:rsidR="009D5DFC">
              <w:rPr>
                <w:rFonts w:ascii="Arial" w:hAnsi="Arial" w:cs="Arial"/>
                <w:color w:val="000000"/>
                <w:sz w:val="20"/>
                <w:szCs w:val="20"/>
              </w:rPr>
              <w:t> </w:t>
            </w:r>
            <w:r w:rsidRPr="00BC513A">
              <w:rPr>
                <w:rFonts w:ascii="Arial" w:hAnsi="Arial" w:cs="Arial"/>
                <w:color w:val="000000"/>
                <w:sz w:val="20"/>
                <w:szCs w:val="20"/>
              </w:rPr>
              <w:t>946</w:t>
            </w:r>
          </w:p>
        </w:tc>
        <w:tc>
          <w:tcPr>
            <w:tcW w:w="939" w:type="pct"/>
            <w:vAlign w:val="center"/>
          </w:tcPr>
          <w:p w14:paraId="683D6E73" w14:textId="54E86138"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14</w:t>
            </w:r>
            <w:r w:rsidR="009D5DFC">
              <w:rPr>
                <w:rFonts w:ascii="Arial" w:hAnsi="Arial" w:cs="Arial"/>
                <w:color w:val="000000"/>
                <w:sz w:val="20"/>
                <w:szCs w:val="20"/>
              </w:rPr>
              <w:t> </w:t>
            </w:r>
            <w:r w:rsidRPr="00BC513A">
              <w:rPr>
                <w:rFonts w:ascii="Arial" w:hAnsi="Arial" w:cs="Arial"/>
                <w:color w:val="000000"/>
                <w:sz w:val="20"/>
                <w:szCs w:val="20"/>
              </w:rPr>
              <w:t>569</w:t>
            </w:r>
          </w:p>
        </w:tc>
        <w:tc>
          <w:tcPr>
            <w:tcW w:w="856" w:type="pct"/>
            <w:vAlign w:val="center"/>
          </w:tcPr>
          <w:p w14:paraId="17C32432"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1,6</w:t>
            </w:r>
          </w:p>
        </w:tc>
      </w:tr>
      <w:tr w:rsidR="00E8617E" w:rsidRPr="00BC513A" w14:paraId="5476D07A" w14:textId="77777777" w:rsidTr="00AE71CA">
        <w:trPr>
          <w:trHeight w:val="315"/>
        </w:trPr>
        <w:tc>
          <w:tcPr>
            <w:tcW w:w="1405" w:type="pct"/>
            <w:shd w:val="clear" w:color="auto" w:fill="auto"/>
            <w:vAlign w:val="center"/>
            <w:hideMark/>
          </w:tcPr>
          <w:p w14:paraId="08A5FE1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Други</w:t>
            </w:r>
          </w:p>
        </w:tc>
        <w:tc>
          <w:tcPr>
            <w:tcW w:w="552" w:type="pct"/>
            <w:shd w:val="clear" w:color="auto" w:fill="auto"/>
            <w:vAlign w:val="center"/>
            <w:hideMark/>
          </w:tcPr>
          <w:p w14:paraId="6310A83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662</w:t>
            </w:r>
          </w:p>
        </w:tc>
        <w:tc>
          <w:tcPr>
            <w:tcW w:w="620" w:type="pct"/>
            <w:shd w:val="clear" w:color="auto" w:fill="auto"/>
            <w:vAlign w:val="center"/>
            <w:hideMark/>
          </w:tcPr>
          <w:p w14:paraId="11114DB9" w14:textId="71E681A0"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7</w:t>
            </w:r>
            <w:r w:rsidR="009D5DFC">
              <w:rPr>
                <w:rFonts w:ascii="Arial" w:hAnsi="Arial" w:cs="Arial"/>
                <w:color w:val="000000"/>
                <w:sz w:val="20"/>
                <w:szCs w:val="20"/>
              </w:rPr>
              <w:t> </w:t>
            </w:r>
            <w:r w:rsidRPr="00BC513A">
              <w:rPr>
                <w:rFonts w:ascii="Arial" w:hAnsi="Arial" w:cs="Arial"/>
                <w:color w:val="000000"/>
                <w:sz w:val="20"/>
                <w:szCs w:val="20"/>
              </w:rPr>
              <w:t>686</w:t>
            </w:r>
          </w:p>
        </w:tc>
        <w:tc>
          <w:tcPr>
            <w:tcW w:w="627" w:type="pct"/>
            <w:vAlign w:val="center"/>
          </w:tcPr>
          <w:p w14:paraId="5FDF7797" w14:textId="3307C0A0"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9</w:t>
            </w:r>
            <w:r w:rsidR="009D5DFC">
              <w:rPr>
                <w:rFonts w:ascii="Arial" w:hAnsi="Arial" w:cs="Arial"/>
                <w:color w:val="000000"/>
                <w:sz w:val="20"/>
                <w:szCs w:val="20"/>
              </w:rPr>
              <w:t> </w:t>
            </w:r>
            <w:r w:rsidRPr="00BC513A">
              <w:rPr>
                <w:rFonts w:ascii="Arial" w:hAnsi="Arial" w:cs="Arial"/>
                <w:color w:val="000000"/>
                <w:sz w:val="20"/>
                <w:szCs w:val="20"/>
              </w:rPr>
              <w:t>607</w:t>
            </w:r>
          </w:p>
        </w:tc>
        <w:tc>
          <w:tcPr>
            <w:tcW w:w="939" w:type="pct"/>
            <w:vAlign w:val="center"/>
          </w:tcPr>
          <w:p w14:paraId="1AFBBD57" w14:textId="4B758A5F"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18</w:t>
            </w:r>
            <w:r w:rsidR="009D5DFC">
              <w:rPr>
                <w:rFonts w:ascii="Arial" w:hAnsi="Arial" w:cs="Arial"/>
                <w:color w:val="000000"/>
                <w:sz w:val="20"/>
                <w:szCs w:val="20"/>
              </w:rPr>
              <w:t> </w:t>
            </w:r>
            <w:r w:rsidRPr="00BC513A">
              <w:rPr>
                <w:rFonts w:ascii="Arial" w:hAnsi="Arial" w:cs="Arial"/>
                <w:color w:val="000000"/>
                <w:sz w:val="20"/>
                <w:szCs w:val="20"/>
              </w:rPr>
              <w:t>071</w:t>
            </w:r>
          </w:p>
        </w:tc>
        <w:tc>
          <w:tcPr>
            <w:tcW w:w="856" w:type="pct"/>
            <w:vAlign w:val="center"/>
          </w:tcPr>
          <w:p w14:paraId="469B722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1,9</w:t>
            </w:r>
          </w:p>
        </w:tc>
      </w:tr>
      <w:tr w:rsidR="00E8617E" w:rsidRPr="00BC513A" w14:paraId="55420C9A" w14:textId="77777777" w:rsidTr="00AE71CA">
        <w:trPr>
          <w:trHeight w:val="315"/>
        </w:trPr>
        <w:tc>
          <w:tcPr>
            <w:tcW w:w="1405" w:type="pct"/>
            <w:shd w:val="clear" w:color="auto" w:fill="DEEAF6" w:themeFill="accent1" w:themeFillTint="33"/>
            <w:vAlign w:val="center"/>
            <w:hideMark/>
          </w:tcPr>
          <w:p w14:paraId="6D28CCC2"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ОБЩО</w:t>
            </w:r>
          </w:p>
        </w:tc>
        <w:tc>
          <w:tcPr>
            <w:tcW w:w="552" w:type="pct"/>
            <w:shd w:val="clear" w:color="auto" w:fill="DEEAF6" w:themeFill="accent1" w:themeFillTint="33"/>
            <w:vAlign w:val="center"/>
            <w:hideMark/>
          </w:tcPr>
          <w:p w14:paraId="514412A8" w14:textId="774A4CF4"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5</w:t>
            </w:r>
            <w:r w:rsidR="009D5DFC">
              <w:rPr>
                <w:rFonts w:ascii="Arial" w:eastAsia="Times New Roman" w:hAnsi="Arial" w:cs="Arial"/>
                <w:b/>
                <w:bCs/>
                <w:sz w:val="20"/>
                <w:szCs w:val="20"/>
                <w:lang w:eastAsia="bg-BG"/>
              </w:rPr>
              <w:t> </w:t>
            </w:r>
            <w:r w:rsidRPr="00BC513A">
              <w:rPr>
                <w:rFonts w:ascii="Arial" w:eastAsia="Times New Roman" w:hAnsi="Arial" w:cs="Arial"/>
                <w:b/>
                <w:bCs/>
                <w:sz w:val="20"/>
                <w:szCs w:val="20"/>
                <w:lang w:eastAsia="bg-BG"/>
              </w:rPr>
              <w:t>808</w:t>
            </w:r>
          </w:p>
        </w:tc>
        <w:tc>
          <w:tcPr>
            <w:tcW w:w="620" w:type="pct"/>
            <w:shd w:val="clear" w:color="auto" w:fill="DEEAF6" w:themeFill="accent1" w:themeFillTint="33"/>
            <w:vAlign w:val="center"/>
            <w:hideMark/>
          </w:tcPr>
          <w:p w14:paraId="3B8C8B54" w14:textId="787722CD"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92</w:t>
            </w:r>
            <w:r w:rsidR="009D5DFC">
              <w:rPr>
                <w:rFonts w:ascii="Arial" w:hAnsi="Arial" w:cs="Arial"/>
                <w:b/>
                <w:color w:val="000000"/>
                <w:sz w:val="20"/>
                <w:szCs w:val="20"/>
              </w:rPr>
              <w:t> </w:t>
            </w:r>
            <w:r w:rsidRPr="00BC513A">
              <w:rPr>
                <w:rFonts w:ascii="Arial" w:hAnsi="Arial" w:cs="Arial"/>
                <w:b/>
                <w:color w:val="000000"/>
                <w:sz w:val="20"/>
                <w:szCs w:val="20"/>
              </w:rPr>
              <w:t>408</w:t>
            </w:r>
          </w:p>
        </w:tc>
        <w:tc>
          <w:tcPr>
            <w:tcW w:w="627" w:type="pct"/>
            <w:shd w:val="clear" w:color="auto" w:fill="DEEAF6" w:themeFill="accent1" w:themeFillTint="33"/>
            <w:vAlign w:val="center"/>
          </w:tcPr>
          <w:p w14:paraId="19C9D642" w14:textId="0D7EFD8C"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115</w:t>
            </w:r>
            <w:r w:rsidR="009D5DFC">
              <w:rPr>
                <w:rFonts w:ascii="Arial" w:hAnsi="Arial" w:cs="Arial"/>
                <w:b/>
                <w:color w:val="000000"/>
                <w:sz w:val="20"/>
                <w:szCs w:val="20"/>
              </w:rPr>
              <w:t> </w:t>
            </w:r>
            <w:r w:rsidRPr="00BC513A">
              <w:rPr>
                <w:rFonts w:ascii="Arial" w:hAnsi="Arial" w:cs="Arial"/>
                <w:b/>
                <w:color w:val="000000"/>
                <w:sz w:val="20"/>
                <w:szCs w:val="20"/>
              </w:rPr>
              <w:t>510</w:t>
            </w:r>
          </w:p>
        </w:tc>
        <w:tc>
          <w:tcPr>
            <w:tcW w:w="939" w:type="pct"/>
            <w:shd w:val="clear" w:color="auto" w:fill="DEEAF6" w:themeFill="accent1" w:themeFillTint="33"/>
            <w:vAlign w:val="center"/>
          </w:tcPr>
          <w:p w14:paraId="6F2D530D" w14:textId="5BD1AD10"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184</w:t>
            </w:r>
            <w:r w:rsidR="009D5DFC">
              <w:rPr>
                <w:rFonts w:ascii="Arial" w:hAnsi="Arial" w:cs="Arial"/>
                <w:b/>
                <w:color w:val="000000"/>
                <w:sz w:val="20"/>
                <w:szCs w:val="20"/>
              </w:rPr>
              <w:t> </w:t>
            </w:r>
            <w:r w:rsidRPr="00BC513A">
              <w:rPr>
                <w:rFonts w:ascii="Arial" w:hAnsi="Arial" w:cs="Arial"/>
                <w:b/>
                <w:color w:val="000000"/>
                <w:sz w:val="20"/>
                <w:szCs w:val="20"/>
              </w:rPr>
              <w:t>721</w:t>
            </w:r>
          </w:p>
        </w:tc>
        <w:tc>
          <w:tcPr>
            <w:tcW w:w="856" w:type="pct"/>
            <w:shd w:val="clear" w:color="auto" w:fill="DEEAF6" w:themeFill="accent1" w:themeFillTint="33"/>
            <w:vAlign w:val="center"/>
          </w:tcPr>
          <w:p w14:paraId="38D818F4"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1,6</w:t>
            </w:r>
          </w:p>
        </w:tc>
      </w:tr>
    </w:tbl>
    <w:p w14:paraId="61EA401E" w14:textId="77777777" w:rsidR="00E8617E" w:rsidRPr="00AE71CA" w:rsidRDefault="00E8617E" w:rsidP="00E8617E">
      <w:pPr>
        <w:spacing w:after="0" w:line="240" w:lineRule="auto"/>
        <w:jc w:val="both"/>
        <w:rPr>
          <w:rFonts w:ascii="Arial" w:hAnsi="Arial" w:cs="Arial"/>
          <w:sz w:val="18"/>
          <w:szCs w:val="18"/>
        </w:rPr>
      </w:pPr>
      <w:r w:rsidRPr="00AE71CA">
        <w:rPr>
          <w:rFonts w:ascii="Arial" w:hAnsi="Arial" w:cs="Arial"/>
          <w:sz w:val="18"/>
          <w:szCs w:val="18"/>
        </w:rPr>
        <w:t>Източник: МЗХГ</w:t>
      </w:r>
    </w:p>
    <w:p w14:paraId="72AAA65F" w14:textId="15E92A6A" w:rsidR="00E8617E" w:rsidRPr="00BC513A" w:rsidRDefault="00E8617E" w:rsidP="00E8617E">
      <w:pPr>
        <w:autoSpaceDE w:val="0"/>
        <w:autoSpaceDN w:val="0"/>
        <w:adjustRightInd w:val="0"/>
        <w:spacing w:before="120" w:after="0" w:line="300" w:lineRule="atLeast"/>
        <w:ind w:firstLine="708"/>
        <w:jc w:val="both"/>
        <w:rPr>
          <w:rFonts w:ascii="Arial" w:hAnsi="Arial" w:cs="Arial"/>
        </w:rPr>
      </w:pPr>
      <w:r w:rsidRPr="00BC513A">
        <w:rPr>
          <w:rFonts w:ascii="Arial" w:hAnsi="Arial" w:cs="Arial"/>
        </w:rPr>
        <w:t>По отношение на секторите, от които идват одобрените проекти по мярката, най-голям е делът на младите фермери</w:t>
      </w:r>
      <w:r w:rsidR="009D5DFC">
        <w:rPr>
          <w:rFonts w:ascii="Arial" w:hAnsi="Arial" w:cs="Arial"/>
        </w:rPr>
        <w:t>,</w:t>
      </w:r>
      <w:r w:rsidRPr="00BC513A">
        <w:rPr>
          <w:rFonts w:ascii="Arial" w:hAnsi="Arial" w:cs="Arial"/>
        </w:rPr>
        <w:t xml:space="preserve"> инвестирали в градинарството. Общо 1 956 проекта са одобрени и финансирани в това производство, което съставлява 34% от всички одобрени проекти. След тях се нареждат стопанствата от секторите на трайни насаждения – 25%</w:t>
      </w:r>
      <w:r w:rsidR="009D5DFC">
        <w:rPr>
          <w:rFonts w:ascii="Arial" w:hAnsi="Arial" w:cs="Arial"/>
        </w:rPr>
        <w:t>,</w:t>
      </w:r>
      <w:r w:rsidRPr="00BC513A">
        <w:rPr>
          <w:rFonts w:ascii="Arial" w:hAnsi="Arial" w:cs="Arial"/>
        </w:rPr>
        <w:t xml:space="preserve"> и полски култури – 13%. За периода на прилагане на мярката личи относително малкият процент на одобрените проекти в областта на животновъдството, като стопанства на млади фермери за производство на мляко и месо са 485 подпомогнати проекта, което е само 8% от всички бенефициенти. В същото време се забелязва, че направените инвестиции в подкрепените стопанства в сектор животновъдство на единица публична подкрепа са с 50% по-високи или 2,35 евро на всяко евро</w:t>
      </w:r>
      <w:r w:rsidR="009D5DFC">
        <w:rPr>
          <w:rFonts w:ascii="Arial" w:hAnsi="Arial" w:cs="Arial"/>
        </w:rPr>
        <w:t>,</w:t>
      </w:r>
      <w:r w:rsidRPr="00BC513A">
        <w:rPr>
          <w:rFonts w:ascii="Arial" w:hAnsi="Arial" w:cs="Arial"/>
        </w:rPr>
        <w:t xml:space="preserve"> получена като публична помощ, отколкото в стопанствата в другите сектори. Това показва по-високия инвестиционен ефект, който се постига при подкрепените млади фермери, развиващи се в областта на животновъдството, което е важно и за постигане на заложените индикатори относно инвестициите.</w:t>
      </w:r>
    </w:p>
    <w:p w14:paraId="17BD84CC" w14:textId="7550F551" w:rsidR="00E8617E" w:rsidRPr="00BC513A" w:rsidRDefault="00E8617E" w:rsidP="00E8617E">
      <w:pPr>
        <w:autoSpaceDE w:val="0"/>
        <w:autoSpaceDN w:val="0"/>
        <w:adjustRightInd w:val="0"/>
        <w:spacing w:before="120" w:after="0" w:line="300" w:lineRule="atLeast"/>
        <w:ind w:firstLine="708"/>
        <w:jc w:val="both"/>
        <w:rPr>
          <w:rFonts w:ascii="Arial" w:hAnsi="Arial" w:cs="Arial"/>
        </w:rPr>
      </w:pPr>
      <w:r w:rsidRPr="00BC513A">
        <w:rPr>
          <w:rFonts w:ascii="Arial" w:hAnsi="Arial" w:cs="Arial"/>
        </w:rPr>
        <w:t>Малкият процент на одобрените проекти по мярката в областта на животновъдството, макар и да мобилизират по-голям последващ инвестиционен ресурс не успяват да променят чувствително генерираната инвестиционна активност в стопанствата на подкрепените млади фермери и средното равнище на постигнатите инвестиционни нива е 1,6 евро за единица публична помощ. Слабото присъствие на проекти от областта на животновъдството се обяснява с незадоволителното състояние и ограничения потенциал на фермерите от този сектор да кандидатстват  по различните мерки на ПРСР.В същото време не малка част от отхвърлените проекти заради липса на финансиране или други причини идва от т</w:t>
      </w:r>
      <w:r w:rsidR="009D5DFC">
        <w:rPr>
          <w:rFonts w:ascii="Arial" w:hAnsi="Arial" w:cs="Arial"/>
        </w:rPr>
        <w:t>о</w:t>
      </w:r>
      <w:r w:rsidRPr="00BC513A">
        <w:rPr>
          <w:rFonts w:ascii="Arial" w:hAnsi="Arial" w:cs="Arial"/>
        </w:rPr>
        <w:t>зи сектор, което е довело до пропуск да бъдат подкрепени проекти в този чувствителен отрасъл.</w:t>
      </w:r>
    </w:p>
    <w:p w14:paraId="5C9C4A5E"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lastRenderedPageBreak/>
        <w:t xml:space="preserve">Мониторингът на въздействието на мярката е по 2 индикатори – създаване на добавена стойност, която да подпомогне икономическия растеж и промяна в макро показателите в земеделието и производителността на труда в стопанствата на млади фермери. Основната част от договорите (62%) по мярката са сключени през </w:t>
      </w:r>
      <w:r w:rsidR="009D5DFC">
        <w:rPr>
          <w:sz w:val="22"/>
          <w:szCs w:val="22"/>
          <w:lang w:val="bg-BG"/>
        </w:rPr>
        <w:t xml:space="preserve">                            </w:t>
      </w:r>
      <w:r w:rsidRPr="00BC513A">
        <w:rPr>
          <w:sz w:val="22"/>
          <w:szCs w:val="22"/>
          <w:lang w:val="bg-BG"/>
        </w:rPr>
        <w:t xml:space="preserve">2009-2010 г. и първите резултати за генерирана добавена стойност започват от 2012 г. Създаваната добавена стойност във финансираните 5 808 стопанства на млади фермери варира през годините, като най-висока е през 2012 г. – 43,5 млн. евро, а през 2015 г. е 32,8 млн. евро. Средно за 4 години, стойността на БДС по мярката в подкрепените стопанства възлиза на 36,6 млн. евро. Индикаторът за новосъздадена добавена стойност във фермите на база Паритет на покупателна способност (ППС) е изчислен на 16,8 млн. евро, докато индикаторната цел е 21 млн. евро. Изпълнението на този индикатор е на 80% от заложеното равнище. Изпълнението изостава от определените стойности, но като цяло отстоянието от поставените цели е добро. Голямата цел на мярката за млади фермери е да подкрепи и задържи в земеделието младите хора. Подкрепата в това отношение от страна на </w:t>
      </w:r>
      <w:r w:rsidR="000F57E9">
        <w:rPr>
          <w:sz w:val="22"/>
          <w:szCs w:val="22"/>
          <w:lang w:val="bg-BG"/>
        </w:rPr>
        <w:t>п</w:t>
      </w:r>
      <w:r w:rsidRPr="00BC513A">
        <w:rPr>
          <w:sz w:val="22"/>
          <w:szCs w:val="22"/>
          <w:lang w:val="bg-BG"/>
        </w:rPr>
        <w:t xml:space="preserve">рограмата е била много важна. </w:t>
      </w:r>
    </w:p>
    <w:p w14:paraId="72DDE431" w14:textId="28A8EC6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С промените в средата на програмния период стопанствата трябва да имат в края на изпълнението минимум 8,5 ИЕ, но това не значи автоматично 10 200 евро </w:t>
      </w:r>
      <w:r w:rsidR="009D5DFC">
        <w:rPr>
          <w:sz w:val="22"/>
          <w:szCs w:val="22"/>
          <w:lang w:val="bg-BG"/>
        </w:rPr>
        <w:t>стандартна разлика</w:t>
      </w:r>
      <w:r w:rsidRPr="00BC513A">
        <w:rPr>
          <w:sz w:val="22"/>
          <w:szCs w:val="22"/>
          <w:lang w:val="bg-BG"/>
        </w:rPr>
        <w:t>. Този ефект идва малко по-късно.</w:t>
      </w:r>
    </w:p>
    <w:p w14:paraId="45882928" w14:textId="77777777" w:rsidR="00E8617E" w:rsidRPr="00BC513A" w:rsidRDefault="00E8617E" w:rsidP="00E8617E">
      <w:pPr>
        <w:pStyle w:val="DefaultText"/>
        <w:rPr>
          <w:b/>
          <w:szCs w:val="22"/>
          <w:lang w:val="bg-BG"/>
        </w:rPr>
      </w:pPr>
    </w:p>
    <w:bookmarkStart w:id="100" w:name="_MON_1576480363"/>
    <w:bookmarkEnd w:id="100"/>
    <w:p w14:paraId="139FB907" w14:textId="77777777" w:rsidR="00E8617E" w:rsidRPr="00BC513A" w:rsidRDefault="00BC7D66" w:rsidP="00E8617E">
      <w:pPr>
        <w:pStyle w:val="DefaultText"/>
        <w:jc w:val="center"/>
        <w:rPr>
          <w:szCs w:val="22"/>
          <w:lang w:val="bg-BG"/>
        </w:rPr>
      </w:pPr>
      <w:r w:rsidRPr="00BC513A">
        <w:rPr>
          <w:szCs w:val="22"/>
          <w:lang w:val="bg-BG"/>
        </w:rPr>
        <w:object w:dxaOrig="9398" w:dyaOrig="4628" w14:anchorId="1FD8406D">
          <v:shape id="_x0000_i1026" type="#_x0000_t75" style="width:403.45pt;height:187.45pt" o:ole="">
            <v:imagedata r:id="rId37" o:title=""/>
          </v:shape>
          <o:OLEObject Type="Embed" ProgID="Excel.Sheet.12" ShapeID="_x0000_i1026" DrawAspect="Content" ObjectID="_1585652217" r:id="rId38"/>
        </w:object>
      </w:r>
    </w:p>
    <w:p w14:paraId="7189FEAF" w14:textId="77777777" w:rsidR="00E8617E" w:rsidRPr="00AE71CA" w:rsidRDefault="00E8617E" w:rsidP="00E8617E">
      <w:pPr>
        <w:pStyle w:val="DefaultText"/>
        <w:jc w:val="left"/>
        <w:rPr>
          <w:rFonts w:cs="Arial"/>
          <w:szCs w:val="18"/>
          <w:lang w:val="bg-BG"/>
        </w:rPr>
      </w:pPr>
      <w:r w:rsidRPr="00AE71CA">
        <w:rPr>
          <w:rFonts w:cs="Arial"/>
          <w:szCs w:val="18"/>
          <w:lang w:val="bg-BG"/>
        </w:rPr>
        <w:t>Източник: МЗХГ</w:t>
      </w:r>
    </w:p>
    <w:p w14:paraId="55FC61CE" w14:textId="77777777" w:rsidR="00E8617E" w:rsidRPr="00BC513A" w:rsidRDefault="00E8617E" w:rsidP="00E8617E">
      <w:pPr>
        <w:pStyle w:val="Caption"/>
        <w:spacing w:before="120" w:after="240"/>
        <w:jc w:val="center"/>
        <w:rPr>
          <w:b/>
          <w:szCs w:val="22"/>
        </w:rPr>
      </w:pPr>
      <w:bookmarkStart w:id="101" w:name="_Toc506984713"/>
      <w:r w:rsidRPr="00BC513A">
        <w:rPr>
          <w:rFonts w:ascii="Arial" w:hAnsi="Arial" w:cs="Arial"/>
          <w:b/>
          <w:i w:val="0"/>
          <w:color w:val="0070C0"/>
          <w:sz w:val="20"/>
          <w:szCs w:val="20"/>
        </w:rPr>
        <w:t xml:space="preserve">Фигура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Фигура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7</w:t>
      </w:r>
      <w:r w:rsidRPr="00BC513A">
        <w:rPr>
          <w:rFonts w:ascii="Arial" w:hAnsi="Arial" w:cs="Arial"/>
          <w:b/>
          <w:i w:val="0"/>
          <w:color w:val="0070C0"/>
          <w:sz w:val="20"/>
          <w:szCs w:val="20"/>
        </w:rPr>
        <w:fldChar w:fldCharType="end"/>
      </w:r>
      <w:r w:rsidR="00AE71CA">
        <w:rPr>
          <w:rFonts w:ascii="Arial" w:hAnsi="Arial" w:cs="Arial"/>
          <w:b/>
          <w:i w:val="0"/>
          <w:color w:val="0070C0"/>
          <w:sz w:val="20"/>
          <w:szCs w:val="20"/>
        </w:rPr>
        <w:t xml:space="preserve">. </w:t>
      </w:r>
      <w:r w:rsidRPr="00BC513A">
        <w:rPr>
          <w:rFonts w:ascii="Arial" w:hAnsi="Arial" w:cs="Arial"/>
          <w:b/>
          <w:i w:val="0"/>
          <w:color w:val="0070C0"/>
          <w:sz w:val="20"/>
          <w:szCs w:val="20"/>
        </w:rPr>
        <w:t>Брутна добавена стойност по мярка 112</w:t>
      </w:r>
      <w:bookmarkEnd w:id="101"/>
    </w:p>
    <w:p w14:paraId="4E40FAC5"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Целевата стойност за производителността е преизпълнена 586%. Причина за това е, че създадената добавена стойност в стопанствата става с все по-малко заети и работна сила, вследствие на ускорената модернизация. Макар да има многократно превишаване на постигнато по производителността на труда, това е по-малко отколкото средната производителност на труда в земеделието (2</w:t>
      </w:r>
      <w:r w:rsidR="009D5DFC">
        <w:rPr>
          <w:sz w:val="22"/>
          <w:szCs w:val="22"/>
          <w:lang w:val="bg-BG"/>
        </w:rPr>
        <w:t> </w:t>
      </w:r>
      <w:r w:rsidRPr="00BC513A">
        <w:rPr>
          <w:sz w:val="22"/>
          <w:szCs w:val="22"/>
          <w:lang w:val="bg-BG"/>
        </w:rPr>
        <w:t xml:space="preserve">998 евро/ГРЕ) и доста по-малко отколкото е възвращаемостта на труда в икономиката, като цяло – 5 600 евро/ГРЕ. Производителността на труда при тези стопанства е показател за доходността в тези малки, фамилни стопанства. За да е устойчиво и жизнеспособно такова стопанства, особено ангажиращо млади, мобилни хора е много важно </w:t>
      </w:r>
      <w:r w:rsidRPr="00BC513A">
        <w:rPr>
          <w:sz w:val="22"/>
          <w:szCs w:val="22"/>
          <w:lang w:val="bg-BG"/>
        </w:rPr>
        <w:lastRenderedPageBreak/>
        <w:t>възвращаемостта да бъде висока и съизмерима и с отрасъла и като цяло с икономиката, за да има подплатена мотивация да се остава в това производство.</w:t>
      </w:r>
    </w:p>
    <w:p w14:paraId="2DE136BA" w14:textId="77777777" w:rsidR="00E8617E" w:rsidRPr="00BC513A" w:rsidRDefault="00E8617E" w:rsidP="00AE71CA">
      <w:pPr>
        <w:keepNext/>
        <w:spacing w:before="240" w:after="60" w:line="300" w:lineRule="atLeast"/>
        <w:jc w:val="both"/>
        <w:rPr>
          <w:rFonts w:ascii="Arial" w:hAnsi="Arial" w:cs="Arial"/>
          <w:b/>
          <w:color w:val="0070C0"/>
          <w:sz w:val="20"/>
          <w:szCs w:val="20"/>
        </w:rPr>
      </w:pPr>
      <w:bookmarkStart w:id="102" w:name="_Toc504136201"/>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29</w:t>
      </w:r>
      <w:r w:rsidRPr="00BC513A">
        <w:rPr>
          <w:rFonts w:ascii="Arial" w:hAnsi="Arial" w:cs="Arial"/>
          <w:b/>
          <w:color w:val="0070C0"/>
          <w:sz w:val="20"/>
          <w:szCs w:val="20"/>
        </w:rPr>
        <w:fldChar w:fldCharType="end"/>
      </w:r>
      <w:r w:rsidRPr="00BC513A">
        <w:rPr>
          <w:rFonts w:ascii="Arial" w:hAnsi="Arial" w:cs="Arial"/>
          <w:b/>
          <w:color w:val="0070C0"/>
          <w:sz w:val="20"/>
          <w:szCs w:val="20"/>
        </w:rPr>
        <w:t xml:space="preserve"> Изпълнение на индикаторите за въздействие по мярка 112</w:t>
      </w:r>
      <w:bookmarkEnd w:id="102"/>
    </w:p>
    <w:tbl>
      <w:tblPr>
        <w:tblW w:w="4925" w:type="pct"/>
        <w:tblInd w:w="70" w:type="dxa"/>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1496"/>
        <w:gridCol w:w="3323"/>
        <w:gridCol w:w="1276"/>
        <w:gridCol w:w="1417"/>
        <w:gridCol w:w="1561"/>
      </w:tblGrid>
      <w:tr w:rsidR="00E8617E" w:rsidRPr="00BC513A" w14:paraId="4CBEA65E" w14:textId="77777777" w:rsidTr="00922731">
        <w:trPr>
          <w:trHeight w:val="686"/>
        </w:trPr>
        <w:tc>
          <w:tcPr>
            <w:tcW w:w="825" w:type="pct"/>
            <w:shd w:val="clear" w:color="auto" w:fill="1F4E79" w:themeFill="accent1" w:themeFillShade="80"/>
            <w:noWrap/>
            <w:vAlign w:val="center"/>
            <w:hideMark/>
          </w:tcPr>
          <w:p w14:paraId="33FD4B46"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831" w:type="pct"/>
            <w:shd w:val="clear" w:color="auto" w:fill="1F4E79" w:themeFill="accent1" w:themeFillShade="80"/>
            <w:vAlign w:val="center"/>
            <w:hideMark/>
          </w:tcPr>
          <w:p w14:paraId="173D7DC5"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703" w:type="pct"/>
            <w:shd w:val="clear" w:color="auto" w:fill="1F4E79" w:themeFill="accent1" w:themeFillShade="80"/>
            <w:noWrap/>
            <w:vAlign w:val="center"/>
            <w:hideMark/>
          </w:tcPr>
          <w:p w14:paraId="2D0EB10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81" w:type="pct"/>
            <w:shd w:val="clear" w:color="auto" w:fill="1F4E79" w:themeFill="accent1" w:themeFillShade="80"/>
            <w:vAlign w:val="center"/>
            <w:hideMark/>
          </w:tcPr>
          <w:p w14:paraId="27AA37CE"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60" w:type="pct"/>
            <w:shd w:val="clear" w:color="auto" w:fill="1F4E79" w:themeFill="accent1" w:themeFillShade="80"/>
            <w:vAlign w:val="center"/>
          </w:tcPr>
          <w:p w14:paraId="482BA0A5"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53EABB34" w14:textId="77777777" w:rsidTr="00922731">
        <w:trPr>
          <w:trHeight w:val="698"/>
        </w:trPr>
        <w:tc>
          <w:tcPr>
            <w:tcW w:w="825" w:type="pct"/>
            <w:vMerge w:val="restart"/>
            <w:shd w:val="clear" w:color="auto" w:fill="auto"/>
            <w:vAlign w:val="center"/>
            <w:hideMark/>
          </w:tcPr>
          <w:p w14:paraId="4901487A"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Въздействие</w:t>
            </w:r>
          </w:p>
        </w:tc>
        <w:tc>
          <w:tcPr>
            <w:tcW w:w="1831" w:type="pct"/>
            <w:shd w:val="clear" w:color="auto" w:fill="auto"/>
            <w:vAlign w:val="center"/>
            <w:hideMark/>
          </w:tcPr>
          <w:p w14:paraId="5146527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Икономически растеж (</w:t>
            </w:r>
            <w:r w:rsidRPr="00BC513A">
              <w:rPr>
                <w:rFonts w:ascii="Arial" w:hAnsi="Arial" w:cs="Arial"/>
                <w:sz w:val="20"/>
                <w:szCs w:val="20"/>
              </w:rPr>
              <w:t>∆НДС в млн. евро ППС)</w:t>
            </w:r>
          </w:p>
        </w:tc>
        <w:tc>
          <w:tcPr>
            <w:tcW w:w="703" w:type="pct"/>
            <w:shd w:val="clear" w:color="auto" w:fill="auto"/>
            <w:noWrap/>
            <w:vAlign w:val="center"/>
            <w:hideMark/>
          </w:tcPr>
          <w:p w14:paraId="11D6EA3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21</w:t>
            </w:r>
          </w:p>
        </w:tc>
        <w:tc>
          <w:tcPr>
            <w:tcW w:w="781" w:type="pct"/>
            <w:shd w:val="clear" w:color="auto" w:fill="auto"/>
            <w:vAlign w:val="center"/>
            <w:hideMark/>
          </w:tcPr>
          <w:p w14:paraId="7CE3F5ED"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16,8</w:t>
            </w:r>
          </w:p>
        </w:tc>
        <w:tc>
          <w:tcPr>
            <w:tcW w:w="860" w:type="pct"/>
            <w:shd w:val="clear" w:color="auto" w:fill="auto"/>
            <w:vAlign w:val="center"/>
            <w:hideMark/>
          </w:tcPr>
          <w:p w14:paraId="505E7CE8"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80%</w:t>
            </w:r>
          </w:p>
        </w:tc>
      </w:tr>
      <w:tr w:rsidR="00E8617E" w:rsidRPr="00BC513A" w14:paraId="3FD948B1" w14:textId="77777777" w:rsidTr="00922731">
        <w:trPr>
          <w:trHeight w:val="703"/>
        </w:trPr>
        <w:tc>
          <w:tcPr>
            <w:tcW w:w="825" w:type="pct"/>
            <w:vMerge/>
            <w:vAlign w:val="center"/>
            <w:hideMark/>
          </w:tcPr>
          <w:p w14:paraId="6F1C9B72"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p>
        </w:tc>
        <w:tc>
          <w:tcPr>
            <w:tcW w:w="1831" w:type="pct"/>
            <w:shd w:val="clear" w:color="auto" w:fill="auto"/>
            <w:vAlign w:val="center"/>
            <w:hideMark/>
          </w:tcPr>
          <w:p w14:paraId="3784514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Производителност на труда (</w:t>
            </w:r>
            <w:r w:rsidRPr="00BC513A">
              <w:rPr>
                <w:rFonts w:ascii="Arial" w:hAnsi="Arial" w:cs="Arial"/>
                <w:sz w:val="20"/>
                <w:szCs w:val="20"/>
              </w:rPr>
              <w:t>∆БДС/ГРЕ в евро)</w:t>
            </w:r>
          </w:p>
        </w:tc>
        <w:tc>
          <w:tcPr>
            <w:tcW w:w="703" w:type="pct"/>
            <w:shd w:val="clear" w:color="auto" w:fill="auto"/>
            <w:noWrap/>
            <w:vAlign w:val="center"/>
            <w:hideMark/>
          </w:tcPr>
          <w:p w14:paraId="6A2F348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398</w:t>
            </w:r>
          </w:p>
        </w:tc>
        <w:tc>
          <w:tcPr>
            <w:tcW w:w="781" w:type="pct"/>
            <w:shd w:val="clear" w:color="auto" w:fill="auto"/>
            <w:vAlign w:val="center"/>
            <w:hideMark/>
          </w:tcPr>
          <w:p w14:paraId="2FFE5B0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hAnsi="Arial" w:cs="Arial"/>
                <w:color w:val="000000"/>
                <w:sz w:val="20"/>
                <w:szCs w:val="20"/>
              </w:rPr>
              <w:t>2 331</w:t>
            </w:r>
          </w:p>
        </w:tc>
        <w:tc>
          <w:tcPr>
            <w:tcW w:w="860" w:type="pct"/>
            <w:shd w:val="clear" w:color="auto" w:fill="auto"/>
            <w:vAlign w:val="center"/>
            <w:hideMark/>
          </w:tcPr>
          <w:p w14:paraId="4BF6384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586%</w:t>
            </w:r>
          </w:p>
        </w:tc>
      </w:tr>
    </w:tbl>
    <w:p w14:paraId="0DC68CCA" w14:textId="77777777" w:rsidR="00E8617E" w:rsidRPr="00AE71CA" w:rsidRDefault="00E8617E" w:rsidP="00E8617E">
      <w:pPr>
        <w:spacing w:after="0" w:line="300" w:lineRule="atLeast"/>
        <w:jc w:val="both"/>
        <w:rPr>
          <w:rFonts w:ascii="Arial" w:hAnsi="Arial" w:cs="Arial"/>
          <w:sz w:val="18"/>
          <w:szCs w:val="18"/>
        </w:rPr>
      </w:pPr>
      <w:r w:rsidRPr="00AE71CA">
        <w:rPr>
          <w:rFonts w:ascii="Arial" w:hAnsi="Arial" w:cs="Arial"/>
          <w:sz w:val="18"/>
          <w:szCs w:val="18"/>
        </w:rPr>
        <w:t>Източник: МЗХГ и собствени изчисления</w:t>
      </w:r>
    </w:p>
    <w:p w14:paraId="1513D6BC" w14:textId="77777777" w:rsidR="00E8617E" w:rsidRPr="00BC513A" w:rsidRDefault="00E8617E" w:rsidP="00E8617E">
      <w:pPr>
        <w:pStyle w:val="DefaultText"/>
        <w:spacing w:after="120" w:line="300" w:lineRule="atLeast"/>
        <w:ind w:firstLine="709"/>
        <w:rPr>
          <w:sz w:val="22"/>
          <w:szCs w:val="22"/>
          <w:lang w:val="bg-BG"/>
        </w:rPr>
      </w:pPr>
    </w:p>
    <w:p w14:paraId="3521AA5D"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Отбелязва се изоставане във формирането на добавена стойност, което се дължи на липсата на достатъчно изисквания в началото на приложение на мярката за по-висока придадена стойност от помощта, което впоследствие бива коригирано.</w:t>
      </w:r>
    </w:p>
    <w:p w14:paraId="679170DF"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Смисълът на помощта по мярката е да се даде първоначален финансов грант, от който по-голяма част трябва бъде за инвестиции. Това би предотвратило до голяма степен появата на „мимолетни” ферми на млади хора и би повишило добавената стойност. Извършването на преглед и оценка на добавената стойност трябва да бъде не само върху декларираните стойности в бизнес плана, но и върху действителното изпълнение. През целия програмен период има голям брой нефинансирани проекти на млади фермери, поради липса на бюджет или други причини, което позволява да се повишат изискванията, като акцент се поставят върху приоритети като добавена стойност. </w:t>
      </w:r>
    </w:p>
    <w:p w14:paraId="51A418F7" w14:textId="238B2CA4"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Въпреки някои слабости</w:t>
      </w:r>
      <w:r w:rsidR="00953BEA">
        <w:rPr>
          <w:sz w:val="22"/>
          <w:szCs w:val="22"/>
          <w:lang w:val="bg-BG"/>
        </w:rPr>
        <w:t>,</w:t>
      </w:r>
      <w:r w:rsidRPr="00BC513A">
        <w:rPr>
          <w:sz w:val="22"/>
          <w:szCs w:val="22"/>
          <w:lang w:val="bg-BG"/>
        </w:rPr>
        <w:t xml:space="preserve"> налице са ефекти, най-вече по отношение на задържането на интереса на младите хора към земеделието и концентрация на тези стопанства в чувствителни сектори (плодове, зеленчуци, животновъдство) </w:t>
      </w:r>
      <w:r w:rsidR="00953BEA">
        <w:rPr>
          <w:sz w:val="22"/>
          <w:szCs w:val="22"/>
          <w:lang w:val="bg-BG"/>
        </w:rPr>
        <w:t>–</w:t>
      </w:r>
      <w:r w:rsidRPr="00BC513A">
        <w:rPr>
          <w:sz w:val="22"/>
          <w:szCs w:val="22"/>
          <w:lang w:val="bg-BG"/>
        </w:rPr>
        <w:t xml:space="preserve"> 75% от одобрените кандидати.</w:t>
      </w:r>
    </w:p>
    <w:p w14:paraId="1F5EA289"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114. Използване на консултантски услуги от фермери и собственици на гори</w:t>
      </w:r>
    </w:p>
    <w:p w14:paraId="0C8E1D57" w14:textId="133FD5A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Мярка 114, предназначена за предоставяне на консултантски услуги на фермери и собственици на гори</w:t>
      </w:r>
      <w:r w:rsidR="00953BEA">
        <w:rPr>
          <w:rFonts w:ascii="Arial" w:hAnsi="Arial" w:cs="Arial"/>
        </w:rPr>
        <w:t>,</w:t>
      </w:r>
      <w:r w:rsidRPr="00BC513A">
        <w:rPr>
          <w:rFonts w:ascii="Arial" w:hAnsi="Arial" w:cs="Arial"/>
        </w:rPr>
        <w:t xml:space="preserve"> стартира на по-късен етап (на 14.11.2011 г.), както е предвидено в </w:t>
      </w:r>
      <w:r w:rsidR="000F57E9">
        <w:rPr>
          <w:rFonts w:ascii="Arial" w:hAnsi="Arial" w:cs="Arial"/>
        </w:rPr>
        <w:t>п</w:t>
      </w:r>
      <w:r w:rsidRPr="00BC513A">
        <w:rPr>
          <w:rFonts w:ascii="Arial" w:hAnsi="Arial" w:cs="Arial"/>
        </w:rPr>
        <w:t>рограмата. Първоначално заложения бюджет по мярката възлиза на 36 146</w:t>
      </w:r>
      <w:r w:rsidR="00953BEA">
        <w:rPr>
          <w:rFonts w:ascii="Arial" w:hAnsi="Arial" w:cs="Arial"/>
        </w:rPr>
        <w:t> </w:t>
      </w:r>
      <w:r w:rsidRPr="00BC513A">
        <w:rPr>
          <w:rFonts w:ascii="Arial" w:hAnsi="Arial" w:cs="Arial"/>
        </w:rPr>
        <w:t>008 евро обща публична подкрепа. С такъв предварително планиран бюджет мярката формира около 3% от общия бюджет по ос 1. По редица причини финансовия</w:t>
      </w:r>
      <w:r w:rsidR="00953BEA">
        <w:rPr>
          <w:rFonts w:ascii="Arial" w:hAnsi="Arial" w:cs="Arial"/>
        </w:rPr>
        <w:t>т</w:t>
      </w:r>
      <w:r w:rsidRPr="00BC513A">
        <w:rPr>
          <w:rFonts w:ascii="Arial" w:hAnsi="Arial" w:cs="Arial"/>
        </w:rPr>
        <w:t xml:space="preserve"> план по мярката претърпява значителни корекции в посока свиване на заделените средства, като при Деветото изменение на </w:t>
      </w:r>
      <w:r w:rsidR="000F57E9">
        <w:rPr>
          <w:rFonts w:ascii="Arial" w:hAnsi="Arial" w:cs="Arial"/>
        </w:rPr>
        <w:t>п</w:t>
      </w:r>
      <w:r w:rsidRPr="00BC513A">
        <w:rPr>
          <w:rFonts w:ascii="Arial" w:hAnsi="Arial" w:cs="Arial"/>
        </w:rPr>
        <w:t xml:space="preserve">рограмата са отписани около 18,1 млн. евро публични  средства заради забавяне при усвояването. Още 15 млн. евро публични средства от мярката са прехвърлени към мярка 321 и така бюджетът по мярката е значително намален. Въпреки редуцирането на бюджета, </w:t>
      </w:r>
      <w:bookmarkStart w:id="103" w:name="_Toc391899890"/>
      <w:r w:rsidRPr="00BC513A">
        <w:rPr>
          <w:rFonts w:ascii="Arial" w:hAnsi="Arial" w:cs="Arial"/>
        </w:rPr>
        <w:t xml:space="preserve">за целия период на прилагане на мярката са усвоени 37 338 </w:t>
      </w:r>
      <w:r w:rsidR="00696BC7">
        <w:rPr>
          <w:rFonts w:ascii="Arial" w:hAnsi="Arial" w:cs="Arial"/>
        </w:rPr>
        <w:t xml:space="preserve">евро </w:t>
      </w:r>
      <w:r w:rsidRPr="00BC513A">
        <w:rPr>
          <w:rFonts w:ascii="Arial" w:hAnsi="Arial" w:cs="Arial"/>
        </w:rPr>
        <w:t xml:space="preserve">общо публични средства, което е 37% от редуцирания бюджет. </w:t>
      </w:r>
    </w:p>
    <w:bookmarkEnd w:id="103"/>
    <w:p w14:paraId="43085597"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lastRenderedPageBreak/>
        <w:t xml:space="preserve">По мярка 114 се предвижда земеделските производители да получат подкрепа за различни видове консултантски услуги. Те са разделени на групи, като Група А –задължителните консултантски услуги, включва възможността земеделските производители да бъдат консултирани относно законно установени изисквания за управление на земята, опазване на почвите и водите, както и с такива изисквания свързани с животновъдството. Другата група консултантски услуги са поставени в група Б, които са подразделени на компонент Б1 (управление на земеделското стопанство, счетоводство и маркетингови проучвания), Компонент Б2 (технологии в растениевъдството и животновъдството, препоръки за торене, растителната защита и напояване) и Компонент Б3 (консултантска помощ за желаещите да кандидатстват по Мярка 214). </w:t>
      </w:r>
    </w:p>
    <w:p w14:paraId="31C86A88"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 xml:space="preserve">В България, в първите години на членство в ЕС заради недостигане до предвиденото средно плащане на площ по схемата за единно плащане на площ (СЕПП), правилата за кръстосано съответствие не са били актуални, което обяснява и липса на интерес от страна на производителите към Компонент А. </w:t>
      </w:r>
    </w:p>
    <w:p w14:paraId="70ABB3BA"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По отношение изпълнението на поставените индикатори се отчита 42% достигане по показателя „</w:t>
      </w:r>
      <w:r w:rsidRPr="00BC513A">
        <w:rPr>
          <w:rFonts w:ascii="Arial" w:hAnsi="Arial" w:cs="Arial"/>
          <w:i/>
        </w:rPr>
        <w:t>брой на подпомогнати земеделски производители</w:t>
      </w:r>
      <w:r w:rsidRPr="00BC513A">
        <w:rPr>
          <w:rFonts w:ascii="Arial" w:hAnsi="Arial" w:cs="Arial"/>
        </w:rPr>
        <w:t>“ и 43% при аналогичната цел</w:t>
      </w:r>
      <w:r w:rsidR="00953BEA">
        <w:rPr>
          <w:rFonts w:ascii="Arial" w:hAnsi="Arial" w:cs="Arial"/>
        </w:rPr>
        <w:t>,</w:t>
      </w:r>
      <w:r w:rsidRPr="00BC513A">
        <w:rPr>
          <w:rFonts w:ascii="Arial" w:hAnsi="Arial" w:cs="Arial"/>
        </w:rPr>
        <w:t xml:space="preserve"> отнасяща се до собственици на гори. Общия</w:t>
      </w:r>
      <w:r w:rsidR="00953BEA">
        <w:rPr>
          <w:rFonts w:ascii="Arial" w:hAnsi="Arial" w:cs="Arial"/>
        </w:rPr>
        <w:t>т</w:t>
      </w:r>
      <w:r w:rsidRPr="00BC513A">
        <w:rPr>
          <w:rFonts w:ascii="Arial" w:hAnsi="Arial" w:cs="Arial"/>
        </w:rPr>
        <w:t xml:space="preserve"> брой на одобрените и изпълнени проекти е 110, като само 3 от тях са насочени към предоставяне на консултантски услуги към собственици на гори. Около 80% от реализираните проекти са за консултантски услуги</w:t>
      </w:r>
      <w:r w:rsidR="00953BEA">
        <w:rPr>
          <w:rFonts w:ascii="Arial" w:hAnsi="Arial" w:cs="Arial"/>
        </w:rPr>
        <w:t>,</w:t>
      </w:r>
      <w:r w:rsidRPr="00BC513A">
        <w:rPr>
          <w:rFonts w:ascii="Arial" w:hAnsi="Arial" w:cs="Arial"/>
        </w:rPr>
        <w:t xml:space="preserve"> насочени към помощ за управление на стопанството и оказване на технологична съветническа помощ в растениевъдството и животновъдството. Само около 20% от проектите са по Компонент Б3, което се обяснява с наличие на много и достатъчно информация към онзи момент за изискванията и дейностите</w:t>
      </w:r>
      <w:r w:rsidR="00953BEA">
        <w:rPr>
          <w:rFonts w:ascii="Arial" w:hAnsi="Arial" w:cs="Arial"/>
        </w:rPr>
        <w:t>,</w:t>
      </w:r>
      <w:r w:rsidRPr="00BC513A">
        <w:rPr>
          <w:rFonts w:ascii="Arial" w:hAnsi="Arial" w:cs="Arial"/>
        </w:rPr>
        <w:t xml:space="preserve"> свързани с мярка „Агроекология”.</w:t>
      </w:r>
    </w:p>
    <w:p w14:paraId="061ADBFD" w14:textId="77777777" w:rsidR="00E8617E" w:rsidRPr="00BC513A" w:rsidRDefault="00E8617E" w:rsidP="00E8617E">
      <w:pPr>
        <w:pStyle w:val="DefaultText"/>
        <w:keepNext/>
        <w:spacing w:before="240"/>
        <w:rPr>
          <w:b/>
          <w:sz w:val="22"/>
          <w:szCs w:val="22"/>
          <w:lang w:val="bg-BG"/>
        </w:rPr>
      </w:pPr>
      <w:bookmarkStart w:id="104" w:name="_Toc391899891"/>
      <w:bookmarkStart w:id="105" w:name="_Toc504136202"/>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30</w:t>
      </w:r>
      <w:r w:rsidRPr="00BC513A">
        <w:rPr>
          <w:rFonts w:cs="Arial"/>
          <w:b/>
          <w:color w:val="0070C0"/>
          <w:sz w:val="20"/>
          <w:szCs w:val="20"/>
          <w:lang w:val="bg-BG"/>
        </w:rPr>
        <w:fldChar w:fldCharType="end"/>
      </w:r>
      <w:r w:rsidRPr="00BC513A">
        <w:rPr>
          <w:rFonts w:cs="Arial"/>
          <w:b/>
          <w:color w:val="0070C0"/>
          <w:sz w:val="20"/>
          <w:szCs w:val="20"/>
          <w:lang w:val="bg-BG"/>
        </w:rPr>
        <w:t xml:space="preserve">. </w:t>
      </w:r>
      <w:r w:rsidRPr="00BC513A">
        <w:rPr>
          <w:b/>
          <w:sz w:val="22"/>
          <w:szCs w:val="22"/>
          <w:lang w:val="bg-BG"/>
        </w:rPr>
        <w:t xml:space="preserve"> </w:t>
      </w:r>
      <w:r w:rsidRPr="00BC513A">
        <w:rPr>
          <w:rFonts w:cs="Arial"/>
          <w:b/>
          <w:color w:val="0070C0"/>
          <w:sz w:val="20"/>
          <w:szCs w:val="20"/>
          <w:lang w:val="bg-BG"/>
        </w:rPr>
        <w:t>Постигане целите на мярка 114 на база одобрени заявления</w:t>
      </w:r>
      <w:bookmarkEnd w:id="104"/>
      <w:bookmarkEnd w:id="105"/>
    </w:p>
    <w:tbl>
      <w:tblPr>
        <w:tblW w:w="4883" w:type="pct"/>
        <w:jc w:val="center"/>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CellMar>
          <w:left w:w="70" w:type="dxa"/>
          <w:right w:w="70" w:type="dxa"/>
        </w:tblCellMar>
        <w:tblLook w:val="04A0" w:firstRow="1" w:lastRow="0" w:firstColumn="1" w:lastColumn="0" w:noHBand="0" w:noVBand="1"/>
      </w:tblPr>
      <w:tblGrid>
        <w:gridCol w:w="3382"/>
        <w:gridCol w:w="1702"/>
        <w:gridCol w:w="1828"/>
        <w:gridCol w:w="2083"/>
      </w:tblGrid>
      <w:tr w:rsidR="00E8617E" w:rsidRPr="00BC513A" w14:paraId="336C42A7" w14:textId="77777777" w:rsidTr="00922731">
        <w:trPr>
          <w:trHeight w:val="315"/>
          <w:jc w:val="center"/>
        </w:trPr>
        <w:tc>
          <w:tcPr>
            <w:tcW w:w="1880" w:type="pct"/>
            <w:shd w:val="clear" w:color="auto" w:fill="1F4E79" w:themeFill="accent1" w:themeFillShade="80"/>
            <w:vAlign w:val="center"/>
            <w:hideMark/>
          </w:tcPr>
          <w:p w14:paraId="4F761E4C"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Индикатори</w:t>
            </w:r>
          </w:p>
        </w:tc>
        <w:tc>
          <w:tcPr>
            <w:tcW w:w="946" w:type="pct"/>
            <w:shd w:val="clear" w:color="auto" w:fill="1F4E79" w:themeFill="accent1" w:themeFillShade="80"/>
            <w:vAlign w:val="center"/>
            <w:hideMark/>
          </w:tcPr>
          <w:p w14:paraId="01753BF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1016" w:type="pct"/>
            <w:shd w:val="clear" w:color="auto" w:fill="1F4E79" w:themeFill="accent1" w:themeFillShade="80"/>
            <w:vAlign w:val="center"/>
            <w:hideMark/>
          </w:tcPr>
          <w:p w14:paraId="0989BA2A"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1158" w:type="pct"/>
            <w:shd w:val="clear" w:color="auto" w:fill="1F4E79" w:themeFill="accent1" w:themeFillShade="80"/>
            <w:vAlign w:val="center"/>
            <w:hideMark/>
          </w:tcPr>
          <w:p w14:paraId="03B78B6B"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изпълнение</w:t>
            </w:r>
          </w:p>
        </w:tc>
      </w:tr>
      <w:tr w:rsidR="00E8617E" w:rsidRPr="00BC513A" w14:paraId="2DB7F2CD" w14:textId="77777777" w:rsidTr="00922731">
        <w:trPr>
          <w:trHeight w:val="661"/>
          <w:jc w:val="center"/>
        </w:trPr>
        <w:tc>
          <w:tcPr>
            <w:tcW w:w="1880" w:type="pct"/>
            <w:shd w:val="clear" w:color="auto" w:fill="auto"/>
            <w:vAlign w:val="center"/>
            <w:hideMark/>
          </w:tcPr>
          <w:p w14:paraId="5B45DA65"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Брой подпомогнати земеделски производители</w:t>
            </w:r>
          </w:p>
        </w:tc>
        <w:tc>
          <w:tcPr>
            <w:tcW w:w="946" w:type="pct"/>
            <w:shd w:val="clear" w:color="auto" w:fill="auto"/>
            <w:vAlign w:val="center"/>
            <w:hideMark/>
          </w:tcPr>
          <w:p w14:paraId="21D82F1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260</w:t>
            </w:r>
          </w:p>
        </w:tc>
        <w:tc>
          <w:tcPr>
            <w:tcW w:w="1016" w:type="pct"/>
            <w:shd w:val="clear" w:color="auto" w:fill="auto"/>
            <w:vAlign w:val="center"/>
            <w:hideMark/>
          </w:tcPr>
          <w:p w14:paraId="7D937824"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108</w:t>
            </w:r>
          </w:p>
        </w:tc>
        <w:tc>
          <w:tcPr>
            <w:tcW w:w="1158" w:type="pct"/>
            <w:shd w:val="clear" w:color="auto" w:fill="auto"/>
            <w:vAlign w:val="center"/>
            <w:hideMark/>
          </w:tcPr>
          <w:p w14:paraId="1D7507C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42%</w:t>
            </w:r>
          </w:p>
        </w:tc>
      </w:tr>
      <w:tr w:rsidR="00E8617E" w:rsidRPr="00BC513A" w14:paraId="28319CE2" w14:textId="77777777" w:rsidTr="00922731">
        <w:trPr>
          <w:trHeight w:val="630"/>
          <w:jc w:val="center"/>
        </w:trPr>
        <w:tc>
          <w:tcPr>
            <w:tcW w:w="1880" w:type="pct"/>
            <w:shd w:val="clear" w:color="auto" w:fill="auto"/>
            <w:vAlign w:val="center"/>
            <w:hideMark/>
          </w:tcPr>
          <w:p w14:paraId="04EA5AF9"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Брой подпомогнати собственици на гори</w:t>
            </w:r>
          </w:p>
        </w:tc>
        <w:tc>
          <w:tcPr>
            <w:tcW w:w="946" w:type="pct"/>
            <w:shd w:val="clear" w:color="auto" w:fill="auto"/>
            <w:vAlign w:val="center"/>
            <w:hideMark/>
          </w:tcPr>
          <w:p w14:paraId="2DB0B44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7</w:t>
            </w:r>
          </w:p>
        </w:tc>
        <w:tc>
          <w:tcPr>
            <w:tcW w:w="1016" w:type="pct"/>
            <w:shd w:val="clear" w:color="auto" w:fill="auto"/>
            <w:vAlign w:val="center"/>
            <w:hideMark/>
          </w:tcPr>
          <w:p w14:paraId="6F01265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w:t>
            </w:r>
          </w:p>
        </w:tc>
        <w:tc>
          <w:tcPr>
            <w:tcW w:w="1158" w:type="pct"/>
            <w:shd w:val="clear" w:color="auto" w:fill="auto"/>
            <w:vAlign w:val="center"/>
            <w:hideMark/>
          </w:tcPr>
          <w:p w14:paraId="1A28BEE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43%</w:t>
            </w:r>
          </w:p>
        </w:tc>
      </w:tr>
    </w:tbl>
    <w:p w14:paraId="125C5D93" w14:textId="3BBC155A" w:rsidR="00E8617E" w:rsidRPr="00AE71CA" w:rsidRDefault="00E8617E" w:rsidP="00E8617E">
      <w:pPr>
        <w:ind w:firstLine="142"/>
        <w:rPr>
          <w:rFonts w:ascii="Times New Roman" w:hAnsi="Times New Roman"/>
          <w:color w:val="0070C0"/>
          <w:sz w:val="18"/>
          <w:szCs w:val="18"/>
        </w:rPr>
      </w:pPr>
      <w:r w:rsidRPr="00AE71CA">
        <w:rPr>
          <w:rFonts w:ascii="Arial" w:hAnsi="Arial" w:cs="Arial"/>
          <w:sz w:val="18"/>
          <w:szCs w:val="18"/>
        </w:rPr>
        <w:t xml:space="preserve">Източник: Годишен </w:t>
      </w:r>
      <w:r w:rsidR="00953BEA">
        <w:rPr>
          <w:rFonts w:ascii="Arial" w:hAnsi="Arial" w:cs="Arial"/>
          <w:sz w:val="18"/>
          <w:szCs w:val="18"/>
        </w:rPr>
        <w:t>д</w:t>
      </w:r>
      <w:r w:rsidRPr="00AE71CA">
        <w:rPr>
          <w:rFonts w:ascii="Arial" w:hAnsi="Arial" w:cs="Arial"/>
          <w:sz w:val="18"/>
          <w:szCs w:val="18"/>
        </w:rPr>
        <w:t xml:space="preserve">оклад за </w:t>
      </w:r>
      <w:r w:rsidR="00953BEA">
        <w:rPr>
          <w:rFonts w:ascii="Arial" w:hAnsi="Arial" w:cs="Arial"/>
          <w:sz w:val="18"/>
          <w:szCs w:val="18"/>
        </w:rPr>
        <w:t>и</w:t>
      </w:r>
      <w:r w:rsidRPr="00AE71CA">
        <w:rPr>
          <w:rFonts w:ascii="Arial" w:hAnsi="Arial" w:cs="Arial"/>
          <w:sz w:val="18"/>
          <w:szCs w:val="18"/>
        </w:rPr>
        <w:t>зпълнение на ПРСР за 2015, юни 2016 г.</w:t>
      </w:r>
    </w:p>
    <w:p w14:paraId="7C7E9136"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Мярката като цяло може да се причисли към групата от мерки с проблеми да мобилизират потенциалните кандидати и с недостатъчен брой подадени и изпълнени проекти. В текущата оценка за изпълнение на ПРСР 2011-2013 г. е допуснато, че слабият интерес може би се дължи на непознаване на предлаганите възможности от заинтересованите страни и недостатъчна информираност на крайните ползватели, защото в направената по това време анкета сред бенефициенти на мярката се отчита висока удовлетвореност и оценка за ползите.</w:t>
      </w:r>
    </w:p>
    <w:p w14:paraId="1E95C964"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 xml:space="preserve">Наред с вероятната недостатъчна информираност на земеделските производители за възможностите за предоставяне на допълнителни консултантски услуги трябва да се отчете, че програмирането на мярката и на разрешените консултантски услуги не съответства в пълна степен на нуждите на земеделските </w:t>
      </w:r>
      <w:r w:rsidRPr="00BC513A">
        <w:rPr>
          <w:rFonts w:ascii="Arial" w:hAnsi="Arial" w:cs="Arial"/>
        </w:rPr>
        <w:lastRenderedPageBreak/>
        <w:t xml:space="preserve">производители и собствениците на гори. Причина за това до голяма степен е и рестриктивната регулаторна база и донякъде нейното прилагане в националната програма. </w:t>
      </w:r>
    </w:p>
    <w:p w14:paraId="735BD612"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Мярката е насочена към индивидуални земеделски производители и ползватели на гори. Постигане на по-голяма обществена полза би имало</w:t>
      </w:r>
      <w:r w:rsidR="00953BEA">
        <w:rPr>
          <w:rFonts w:ascii="Arial" w:hAnsi="Arial" w:cs="Arial"/>
        </w:rPr>
        <w:t>,</w:t>
      </w:r>
      <w:r w:rsidRPr="00BC513A">
        <w:rPr>
          <w:rFonts w:ascii="Arial" w:hAnsi="Arial" w:cs="Arial"/>
        </w:rPr>
        <w:t xml:space="preserve"> ако кандидатите са колективни организации, които имат общи интереси и са изправени пред сходни предизвикателства, като по този начин помощта би достигала до повече хора, разходите за един получател на помощта биха се минимизирали и би се създало по-голямо публично благо.</w:t>
      </w:r>
    </w:p>
    <w:p w14:paraId="25305B17" w14:textId="59D81909"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Тази мярка принадлежи към т.нар. „меки” мерки, които през Програмния период 2007 – 2013 г</w:t>
      </w:r>
      <w:r w:rsidR="00E35B9F">
        <w:rPr>
          <w:rFonts w:ascii="Arial" w:hAnsi="Arial" w:cs="Arial"/>
        </w:rPr>
        <w:t>.</w:t>
      </w:r>
      <w:r w:rsidRPr="00BC513A">
        <w:rPr>
          <w:rFonts w:ascii="Arial" w:hAnsi="Arial" w:cs="Arial"/>
        </w:rPr>
        <w:t xml:space="preserve"> са общо 3 – мярка 111, 114 и 143. Това е мярката с едно от най-слабите изпълнения в цялата ос 1, като причините са както по-късният старт, така и липсата на достатъчен интерес и липсата на добър фокус на мярката, който да направи приложението на дейностите необходими и привлекателни за бенефициентите.</w:t>
      </w:r>
    </w:p>
    <w:p w14:paraId="4B234038"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От една страна, земеделските производители, заради отлагане прилагането на правилата за кръстосано съответствие по І стълб</w:t>
      </w:r>
      <w:r w:rsidR="00E35B9F">
        <w:rPr>
          <w:rFonts w:ascii="Arial" w:hAnsi="Arial" w:cs="Arial"/>
        </w:rPr>
        <w:t>,</w:t>
      </w:r>
      <w:r w:rsidRPr="00BC513A">
        <w:rPr>
          <w:rFonts w:ascii="Arial" w:hAnsi="Arial" w:cs="Arial"/>
        </w:rPr>
        <w:t xml:space="preserve"> не изпитват голяма необходимост да получават консултантски услуги по такива теми, а в същото време допустимата субсидия е лимитирана до 1</w:t>
      </w:r>
      <w:r w:rsidR="00E35B9F">
        <w:rPr>
          <w:rFonts w:ascii="Arial" w:hAnsi="Arial" w:cs="Arial"/>
        </w:rPr>
        <w:t> </w:t>
      </w:r>
      <w:r w:rsidRPr="00BC513A">
        <w:rPr>
          <w:rFonts w:ascii="Arial" w:hAnsi="Arial" w:cs="Arial"/>
        </w:rPr>
        <w:t>500 евро, което не предполага, че земеделските производители могат да получат някаква по-високо специализирана консултантска помощ, докато разходите за кандидатстване, съпоставени с размера на разрешената субсидия</w:t>
      </w:r>
      <w:r w:rsidR="00E35B9F">
        <w:rPr>
          <w:rFonts w:ascii="Arial" w:hAnsi="Arial" w:cs="Arial"/>
        </w:rPr>
        <w:t>,</w:t>
      </w:r>
      <w:r w:rsidRPr="00BC513A">
        <w:rPr>
          <w:rFonts w:ascii="Arial" w:hAnsi="Arial" w:cs="Arial"/>
        </w:rPr>
        <w:t xml:space="preserve"> правят самата мярка неатрактивна.</w:t>
      </w:r>
    </w:p>
    <w:p w14:paraId="22638D65"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Незначителното въздействие по мярката е видно и от факта, че от 120 одобрени заявления общо по мярката са изпълнени 38. </w:t>
      </w:r>
    </w:p>
    <w:p w14:paraId="6034287E"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Броят подпомогнати бенефициенти и фактът, че много от одобрените проекти не са изпълнени показва, че бенефициентите не са виждали голям смисъл в прилагането на дейностите. За да работи такава мярка е необходимо фокусът да е поставен върху консултирането преобладаващо на организации на производители и на браншови съюзи, където първо ползите и ефектите ще бъдат много по-големи, а от друга страна, разходите за консултиране на един кандидат ще паднат, въпреки че може да се повиши стойността на консултантския проект, което ще предполага повишаване на качеството. </w:t>
      </w:r>
    </w:p>
    <w:p w14:paraId="4C024A95"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В България има групи от проблеми, които е най-целесъобразно да се решават не чрез единични консултации, а чрез общи съветнически услуги</w:t>
      </w:r>
      <w:r w:rsidR="00E35B9F">
        <w:rPr>
          <w:sz w:val="22"/>
          <w:szCs w:val="22"/>
          <w:lang w:val="bg-BG"/>
        </w:rPr>
        <w:t>,</w:t>
      </w:r>
      <w:r w:rsidRPr="00BC513A">
        <w:rPr>
          <w:sz w:val="22"/>
          <w:szCs w:val="22"/>
          <w:lang w:val="bg-BG"/>
        </w:rPr>
        <w:t xml:space="preserve"> защото те са валидни за големи сегменти от земеделските производители. Такива са проблемите</w:t>
      </w:r>
      <w:r w:rsidR="00E35B9F">
        <w:rPr>
          <w:sz w:val="22"/>
          <w:szCs w:val="22"/>
          <w:lang w:val="bg-BG"/>
        </w:rPr>
        <w:t>,</w:t>
      </w:r>
      <w:r w:rsidRPr="00BC513A">
        <w:rPr>
          <w:sz w:val="22"/>
          <w:szCs w:val="22"/>
          <w:lang w:val="bg-BG"/>
        </w:rPr>
        <w:t xml:space="preserve"> свързани с повишаване производителността и качеството в млечния сектор, подотраслите на плодовете и зеленчуците и други чувствителни сектори и приоритети. </w:t>
      </w:r>
    </w:p>
    <w:p w14:paraId="0EF403AF"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Общата оценка за мярката за въздействие е, че тя оказва безспорно полезно отражение върху конкретните получатели, потвърдено от текущата оценка на прилагане на програмата 2011-2013 г., но за отрасъла не дава ефектите, които са очаквани за повишаване знанието и експертизата на земеделските производители, заради много малкия брой достигнати бенефициенти. </w:t>
      </w:r>
    </w:p>
    <w:p w14:paraId="423E03FA"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Незначителните средства, които са предвидени за подпомагане</w:t>
      </w:r>
      <w:r w:rsidR="00E35B9F">
        <w:rPr>
          <w:sz w:val="22"/>
          <w:szCs w:val="22"/>
          <w:lang w:val="bg-BG"/>
        </w:rPr>
        <w:t>,</w:t>
      </w:r>
      <w:r w:rsidRPr="00BC513A">
        <w:rPr>
          <w:sz w:val="22"/>
          <w:szCs w:val="22"/>
          <w:lang w:val="bg-BG"/>
        </w:rPr>
        <w:t xml:space="preserve"> не предполага, че предоставените консултантски услуги ще надградят съществено компетентностите </w:t>
      </w:r>
      <w:r w:rsidRPr="00BC513A">
        <w:rPr>
          <w:sz w:val="22"/>
          <w:szCs w:val="22"/>
          <w:lang w:val="bg-BG"/>
        </w:rPr>
        <w:lastRenderedPageBreak/>
        <w:t>на бенефициентите. Определено има проблем и по начините</w:t>
      </w:r>
      <w:r w:rsidR="00E35B9F">
        <w:rPr>
          <w:sz w:val="22"/>
          <w:szCs w:val="22"/>
          <w:lang w:val="bg-BG"/>
        </w:rPr>
        <w:t>,</w:t>
      </w:r>
      <w:r w:rsidRPr="00BC513A">
        <w:rPr>
          <w:sz w:val="22"/>
          <w:szCs w:val="22"/>
          <w:lang w:val="bg-BG"/>
        </w:rPr>
        <w:t xml:space="preserve"> с които се извършва оценка на постигнатото и на въздействието</w:t>
      </w:r>
      <w:r w:rsidR="00E35B9F">
        <w:rPr>
          <w:sz w:val="22"/>
          <w:szCs w:val="22"/>
          <w:lang w:val="bg-BG"/>
        </w:rPr>
        <w:t>,</w:t>
      </w:r>
      <w:r w:rsidRPr="00BC513A">
        <w:rPr>
          <w:sz w:val="22"/>
          <w:szCs w:val="22"/>
          <w:lang w:val="bg-BG"/>
        </w:rPr>
        <w:t xml:space="preserve"> защото ефектите върху добавената стойност, производителността, повишение на качеството и подобрения в ефективността и опазване на околната среда не са непосредствени ефекти. В бъдеще се препоръчва подобни дейности да са ориентирани към групови форми, а мониторингът да бъде върху конкретен индикатор, който изхожда от основната цел на консултантската услуга на бенефициентите, като се посочи базовото начало и желаната цел, за да се следи и измерва.</w:t>
      </w:r>
    </w:p>
    <w:p w14:paraId="602B5886"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121. Модернизиране на земеделските стопанства</w:t>
      </w:r>
    </w:p>
    <w:p w14:paraId="79EFEA30" w14:textId="48A3F80F"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Мярка 121 за модернизиране на земеделски стопанства стартира на 17.04.2008 г. Това е мярката със заделен най-голям бюджет</w:t>
      </w:r>
      <w:r w:rsidR="00E35B9F">
        <w:rPr>
          <w:rFonts w:ascii="Arial" w:hAnsi="Arial" w:cs="Arial"/>
        </w:rPr>
        <w:t xml:space="preserve"> –</w:t>
      </w:r>
      <w:r w:rsidRPr="00BC513A">
        <w:rPr>
          <w:rFonts w:ascii="Arial" w:hAnsi="Arial" w:cs="Arial"/>
        </w:rPr>
        <w:t xml:space="preserve"> 39% от финансовия ресурс по ос 1. Средствата</w:t>
      </w:r>
      <w:r w:rsidR="00E35B9F">
        <w:rPr>
          <w:rFonts w:ascii="Arial" w:hAnsi="Arial" w:cs="Arial"/>
        </w:rPr>
        <w:t>,</w:t>
      </w:r>
      <w:r w:rsidRPr="00BC513A">
        <w:rPr>
          <w:rFonts w:ascii="Arial" w:hAnsi="Arial" w:cs="Arial"/>
        </w:rPr>
        <w:t xml:space="preserve"> заделени по тази мярка</w:t>
      </w:r>
      <w:r w:rsidR="00E35B9F">
        <w:rPr>
          <w:rFonts w:ascii="Arial" w:hAnsi="Arial" w:cs="Arial"/>
        </w:rPr>
        <w:t>,</w:t>
      </w:r>
      <w:r w:rsidRPr="00BC513A">
        <w:rPr>
          <w:rFonts w:ascii="Arial" w:hAnsi="Arial" w:cs="Arial"/>
        </w:rPr>
        <w:t xml:space="preserve"> първоначално са 469 милиона евро. В края на финансовия период на програмата през 2015 г. крайният бюджет по мярката нараства до 540 милиона евро общо публични средства. Финансовите средства се увеличават с 15% и целия</w:t>
      </w:r>
      <w:r w:rsidR="00E35B9F">
        <w:rPr>
          <w:rFonts w:ascii="Arial" w:hAnsi="Arial" w:cs="Arial"/>
        </w:rPr>
        <w:t>т</w:t>
      </w:r>
      <w:r w:rsidRPr="00BC513A">
        <w:rPr>
          <w:rFonts w:ascii="Arial" w:hAnsi="Arial" w:cs="Arial"/>
        </w:rPr>
        <w:t xml:space="preserve"> публичен ресурс по мярката съставлява 58% от всички усвоени по ос 1 публични средства. </w:t>
      </w:r>
    </w:p>
    <w:p w14:paraId="03F827A8" w14:textId="498D732C"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Не само заради значителния дял на мярката в общия бюджет по ос 1, но и заради големите очаквания и нужди за модернизиране на българското селско стопанство с оглед постигане на по-висока конкурентоспособност и устойчивост, мярка 121 се превръща в инструмент с голяма важност. Прякото изпълнение на мярката се следи с три основни индикатора: (1) брой на подпомогнатите стопанства; (2) обем на постигнатите инвестиции и (3) брой на въведени нови продукти и технологии. Мярката успява да преизпълни индикатора по постигнат обем на инвестициите, като от заложените 925 млн. евро в края на отчетния период са направени инвестиции на стойност 1</w:t>
      </w:r>
      <w:r w:rsidR="00E35B9F">
        <w:rPr>
          <w:rFonts w:ascii="Arial" w:hAnsi="Arial" w:cs="Arial"/>
        </w:rPr>
        <w:t> </w:t>
      </w:r>
      <w:r w:rsidRPr="00BC513A">
        <w:rPr>
          <w:rFonts w:ascii="Arial" w:hAnsi="Arial" w:cs="Arial"/>
        </w:rPr>
        <w:t>104,7 млн. евро. Именно инвестициите са разглеждани като критичен фактор за стабилизирането и увеличаване на конкурентоспособността в земеделието. Трябва да се отбележи, че за периода на прилагане на мярката 2008-2015 г. в селското стопанство са направени вложения в основен капитал (преки производствени и непроизводствени активи) на стойност 2 832 млн. лв. Само инвестициите</w:t>
      </w:r>
      <w:r w:rsidR="000E1845">
        <w:rPr>
          <w:rFonts w:ascii="Arial" w:hAnsi="Arial" w:cs="Arial"/>
        </w:rPr>
        <w:t>,</w:t>
      </w:r>
      <w:r w:rsidRPr="00BC513A">
        <w:rPr>
          <w:rFonts w:ascii="Arial" w:hAnsi="Arial" w:cs="Arial"/>
        </w:rPr>
        <w:t xml:space="preserve"> генерирани по М121</w:t>
      </w:r>
      <w:r w:rsidR="000E1845">
        <w:rPr>
          <w:rFonts w:ascii="Arial" w:hAnsi="Arial" w:cs="Arial"/>
        </w:rPr>
        <w:t>,</w:t>
      </w:r>
      <w:r w:rsidRPr="00BC513A">
        <w:rPr>
          <w:rFonts w:ascii="Arial" w:hAnsi="Arial" w:cs="Arial"/>
        </w:rPr>
        <w:t xml:space="preserve"> възлизат на 2</w:t>
      </w:r>
      <w:r w:rsidR="000E1845">
        <w:rPr>
          <w:rFonts w:ascii="Arial" w:hAnsi="Arial" w:cs="Arial"/>
        </w:rPr>
        <w:t> </w:t>
      </w:r>
      <w:r w:rsidRPr="00BC513A">
        <w:rPr>
          <w:rFonts w:ascii="Arial" w:hAnsi="Arial" w:cs="Arial"/>
        </w:rPr>
        <w:t>161 млн. лв. и съставляват 76% от цялото брутообразуване в отрасъла за този период. Ако към тях се прибавят и другите инвестиции</w:t>
      </w:r>
      <w:r w:rsidR="000E1845">
        <w:rPr>
          <w:rFonts w:ascii="Arial" w:hAnsi="Arial" w:cs="Arial"/>
        </w:rPr>
        <w:t>,</w:t>
      </w:r>
      <w:r w:rsidRPr="00BC513A">
        <w:rPr>
          <w:rFonts w:ascii="Arial" w:hAnsi="Arial" w:cs="Arial"/>
        </w:rPr>
        <w:t xml:space="preserve"> свързани с ПРСР, ще стане ясно, че мерките от ос 1 допринасят за почти 90% от инвестициите в българското земеделие през периода 2008-2015 г. </w:t>
      </w:r>
    </w:p>
    <w:p w14:paraId="62160104" w14:textId="77777777" w:rsidR="00E8617E" w:rsidRPr="00BC513A" w:rsidRDefault="00E8617E" w:rsidP="00E8617E">
      <w:pPr>
        <w:pStyle w:val="DefaultText"/>
        <w:spacing w:before="240"/>
        <w:rPr>
          <w:rFonts w:cs="Arial"/>
          <w:b/>
          <w:color w:val="0070C0"/>
          <w:sz w:val="20"/>
          <w:szCs w:val="20"/>
          <w:lang w:val="bg-BG"/>
        </w:rPr>
      </w:pPr>
      <w:bookmarkStart w:id="106" w:name="_Toc504136203"/>
      <w:bookmarkStart w:id="107" w:name="_Toc391899894"/>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31</w:t>
      </w:r>
      <w:r w:rsidRPr="00BC513A">
        <w:rPr>
          <w:rFonts w:cs="Arial"/>
          <w:b/>
          <w:color w:val="0070C0"/>
          <w:sz w:val="20"/>
          <w:szCs w:val="20"/>
          <w:lang w:val="bg-BG"/>
        </w:rPr>
        <w:fldChar w:fldCharType="end"/>
      </w:r>
      <w:r w:rsidRPr="00BC513A">
        <w:rPr>
          <w:rFonts w:cs="Arial"/>
          <w:b/>
          <w:color w:val="0070C0"/>
          <w:sz w:val="20"/>
          <w:szCs w:val="20"/>
          <w:lang w:val="bg-BG"/>
        </w:rPr>
        <w:t>.  Постигане целите на мярка 121 на база одобрени заявления</w:t>
      </w:r>
      <w:bookmarkEnd w:id="106"/>
    </w:p>
    <w:tbl>
      <w:tblPr>
        <w:tblW w:w="4966" w:type="pct"/>
        <w:jc w:val="center"/>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CellMar>
          <w:left w:w="70" w:type="dxa"/>
          <w:right w:w="70" w:type="dxa"/>
        </w:tblCellMar>
        <w:tblLook w:val="04A0" w:firstRow="1" w:lastRow="0" w:firstColumn="1" w:lastColumn="0" w:noHBand="0" w:noVBand="1"/>
      </w:tblPr>
      <w:tblGrid>
        <w:gridCol w:w="1795"/>
        <w:gridCol w:w="2571"/>
        <w:gridCol w:w="1910"/>
        <w:gridCol w:w="1445"/>
        <w:gridCol w:w="1427"/>
      </w:tblGrid>
      <w:tr w:rsidR="00E8617E" w:rsidRPr="00BC513A" w14:paraId="42E0657B" w14:textId="77777777" w:rsidTr="00922731">
        <w:trPr>
          <w:trHeight w:val="315"/>
          <w:jc w:val="center"/>
        </w:trPr>
        <w:tc>
          <w:tcPr>
            <w:tcW w:w="981" w:type="pct"/>
            <w:shd w:val="clear" w:color="auto" w:fill="1F4E79" w:themeFill="accent1" w:themeFillShade="80"/>
            <w:vAlign w:val="center"/>
            <w:hideMark/>
          </w:tcPr>
          <w:p w14:paraId="0131DE0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405" w:type="pct"/>
            <w:shd w:val="clear" w:color="auto" w:fill="1F4E79" w:themeFill="accent1" w:themeFillShade="80"/>
            <w:vAlign w:val="center"/>
            <w:hideMark/>
          </w:tcPr>
          <w:p w14:paraId="711EA740"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Индикатори</w:t>
            </w:r>
          </w:p>
        </w:tc>
        <w:tc>
          <w:tcPr>
            <w:tcW w:w="1044" w:type="pct"/>
            <w:shd w:val="clear" w:color="auto" w:fill="1F4E79" w:themeFill="accent1" w:themeFillShade="80"/>
            <w:vAlign w:val="center"/>
            <w:hideMark/>
          </w:tcPr>
          <w:p w14:paraId="400328C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90" w:type="pct"/>
            <w:shd w:val="clear" w:color="auto" w:fill="1F4E79" w:themeFill="accent1" w:themeFillShade="80"/>
            <w:vAlign w:val="center"/>
            <w:hideMark/>
          </w:tcPr>
          <w:p w14:paraId="543F45B6"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780" w:type="pct"/>
            <w:shd w:val="clear" w:color="auto" w:fill="1F4E79" w:themeFill="accent1" w:themeFillShade="80"/>
          </w:tcPr>
          <w:p w14:paraId="1A62298A"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0189ED1F" w14:textId="77777777" w:rsidTr="00922731">
        <w:trPr>
          <w:trHeight w:val="661"/>
          <w:jc w:val="center"/>
        </w:trPr>
        <w:tc>
          <w:tcPr>
            <w:tcW w:w="981" w:type="pct"/>
            <w:vMerge w:val="restart"/>
            <w:shd w:val="clear" w:color="auto" w:fill="auto"/>
            <w:vAlign w:val="center"/>
            <w:hideMark/>
          </w:tcPr>
          <w:p w14:paraId="35A1EB1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Изходен</w:t>
            </w:r>
          </w:p>
        </w:tc>
        <w:tc>
          <w:tcPr>
            <w:tcW w:w="1405" w:type="pct"/>
            <w:shd w:val="clear" w:color="auto" w:fill="auto"/>
            <w:vAlign w:val="center"/>
            <w:hideMark/>
          </w:tcPr>
          <w:p w14:paraId="1FC3945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на подпомогнати стопанства</w:t>
            </w:r>
          </w:p>
        </w:tc>
        <w:tc>
          <w:tcPr>
            <w:tcW w:w="1044" w:type="pct"/>
            <w:shd w:val="clear" w:color="auto" w:fill="auto"/>
            <w:vAlign w:val="center"/>
            <w:hideMark/>
          </w:tcPr>
          <w:p w14:paraId="2D1D903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5 316</w:t>
            </w:r>
          </w:p>
        </w:tc>
        <w:tc>
          <w:tcPr>
            <w:tcW w:w="790" w:type="pct"/>
            <w:shd w:val="clear" w:color="auto" w:fill="auto"/>
            <w:vAlign w:val="center"/>
            <w:hideMark/>
          </w:tcPr>
          <w:p w14:paraId="6231541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4 560</w:t>
            </w:r>
          </w:p>
        </w:tc>
        <w:tc>
          <w:tcPr>
            <w:tcW w:w="780" w:type="pct"/>
            <w:vAlign w:val="center"/>
          </w:tcPr>
          <w:p w14:paraId="197390E2"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86%</w:t>
            </w:r>
          </w:p>
        </w:tc>
      </w:tr>
      <w:tr w:rsidR="00E8617E" w:rsidRPr="00BC513A" w14:paraId="0910C9AB" w14:textId="77777777" w:rsidTr="00922731">
        <w:trPr>
          <w:trHeight w:val="630"/>
          <w:jc w:val="center"/>
        </w:trPr>
        <w:tc>
          <w:tcPr>
            <w:tcW w:w="981" w:type="pct"/>
            <w:vMerge/>
            <w:shd w:val="clear" w:color="auto" w:fill="auto"/>
            <w:vAlign w:val="center"/>
            <w:hideMark/>
          </w:tcPr>
          <w:p w14:paraId="235A6886"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1405" w:type="pct"/>
            <w:shd w:val="clear" w:color="auto" w:fill="auto"/>
            <w:vAlign w:val="center"/>
            <w:hideMark/>
          </w:tcPr>
          <w:p w14:paraId="5E68A13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Общ размер на инвестициите (млн.евро)</w:t>
            </w:r>
          </w:p>
        </w:tc>
        <w:tc>
          <w:tcPr>
            <w:tcW w:w="1044" w:type="pct"/>
            <w:shd w:val="clear" w:color="auto" w:fill="auto"/>
            <w:vAlign w:val="center"/>
            <w:hideMark/>
          </w:tcPr>
          <w:p w14:paraId="6EFE8E3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925</w:t>
            </w:r>
          </w:p>
        </w:tc>
        <w:tc>
          <w:tcPr>
            <w:tcW w:w="790" w:type="pct"/>
            <w:shd w:val="clear" w:color="auto" w:fill="auto"/>
            <w:vAlign w:val="center"/>
            <w:hideMark/>
          </w:tcPr>
          <w:p w14:paraId="36A2CF77"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1104,7</w:t>
            </w:r>
          </w:p>
        </w:tc>
        <w:tc>
          <w:tcPr>
            <w:tcW w:w="780" w:type="pct"/>
            <w:vAlign w:val="center"/>
          </w:tcPr>
          <w:p w14:paraId="1EFDC8E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134%</w:t>
            </w:r>
          </w:p>
        </w:tc>
      </w:tr>
      <w:tr w:rsidR="00E8617E" w:rsidRPr="00BC513A" w14:paraId="23F450B9" w14:textId="77777777" w:rsidTr="00922731">
        <w:trPr>
          <w:trHeight w:val="630"/>
          <w:jc w:val="center"/>
        </w:trPr>
        <w:tc>
          <w:tcPr>
            <w:tcW w:w="981" w:type="pct"/>
            <w:shd w:val="clear" w:color="auto" w:fill="auto"/>
            <w:vAlign w:val="center"/>
            <w:hideMark/>
          </w:tcPr>
          <w:p w14:paraId="64155BB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Резултат</w:t>
            </w:r>
          </w:p>
        </w:tc>
        <w:tc>
          <w:tcPr>
            <w:tcW w:w="1405" w:type="pct"/>
            <w:shd w:val="clear" w:color="auto" w:fill="auto"/>
            <w:vAlign w:val="center"/>
            <w:hideMark/>
          </w:tcPr>
          <w:p w14:paraId="226D71D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стопанства въвели нова техника или технология</w:t>
            </w:r>
          </w:p>
        </w:tc>
        <w:tc>
          <w:tcPr>
            <w:tcW w:w="1044" w:type="pct"/>
            <w:shd w:val="clear" w:color="auto" w:fill="auto"/>
            <w:vAlign w:val="center"/>
            <w:hideMark/>
          </w:tcPr>
          <w:p w14:paraId="5BB4716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3 700</w:t>
            </w:r>
          </w:p>
        </w:tc>
        <w:tc>
          <w:tcPr>
            <w:tcW w:w="790" w:type="pct"/>
            <w:shd w:val="clear" w:color="auto" w:fill="auto"/>
            <w:vAlign w:val="center"/>
            <w:hideMark/>
          </w:tcPr>
          <w:p w14:paraId="346FA71B"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1 040</w:t>
            </w:r>
          </w:p>
        </w:tc>
        <w:tc>
          <w:tcPr>
            <w:tcW w:w="780" w:type="pct"/>
            <w:vAlign w:val="center"/>
          </w:tcPr>
          <w:p w14:paraId="3A6A881B"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28%</w:t>
            </w:r>
          </w:p>
        </w:tc>
      </w:tr>
    </w:tbl>
    <w:p w14:paraId="6EC985AC" w14:textId="4C9A439D" w:rsidR="00E8617E" w:rsidRPr="00AE71CA" w:rsidRDefault="00E8617E" w:rsidP="00E8617E">
      <w:pPr>
        <w:rPr>
          <w:rFonts w:ascii="Arial" w:hAnsi="Arial" w:cs="Arial"/>
          <w:sz w:val="18"/>
          <w:szCs w:val="18"/>
        </w:rPr>
      </w:pPr>
      <w:r w:rsidRPr="00AE71CA">
        <w:rPr>
          <w:rFonts w:ascii="Arial" w:hAnsi="Arial" w:cs="Arial"/>
          <w:sz w:val="18"/>
          <w:szCs w:val="18"/>
        </w:rPr>
        <w:t xml:space="preserve">Източник: Годишен </w:t>
      </w:r>
      <w:r w:rsidR="000E1845">
        <w:rPr>
          <w:rFonts w:ascii="Arial" w:hAnsi="Arial" w:cs="Arial"/>
          <w:sz w:val="18"/>
          <w:szCs w:val="18"/>
        </w:rPr>
        <w:t>д</w:t>
      </w:r>
      <w:r w:rsidRPr="00AE71CA">
        <w:rPr>
          <w:rFonts w:ascii="Arial" w:hAnsi="Arial" w:cs="Arial"/>
          <w:sz w:val="18"/>
          <w:szCs w:val="18"/>
        </w:rPr>
        <w:t xml:space="preserve">оклад за </w:t>
      </w:r>
      <w:r w:rsidR="000E1845">
        <w:rPr>
          <w:rFonts w:ascii="Arial" w:hAnsi="Arial" w:cs="Arial"/>
          <w:sz w:val="18"/>
          <w:szCs w:val="18"/>
        </w:rPr>
        <w:t>и</w:t>
      </w:r>
      <w:r w:rsidRPr="00AE71CA">
        <w:rPr>
          <w:rFonts w:ascii="Arial" w:hAnsi="Arial" w:cs="Arial"/>
          <w:sz w:val="18"/>
          <w:szCs w:val="18"/>
        </w:rPr>
        <w:t>зпълнение на ПРСР от юни, 2016 г.</w:t>
      </w:r>
    </w:p>
    <w:p w14:paraId="441A07BA" w14:textId="77777777" w:rsidR="00E8617E" w:rsidRPr="00AE71CA" w:rsidRDefault="00AE71CA" w:rsidP="00E8617E">
      <w:pPr>
        <w:pStyle w:val="DefaultText"/>
        <w:rPr>
          <w:rFonts w:cs="Arial"/>
          <w:szCs w:val="18"/>
          <w:lang w:val="bg-BG"/>
        </w:rPr>
      </w:pPr>
      <w:r w:rsidRPr="00AE71CA">
        <w:rPr>
          <w:szCs w:val="18"/>
          <w:lang w:val="bg-BG"/>
        </w:rPr>
        <w:object w:dxaOrig="9333" w:dyaOrig="4306" w14:anchorId="462C5E0E">
          <v:shape id="_x0000_i1027" type="#_x0000_t75" style="width:468.3pt;height:194.6pt" o:ole="">
            <v:imagedata r:id="rId39" o:title=""/>
          </v:shape>
          <o:OLEObject Type="Embed" ProgID="Excel.Sheet.12" ShapeID="_x0000_i1027" DrawAspect="Content" ObjectID="_1585652218" r:id="rId40"/>
        </w:object>
      </w:r>
      <w:r w:rsidR="00E8617E" w:rsidRPr="00AE71CA">
        <w:rPr>
          <w:rFonts w:cs="Arial"/>
          <w:szCs w:val="18"/>
          <w:lang w:val="bg-BG"/>
        </w:rPr>
        <w:t>Източник: НСИ и МЗХГ</w:t>
      </w:r>
    </w:p>
    <w:p w14:paraId="35A7484E" w14:textId="77777777" w:rsidR="00E8617E" w:rsidRPr="00BC513A" w:rsidRDefault="00E8617E" w:rsidP="00E8617E">
      <w:pPr>
        <w:pStyle w:val="Caption"/>
        <w:keepNext/>
        <w:spacing w:before="240" w:after="60"/>
        <w:jc w:val="center"/>
        <w:rPr>
          <w:b/>
          <w:sz w:val="22"/>
          <w:szCs w:val="22"/>
        </w:rPr>
      </w:pPr>
      <w:bookmarkStart w:id="108" w:name="_Toc506984714"/>
      <w:r w:rsidRPr="00BC513A">
        <w:rPr>
          <w:rFonts w:ascii="Arial" w:hAnsi="Arial" w:cs="Arial"/>
          <w:b/>
          <w:i w:val="0"/>
          <w:color w:val="0070C0"/>
          <w:sz w:val="20"/>
          <w:szCs w:val="20"/>
        </w:rPr>
        <w:t xml:space="preserve">Фигура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Фигура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8</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Принос на инвестициите по М121 в брутообразуването на основен капитал в българското земеделие, млн. лв.</w:t>
      </w:r>
      <w:bookmarkEnd w:id="108"/>
    </w:p>
    <w:p w14:paraId="6D8DBB17" w14:textId="5520AA9C"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Другият изходен индикатор за мониторинг на мярката е брой на подпомогнатите стопанства. Тук изпълнението възлиза на 4 560 стопанства, което е 86% от поставената цел. От гледна точка целта на мярката, този индикатор не е от ключово значение, а по-скоро служи за измерване концентрацията на разпределение на публичната помощ. Трябва да се отбележи, че за периода на прием са подадени общо 6</w:t>
      </w:r>
      <w:r w:rsidR="00D03EDF">
        <w:rPr>
          <w:rFonts w:ascii="Arial" w:hAnsi="Arial" w:cs="Arial"/>
        </w:rPr>
        <w:t> </w:t>
      </w:r>
      <w:r w:rsidRPr="00BC513A">
        <w:rPr>
          <w:rFonts w:ascii="Arial" w:hAnsi="Arial" w:cs="Arial"/>
        </w:rPr>
        <w:t xml:space="preserve">353 проектни предложения, което означава, че 72% от кандидатите са одобрени. Това е сравнително висок процент на успеваемост на проектите, което трябва да се разглежда като благоприятно обстоятелство за фермерите, които при кандидатстването правят невъзвръщаеми разходи. </w:t>
      </w:r>
    </w:p>
    <w:p w14:paraId="714F4AA1" w14:textId="613E14F0"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По-слабо е изпълнението по индикатора за въведени нови продукти и технологии. От заложените 3 700 такива стопанства, само 1 040 са успели да въведат нови технологии или продукти. Това се дължи на няколко причини. Първо, първостепенните нужди и стремежи на земеделските продукти към тези години бе да обезпечат тяхната основна материална база, а не да въвеждат нови продукти и технологии, които са свързани и с по-високи разходи за придобиване и за които има нужда от повече знания и експертиза за внедряване и работа. Друга причина е дезинтеграцията, която съществува между научните и развойни центрове и земеделския бизнес в страната, което е естественият модел за осигуряване на повече иновации в земеделските стопанства.</w:t>
      </w:r>
    </w:p>
    <w:p w14:paraId="09EEE446"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От общите инвестиции</w:t>
      </w:r>
      <w:r w:rsidR="00AF6033">
        <w:rPr>
          <w:rFonts w:ascii="Arial" w:hAnsi="Arial" w:cs="Arial"/>
        </w:rPr>
        <w:t>,</w:t>
      </w:r>
      <w:r w:rsidRPr="00BC513A">
        <w:rPr>
          <w:rFonts w:ascii="Arial" w:hAnsi="Arial" w:cs="Arial"/>
        </w:rPr>
        <w:t xml:space="preserve"> направени по финансираните проекти</w:t>
      </w:r>
      <w:r w:rsidR="00AF6033">
        <w:rPr>
          <w:rFonts w:ascii="Arial" w:hAnsi="Arial" w:cs="Arial"/>
        </w:rPr>
        <w:t>,</w:t>
      </w:r>
      <w:r w:rsidRPr="00BC513A">
        <w:rPr>
          <w:rFonts w:ascii="Arial" w:hAnsi="Arial" w:cs="Arial"/>
        </w:rPr>
        <w:t xml:space="preserve"> около 3% са в другите подотрасли на животновъдството, като в животновъдството са одобрени 1 178 стопанства от поставената цел – 3 392. От тях 803 са подпомогнатите стопанства в сектор „Мляко”. Към 2013 г. стопанствата над 1 ИЕ в сектор мляко са около 35 хил. и това показва, че само 3% от млечните стопанства са подпомогнати. Съотношението при специализираните в полските култури по този показател е около 6% (подпомогнати 2 372 стопанства от около 40,3 хил.).</w:t>
      </w:r>
    </w:p>
    <w:p w14:paraId="2CB8068E" w14:textId="77777777"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 xml:space="preserve">Направените инвестиции в сектор „Плодове и зеленчуци” по мярката са </w:t>
      </w:r>
      <w:r w:rsidR="00AF6033">
        <w:rPr>
          <w:rFonts w:ascii="Arial" w:hAnsi="Arial" w:cs="Arial"/>
        </w:rPr>
        <w:t xml:space="preserve">                    </w:t>
      </w:r>
      <w:r w:rsidRPr="00BC513A">
        <w:rPr>
          <w:rFonts w:ascii="Arial" w:hAnsi="Arial" w:cs="Arial"/>
        </w:rPr>
        <w:t>161,2 млн. евро при заложена цел от 35 млн.</w:t>
      </w:r>
      <w:r w:rsidR="00AF6033">
        <w:rPr>
          <w:rFonts w:ascii="Arial" w:hAnsi="Arial" w:cs="Arial"/>
        </w:rPr>
        <w:t xml:space="preserve"> </w:t>
      </w:r>
      <w:r w:rsidRPr="00BC513A">
        <w:rPr>
          <w:rFonts w:ascii="Arial" w:hAnsi="Arial" w:cs="Arial"/>
        </w:rPr>
        <w:t xml:space="preserve">евро, което показва голямо надхвърляне </w:t>
      </w:r>
      <w:r w:rsidRPr="00BC513A">
        <w:rPr>
          <w:rFonts w:ascii="Arial" w:hAnsi="Arial" w:cs="Arial"/>
        </w:rPr>
        <w:lastRenderedPageBreak/>
        <w:t>на целта. В сектор „Плодове и зеленчуци” са подкрепени 924 стопанства, като в този сектор оперират около 16,3 хил. специализирани стопанства с размер над 1 ИЕ през 2013 год. Съотношението на подпомогнати към общо стопанства в сектора е също около 6%.</w:t>
      </w:r>
    </w:p>
    <w:p w14:paraId="2AE0471C" w14:textId="77777777" w:rsidR="00E8617E" w:rsidRPr="00BC513A" w:rsidRDefault="00E8617E" w:rsidP="007C3883">
      <w:pPr>
        <w:pStyle w:val="DefaultText"/>
        <w:keepNext/>
        <w:spacing w:before="120"/>
        <w:rPr>
          <w:rFonts w:cs="Arial"/>
          <w:b/>
          <w:color w:val="0070C0"/>
          <w:sz w:val="20"/>
          <w:szCs w:val="20"/>
          <w:lang w:val="bg-BG"/>
        </w:rPr>
      </w:pPr>
      <w:bookmarkStart w:id="109" w:name="_Toc504136204"/>
      <w:bookmarkEnd w:id="107"/>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32</w:t>
      </w:r>
      <w:r w:rsidRPr="00BC513A">
        <w:rPr>
          <w:rFonts w:cs="Arial"/>
          <w:b/>
          <w:color w:val="0070C0"/>
          <w:sz w:val="20"/>
          <w:szCs w:val="20"/>
          <w:lang w:val="bg-BG"/>
        </w:rPr>
        <w:fldChar w:fldCharType="end"/>
      </w:r>
      <w:r w:rsidRPr="00BC513A">
        <w:rPr>
          <w:rFonts w:cs="Arial"/>
          <w:b/>
          <w:color w:val="0070C0"/>
          <w:sz w:val="20"/>
          <w:szCs w:val="20"/>
          <w:lang w:val="bg-BG"/>
        </w:rPr>
        <w:t>. Разпределение на публичната помощ и на инвестициите по сектори</w:t>
      </w:r>
      <w:bookmarkEnd w:id="109"/>
    </w:p>
    <w:tbl>
      <w:tblPr>
        <w:tblW w:w="5000" w:type="pct"/>
        <w:jc w:val="center"/>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1424"/>
        <w:gridCol w:w="1056"/>
        <w:gridCol w:w="991"/>
        <w:gridCol w:w="998"/>
        <w:gridCol w:w="777"/>
        <w:gridCol w:w="1061"/>
        <w:gridCol w:w="1137"/>
        <w:gridCol w:w="991"/>
        <w:gridCol w:w="776"/>
      </w:tblGrid>
      <w:tr w:rsidR="00E8617E" w:rsidRPr="00BC513A" w14:paraId="5DD25F78" w14:textId="77777777" w:rsidTr="00922731">
        <w:trPr>
          <w:trHeight w:val="409"/>
          <w:jc w:val="center"/>
        </w:trPr>
        <w:tc>
          <w:tcPr>
            <w:tcW w:w="773" w:type="pct"/>
            <w:vMerge w:val="restart"/>
            <w:shd w:val="clear" w:color="auto" w:fill="1F4E79" w:themeFill="accent1" w:themeFillShade="80"/>
            <w:vAlign w:val="center"/>
            <w:hideMark/>
          </w:tcPr>
          <w:p w14:paraId="7914C89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Сектори</w:t>
            </w:r>
          </w:p>
        </w:tc>
        <w:tc>
          <w:tcPr>
            <w:tcW w:w="2075" w:type="pct"/>
            <w:gridSpan w:val="4"/>
            <w:shd w:val="clear" w:color="auto" w:fill="1F4E79" w:themeFill="accent1" w:themeFillShade="80"/>
            <w:vAlign w:val="center"/>
            <w:hideMark/>
          </w:tcPr>
          <w:p w14:paraId="2D617898"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публични разходи, хил.евро</w:t>
            </w:r>
          </w:p>
        </w:tc>
        <w:tc>
          <w:tcPr>
            <w:tcW w:w="2152" w:type="pct"/>
            <w:gridSpan w:val="4"/>
            <w:shd w:val="clear" w:color="auto" w:fill="1F4E79" w:themeFill="accent1" w:themeFillShade="80"/>
            <w:vAlign w:val="center"/>
          </w:tcPr>
          <w:p w14:paraId="0F5C2A60"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 инвестиции, хил. евро</w:t>
            </w:r>
          </w:p>
        </w:tc>
      </w:tr>
      <w:tr w:rsidR="00E8617E" w:rsidRPr="00BC513A" w14:paraId="633224FB" w14:textId="77777777" w:rsidTr="00922731">
        <w:trPr>
          <w:trHeight w:val="408"/>
          <w:jc w:val="center"/>
        </w:trPr>
        <w:tc>
          <w:tcPr>
            <w:tcW w:w="773" w:type="pct"/>
            <w:vMerge/>
            <w:shd w:val="clear" w:color="auto" w:fill="1F4E79" w:themeFill="accent1" w:themeFillShade="80"/>
            <w:vAlign w:val="center"/>
            <w:hideMark/>
          </w:tcPr>
          <w:p w14:paraId="6AA55A1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p>
        </w:tc>
        <w:tc>
          <w:tcPr>
            <w:tcW w:w="573" w:type="pct"/>
            <w:shd w:val="clear" w:color="auto" w:fill="1F4E79" w:themeFill="accent1" w:themeFillShade="80"/>
            <w:vAlign w:val="center"/>
            <w:hideMark/>
          </w:tcPr>
          <w:p w14:paraId="647DA926"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hAnsi="Arial" w:cs="Arial"/>
                <w:b/>
                <w:color w:val="FFFFFF" w:themeColor="background1"/>
                <w:sz w:val="20"/>
                <w:szCs w:val="20"/>
                <w:lang w:eastAsia="bg-BG"/>
              </w:rPr>
              <w:t>Подобряване на земята</w:t>
            </w:r>
          </w:p>
        </w:tc>
        <w:tc>
          <w:tcPr>
            <w:tcW w:w="538" w:type="pct"/>
            <w:shd w:val="clear" w:color="auto" w:fill="1F4E79" w:themeFill="accent1" w:themeFillShade="80"/>
            <w:vAlign w:val="center"/>
          </w:tcPr>
          <w:p w14:paraId="43CF089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Оборудване и машини</w:t>
            </w:r>
          </w:p>
        </w:tc>
        <w:tc>
          <w:tcPr>
            <w:tcW w:w="542" w:type="pct"/>
            <w:shd w:val="clear" w:color="auto" w:fill="1F4E79" w:themeFill="accent1" w:themeFillShade="80"/>
            <w:vAlign w:val="center"/>
          </w:tcPr>
          <w:p w14:paraId="788A923A"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Сграден фонд</w:t>
            </w:r>
          </w:p>
        </w:tc>
        <w:tc>
          <w:tcPr>
            <w:tcW w:w="422" w:type="pct"/>
            <w:shd w:val="clear" w:color="auto" w:fill="1F4E79" w:themeFill="accent1" w:themeFillShade="80"/>
            <w:vAlign w:val="center"/>
          </w:tcPr>
          <w:p w14:paraId="7718AC6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Други</w:t>
            </w:r>
          </w:p>
        </w:tc>
        <w:tc>
          <w:tcPr>
            <w:tcW w:w="576" w:type="pct"/>
            <w:shd w:val="clear" w:color="auto" w:fill="1F4E79" w:themeFill="accent1" w:themeFillShade="80"/>
            <w:vAlign w:val="center"/>
          </w:tcPr>
          <w:p w14:paraId="089C17C9"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hAnsi="Arial" w:cs="Arial"/>
                <w:b/>
                <w:color w:val="FFFFFF" w:themeColor="background1"/>
                <w:sz w:val="20"/>
                <w:szCs w:val="20"/>
                <w:lang w:eastAsia="bg-BG"/>
              </w:rPr>
              <w:t>Подобряване на земята</w:t>
            </w:r>
          </w:p>
        </w:tc>
        <w:tc>
          <w:tcPr>
            <w:tcW w:w="617" w:type="pct"/>
            <w:shd w:val="clear" w:color="auto" w:fill="1F4E79" w:themeFill="accent1" w:themeFillShade="80"/>
            <w:vAlign w:val="center"/>
          </w:tcPr>
          <w:p w14:paraId="67493E6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Оборудване и машини</w:t>
            </w:r>
          </w:p>
        </w:tc>
        <w:tc>
          <w:tcPr>
            <w:tcW w:w="538" w:type="pct"/>
            <w:shd w:val="clear" w:color="auto" w:fill="1F4E79" w:themeFill="accent1" w:themeFillShade="80"/>
            <w:vAlign w:val="center"/>
          </w:tcPr>
          <w:p w14:paraId="7FECD59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Сграден фонд</w:t>
            </w:r>
          </w:p>
        </w:tc>
        <w:tc>
          <w:tcPr>
            <w:tcW w:w="421" w:type="pct"/>
            <w:shd w:val="clear" w:color="auto" w:fill="1F4E79" w:themeFill="accent1" w:themeFillShade="80"/>
            <w:vAlign w:val="center"/>
          </w:tcPr>
          <w:p w14:paraId="3BCA83E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Други</w:t>
            </w:r>
          </w:p>
        </w:tc>
      </w:tr>
      <w:tr w:rsidR="00E8617E" w:rsidRPr="00BC513A" w14:paraId="32F9BB3F" w14:textId="77777777" w:rsidTr="00922731">
        <w:trPr>
          <w:trHeight w:val="315"/>
          <w:jc w:val="center"/>
        </w:trPr>
        <w:tc>
          <w:tcPr>
            <w:tcW w:w="773" w:type="pct"/>
            <w:shd w:val="clear" w:color="auto" w:fill="auto"/>
            <w:vAlign w:val="center"/>
            <w:hideMark/>
          </w:tcPr>
          <w:p w14:paraId="15C18DA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Полски култури</w:t>
            </w:r>
          </w:p>
        </w:tc>
        <w:tc>
          <w:tcPr>
            <w:tcW w:w="573" w:type="pct"/>
            <w:shd w:val="clear" w:color="auto" w:fill="auto"/>
            <w:vAlign w:val="center"/>
            <w:hideMark/>
          </w:tcPr>
          <w:p w14:paraId="3D63D253"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538" w:type="pct"/>
            <w:shd w:val="clear" w:color="auto" w:fill="auto"/>
            <w:vAlign w:val="center"/>
            <w:hideMark/>
          </w:tcPr>
          <w:p w14:paraId="39889CC2"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253837</w:t>
            </w:r>
          </w:p>
        </w:tc>
        <w:tc>
          <w:tcPr>
            <w:tcW w:w="542" w:type="pct"/>
            <w:shd w:val="clear" w:color="auto" w:fill="auto"/>
            <w:vAlign w:val="center"/>
            <w:hideMark/>
          </w:tcPr>
          <w:p w14:paraId="48F299D0"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14829</w:t>
            </w:r>
          </w:p>
        </w:tc>
        <w:tc>
          <w:tcPr>
            <w:tcW w:w="422" w:type="pct"/>
            <w:shd w:val="clear" w:color="auto" w:fill="auto"/>
            <w:vAlign w:val="center"/>
            <w:hideMark/>
          </w:tcPr>
          <w:p w14:paraId="1E03AA83"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3103</w:t>
            </w:r>
          </w:p>
        </w:tc>
        <w:tc>
          <w:tcPr>
            <w:tcW w:w="576" w:type="pct"/>
            <w:shd w:val="clear" w:color="auto" w:fill="auto"/>
            <w:vAlign w:val="center"/>
            <w:hideMark/>
          </w:tcPr>
          <w:p w14:paraId="0DB1374A"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617" w:type="pct"/>
            <w:shd w:val="clear" w:color="auto" w:fill="auto"/>
            <w:vAlign w:val="center"/>
            <w:hideMark/>
          </w:tcPr>
          <w:p w14:paraId="62A2C13C"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531080</w:t>
            </w:r>
          </w:p>
        </w:tc>
        <w:tc>
          <w:tcPr>
            <w:tcW w:w="538" w:type="pct"/>
            <w:shd w:val="clear" w:color="auto" w:fill="auto"/>
            <w:vAlign w:val="center"/>
            <w:hideMark/>
          </w:tcPr>
          <w:p w14:paraId="18DC1336"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36479</w:t>
            </w:r>
          </w:p>
        </w:tc>
        <w:tc>
          <w:tcPr>
            <w:tcW w:w="421" w:type="pct"/>
            <w:shd w:val="clear" w:color="auto" w:fill="auto"/>
            <w:vAlign w:val="center"/>
            <w:hideMark/>
          </w:tcPr>
          <w:p w14:paraId="4DD9AE1F"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6640</w:t>
            </w:r>
          </w:p>
        </w:tc>
      </w:tr>
      <w:tr w:rsidR="00E8617E" w:rsidRPr="00BC513A" w14:paraId="46DFDD48" w14:textId="77777777" w:rsidTr="00922731">
        <w:trPr>
          <w:trHeight w:val="315"/>
          <w:jc w:val="center"/>
        </w:trPr>
        <w:tc>
          <w:tcPr>
            <w:tcW w:w="773" w:type="pct"/>
            <w:shd w:val="clear" w:color="auto" w:fill="auto"/>
            <w:vAlign w:val="center"/>
            <w:hideMark/>
          </w:tcPr>
          <w:p w14:paraId="31912D8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Градинарство</w:t>
            </w:r>
          </w:p>
        </w:tc>
        <w:tc>
          <w:tcPr>
            <w:tcW w:w="573" w:type="pct"/>
            <w:shd w:val="clear" w:color="auto" w:fill="auto"/>
            <w:vAlign w:val="center"/>
            <w:hideMark/>
          </w:tcPr>
          <w:p w14:paraId="298BDB53"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538" w:type="pct"/>
            <w:shd w:val="clear" w:color="auto" w:fill="auto"/>
            <w:vAlign w:val="center"/>
            <w:hideMark/>
          </w:tcPr>
          <w:p w14:paraId="7569C5BB"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11563</w:t>
            </w:r>
          </w:p>
        </w:tc>
        <w:tc>
          <w:tcPr>
            <w:tcW w:w="542" w:type="pct"/>
            <w:shd w:val="clear" w:color="auto" w:fill="auto"/>
            <w:vAlign w:val="center"/>
            <w:hideMark/>
          </w:tcPr>
          <w:p w14:paraId="75D39B2E"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2662</w:t>
            </w:r>
          </w:p>
        </w:tc>
        <w:tc>
          <w:tcPr>
            <w:tcW w:w="422" w:type="pct"/>
            <w:shd w:val="clear" w:color="auto" w:fill="auto"/>
            <w:vAlign w:val="center"/>
            <w:hideMark/>
          </w:tcPr>
          <w:p w14:paraId="51F5247A"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8330</w:t>
            </w:r>
          </w:p>
        </w:tc>
        <w:tc>
          <w:tcPr>
            <w:tcW w:w="576" w:type="pct"/>
            <w:shd w:val="clear" w:color="auto" w:fill="auto"/>
            <w:vAlign w:val="center"/>
            <w:hideMark/>
          </w:tcPr>
          <w:p w14:paraId="44854465"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617" w:type="pct"/>
            <w:shd w:val="clear" w:color="auto" w:fill="auto"/>
            <w:vAlign w:val="center"/>
            <w:hideMark/>
          </w:tcPr>
          <w:p w14:paraId="479DBBFF"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25977</w:t>
            </w:r>
          </w:p>
        </w:tc>
        <w:tc>
          <w:tcPr>
            <w:tcW w:w="538" w:type="pct"/>
            <w:shd w:val="clear" w:color="auto" w:fill="auto"/>
            <w:vAlign w:val="center"/>
            <w:hideMark/>
          </w:tcPr>
          <w:p w14:paraId="0941EF4B"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6587</w:t>
            </w:r>
          </w:p>
        </w:tc>
        <w:tc>
          <w:tcPr>
            <w:tcW w:w="421" w:type="pct"/>
            <w:shd w:val="clear" w:color="auto" w:fill="auto"/>
            <w:vAlign w:val="center"/>
            <w:hideMark/>
          </w:tcPr>
          <w:p w14:paraId="4185D8ED"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19083</w:t>
            </w:r>
          </w:p>
        </w:tc>
      </w:tr>
      <w:tr w:rsidR="00E8617E" w:rsidRPr="00BC513A" w14:paraId="355999AD" w14:textId="77777777" w:rsidTr="00922731">
        <w:trPr>
          <w:trHeight w:val="315"/>
          <w:jc w:val="center"/>
        </w:trPr>
        <w:tc>
          <w:tcPr>
            <w:tcW w:w="773" w:type="pct"/>
            <w:shd w:val="clear" w:color="auto" w:fill="auto"/>
            <w:vAlign w:val="center"/>
            <w:hideMark/>
          </w:tcPr>
          <w:p w14:paraId="1538DD3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Вино</w:t>
            </w:r>
          </w:p>
        </w:tc>
        <w:tc>
          <w:tcPr>
            <w:tcW w:w="573" w:type="pct"/>
            <w:shd w:val="clear" w:color="auto" w:fill="auto"/>
            <w:vAlign w:val="center"/>
            <w:hideMark/>
          </w:tcPr>
          <w:p w14:paraId="418A3F99"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538" w:type="pct"/>
            <w:shd w:val="clear" w:color="auto" w:fill="auto"/>
            <w:vAlign w:val="center"/>
            <w:hideMark/>
          </w:tcPr>
          <w:p w14:paraId="6FB69D28"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5231</w:t>
            </w:r>
          </w:p>
        </w:tc>
        <w:tc>
          <w:tcPr>
            <w:tcW w:w="542" w:type="pct"/>
            <w:shd w:val="clear" w:color="auto" w:fill="auto"/>
            <w:vAlign w:val="center"/>
            <w:hideMark/>
          </w:tcPr>
          <w:p w14:paraId="4BB7F9CC"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209</w:t>
            </w:r>
          </w:p>
        </w:tc>
        <w:tc>
          <w:tcPr>
            <w:tcW w:w="422" w:type="pct"/>
            <w:shd w:val="clear" w:color="auto" w:fill="auto"/>
            <w:vAlign w:val="center"/>
            <w:hideMark/>
          </w:tcPr>
          <w:p w14:paraId="6BF6E119"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1941</w:t>
            </w:r>
          </w:p>
        </w:tc>
        <w:tc>
          <w:tcPr>
            <w:tcW w:w="576" w:type="pct"/>
            <w:shd w:val="clear" w:color="auto" w:fill="auto"/>
            <w:vAlign w:val="center"/>
            <w:hideMark/>
          </w:tcPr>
          <w:p w14:paraId="79265BB0"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617" w:type="pct"/>
            <w:shd w:val="clear" w:color="auto" w:fill="auto"/>
            <w:vAlign w:val="center"/>
            <w:hideMark/>
          </w:tcPr>
          <w:p w14:paraId="4F986673"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12297</w:t>
            </w:r>
          </w:p>
        </w:tc>
        <w:tc>
          <w:tcPr>
            <w:tcW w:w="538" w:type="pct"/>
            <w:shd w:val="clear" w:color="auto" w:fill="auto"/>
            <w:vAlign w:val="center"/>
            <w:hideMark/>
          </w:tcPr>
          <w:p w14:paraId="249F18D4"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519</w:t>
            </w:r>
          </w:p>
        </w:tc>
        <w:tc>
          <w:tcPr>
            <w:tcW w:w="421" w:type="pct"/>
            <w:shd w:val="clear" w:color="auto" w:fill="auto"/>
            <w:vAlign w:val="center"/>
            <w:hideMark/>
          </w:tcPr>
          <w:p w14:paraId="068848B2"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4490</w:t>
            </w:r>
          </w:p>
        </w:tc>
      </w:tr>
      <w:tr w:rsidR="00E8617E" w:rsidRPr="00BC513A" w14:paraId="20E5A90B" w14:textId="77777777" w:rsidTr="00922731">
        <w:trPr>
          <w:trHeight w:val="315"/>
          <w:jc w:val="center"/>
        </w:trPr>
        <w:tc>
          <w:tcPr>
            <w:tcW w:w="773" w:type="pct"/>
            <w:shd w:val="clear" w:color="auto" w:fill="auto"/>
            <w:vAlign w:val="center"/>
            <w:hideMark/>
          </w:tcPr>
          <w:p w14:paraId="4969407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Трайни насаждения</w:t>
            </w:r>
          </w:p>
        </w:tc>
        <w:tc>
          <w:tcPr>
            <w:tcW w:w="573" w:type="pct"/>
            <w:shd w:val="clear" w:color="auto" w:fill="auto"/>
            <w:vAlign w:val="center"/>
            <w:hideMark/>
          </w:tcPr>
          <w:p w14:paraId="65DBCF8D"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538" w:type="pct"/>
            <w:shd w:val="clear" w:color="auto" w:fill="auto"/>
            <w:vAlign w:val="center"/>
            <w:hideMark/>
          </w:tcPr>
          <w:p w14:paraId="3CB653C0"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12272</w:t>
            </w:r>
          </w:p>
        </w:tc>
        <w:tc>
          <w:tcPr>
            <w:tcW w:w="542" w:type="pct"/>
            <w:shd w:val="clear" w:color="auto" w:fill="auto"/>
            <w:vAlign w:val="center"/>
            <w:hideMark/>
          </w:tcPr>
          <w:p w14:paraId="39B7CC6F"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4713</w:t>
            </w:r>
          </w:p>
        </w:tc>
        <w:tc>
          <w:tcPr>
            <w:tcW w:w="422" w:type="pct"/>
            <w:shd w:val="clear" w:color="auto" w:fill="auto"/>
            <w:vAlign w:val="center"/>
            <w:hideMark/>
          </w:tcPr>
          <w:p w14:paraId="5B2A9670"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33472</w:t>
            </w:r>
          </w:p>
        </w:tc>
        <w:tc>
          <w:tcPr>
            <w:tcW w:w="576" w:type="pct"/>
            <w:shd w:val="clear" w:color="auto" w:fill="auto"/>
            <w:vAlign w:val="center"/>
            <w:hideMark/>
          </w:tcPr>
          <w:p w14:paraId="0BDA37E8"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617" w:type="pct"/>
            <w:shd w:val="clear" w:color="auto" w:fill="auto"/>
            <w:vAlign w:val="center"/>
            <w:hideMark/>
          </w:tcPr>
          <w:p w14:paraId="4D9F845D"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28024</w:t>
            </w:r>
          </w:p>
        </w:tc>
        <w:tc>
          <w:tcPr>
            <w:tcW w:w="538" w:type="pct"/>
            <w:shd w:val="clear" w:color="auto" w:fill="auto"/>
            <w:vAlign w:val="center"/>
            <w:hideMark/>
          </w:tcPr>
          <w:p w14:paraId="7BA5CFC1"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9982</w:t>
            </w:r>
          </w:p>
        </w:tc>
        <w:tc>
          <w:tcPr>
            <w:tcW w:w="421" w:type="pct"/>
            <w:shd w:val="clear" w:color="auto" w:fill="auto"/>
            <w:vAlign w:val="center"/>
            <w:hideMark/>
          </w:tcPr>
          <w:p w14:paraId="23201581"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71563</w:t>
            </w:r>
          </w:p>
        </w:tc>
      </w:tr>
      <w:tr w:rsidR="00E8617E" w:rsidRPr="00BC513A" w14:paraId="708EA7F3" w14:textId="77777777" w:rsidTr="00922731">
        <w:trPr>
          <w:trHeight w:val="315"/>
          <w:jc w:val="center"/>
        </w:trPr>
        <w:tc>
          <w:tcPr>
            <w:tcW w:w="773" w:type="pct"/>
            <w:shd w:val="clear" w:color="auto" w:fill="auto"/>
            <w:vAlign w:val="center"/>
            <w:hideMark/>
          </w:tcPr>
          <w:p w14:paraId="2592C0C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Мляко</w:t>
            </w:r>
          </w:p>
        </w:tc>
        <w:tc>
          <w:tcPr>
            <w:tcW w:w="573" w:type="pct"/>
            <w:shd w:val="clear" w:color="auto" w:fill="auto"/>
            <w:vAlign w:val="center"/>
            <w:hideMark/>
          </w:tcPr>
          <w:p w14:paraId="09FB15A0"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538" w:type="pct"/>
            <w:shd w:val="clear" w:color="auto" w:fill="auto"/>
            <w:vAlign w:val="center"/>
            <w:hideMark/>
          </w:tcPr>
          <w:p w14:paraId="0079417E"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67550</w:t>
            </w:r>
          </w:p>
        </w:tc>
        <w:tc>
          <w:tcPr>
            <w:tcW w:w="542" w:type="pct"/>
            <w:shd w:val="clear" w:color="auto" w:fill="auto"/>
            <w:vAlign w:val="center"/>
            <w:hideMark/>
          </w:tcPr>
          <w:p w14:paraId="46D23240"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13989</w:t>
            </w:r>
          </w:p>
        </w:tc>
        <w:tc>
          <w:tcPr>
            <w:tcW w:w="422" w:type="pct"/>
            <w:shd w:val="clear" w:color="auto" w:fill="auto"/>
            <w:vAlign w:val="center"/>
            <w:hideMark/>
          </w:tcPr>
          <w:p w14:paraId="08DE92ED"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15790</w:t>
            </w:r>
          </w:p>
        </w:tc>
        <w:tc>
          <w:tcPr>
            <w:tcW w:w="576" w:type="pct"/>
            <w:shd w:val="clear" w:color="auto" w:fill="auto"/>
            <w:vAlign w:val="center"/>
            <w:hideMark/>
          </w:tcPr>
          <w:p w14:paraId="5DB74C96"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617" w:type="pct"/>
            <w:shd w:val="clear" w:color="auto" w:fill="auto"/>
            <w:vAlign w:val="center"/>
            <w:hideMark/>
          </w:tcPr>
          <w:p w14:paraId="5C020310"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121588</w:t>
            </w:r>
          </w:p>
        </w:tc>
        <w:tc>
          <w:tcPr>
            <w:tcW w:w="538" w:type="pct"/>
            <w:shd w:val="clear" w:color="auto" w:fill="auto"/>
            <w:vAlign w:val="center"/>
            <w:hideMark/>
          </w:tcPr>
          <w:p w14:paraId="543C5E38"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24230</w:t>
            </w:r>
          </w:p>
        </w:tc>
        <w:tc>
          <w:tcPr>
            <w:tcW w:w="421" w:type="pct"/>
            <w:shd w:val="clear" w:color="auto" w:fill="auto"/>
            <w:vAlign w:val="center"/>
            <w:hideMark/>
          </w:tcPr>
          <w:p w14:paraId="2AF76948"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29237</w:t>
            </w:r>
          </w:p>
        </w:tc>
      </w:tr>
      <w:tr w:rsidR="00E8617E" w:rsidRPr="00BC513A" w14:paraId="35D84895" w14:textId="77777777" w:rsidTr="00922731">
        <w:trPr>
          <w:trHeight w:val="630"/>
          <w:jc w:val="center"/>
        </w:trPr>
        <w:tc>
          <w:tcPr>
            <w:tcW w:w="773" w:type="pct"/>
            <w:shd w:val="clear" w:color="auto" w:fill="auto"/>
            <w:vAlign w:val="center"/>
            <w:hideMark/>
          </w:tcPr>
          <w:p w14:paraId="2BCE095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Тревопасни (без мляко)</w:t>
            </w:r>
          </w:p>
        </w:tc>
        <w:tc>
          <w:tcPr>
            <w:tcW w:w="573" w:type="pct"/>
            <w:shd w:val="clear" w:color="auto" w:fill="auto"/>
            <w:vAlign w:val="center"/>
            <w:hideMark/>
          </w:tcPr>
          <w:p w14:paraId="1A493662"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538" w:type="pct"/>
            <w:shd w:val="clear" w:color="auto" w:fill="auto"/>
            <w:vAlign w:val="center"/>
            <w:hideMark/>
          </w:tcPr>
          <w:p w14:paraId="05B81709"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11380</w:t>
            </w:r>
          </w:p>
        </w:tc>
        <w:tc>
          <w:tcPr>
            <w:tcW w:w="542" w:type="pct"/>
            <w:shd w:val="clear" w:color="auto" w:fill="auto"/>
            <w:vAlign w:val="center"/>
            <w:hideMark/>
          </w:tcPr>
          <w:p w14:paraId="0258680D"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4823</w:t>
            </w:r>
          </w:p>
        </w:tc>
        <w:tc>
          <w:tcPr>
            <w:tcW w:w="422" w:type="pct"/>
            <w:shd w:val="clear" w:color="auto" w:fill="auto"/>
            <w:vAlign w:val="center"/>
            <w:hideMark/>
          </w:tcPr>
          <w:p w14:paraId="149C5B8B"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5274</w:t>
            </w:r>
          </w:p>
        </w:tc>
        <w:tc>
          <w:tcPr>
            <w:tcW w:w="576" w:type="pct"/>
            <w:shd w:val="clear" w:color="auto" w:fill="auto"/>
            <w:vAlign w:val="center"/>
            <w:hideMark/>
          </w:tcPr>
          <w:p w14:paraId="4D70AC67"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617" w:type="pct"/>
            <w:shd w:val="clear" w:color="auto" w:fill="auto"/>
            <w:vAlign w:val="center"/>
            <w:hideMark/>
          </w:tcPr>
          <w:p w14:paraId="7692D224"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21439</w:t>
            </w:r>
          </w:p>
        </w:tc>
        <w:tc>
          <w:tcPr>
            <w:tcW w:w="538" w:type="pct"/>
            <w:shd w:val="clear" w:color="auto" w:fill="auto"/>
            <w:vAlign w:val="center"/>
            <w:hideMark/>
          </w:tcPr>
          <w:p w14:paraId="7994B067"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8940</w:t>
            </w:r>
          </w:p>
        </w:tc>
        <w:tc>
          <w:tcPr>
            <w:tcW w:w="421" w:type="pct"/>
            <w:shd w:val="clear" w:color="auto" w:fill="auto"/>
            <w:vAlign w:val="center"/>
            <w:hideMark/>
          </w:tcPr>
          <w:p w14:paraId="58404D09"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11765</w:t>
            </w:r>
          </w:p>
        </w:tc>
      </w:tr>
      <w:tr w:rsidR="00E8617E" w:rsidRPr="00BC513A" w14:paraId="0906F487" w14:textId="77777777" w:rsidTr="00922731">
        <w:trPr>
          <w:trHeight w:val="481"/>
          <w:jc w:val="center"/>
        </w:trPr>
        <w:tc>
          <w:tcPr>
            <w:tcW w:w="773" w:type="pct"/>
            <w:shd w:val="clear" w:color="auto" w:fill="auto"/>
            <w:vAlign w:val="center"/>
            <w:hideMark/>
          </w:tcPr>
          <w:p w14:paraId="45654EB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Свине</w:t>
            </w:r>
          </w:p>
        </w:tc>
        <w:tc>
          <w:tcPr>
            <w:tcW w:w="573" w:type="pct"/>
            <w:shd w:val="clear" w:color="auto" w:fill="auto"/>
            <w:vAlign w:val="center"/>
            <w:hideMark/>
          </w:tcPr>
          <w:p w14:paraId="5A89094F"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37</w:t>
            </w:r>
          </w:p>
        </w:tc>
        <w:tc>
          <w:tcPr>
            <w:tcW w:w="538" w:type="pct"/>
            <w:shd w:val="clear" w:color="auto" w:fill="auto"/>
            <w:vAlign w:val="center"/>
            <w:hideMark/>
          </w:tcPr>
          <w:p w14:paraId="56370532"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5309</w:t>
            </w:r>
          </w:p>
        </w:tc>
        <w:tc>
          <w:tcPr>
            <w:tcW w:w="542" w:type="pct"/>
            <w:shd w:val="clear" w:color="auto" w:fill="auto"/>
            <w:vAlign w:val="center"/>
            <w:hideMark/>
          </w:tcPr>
          <w:p w14:paraId="17CF45C7"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3532</w:t>
            </w:r>
          </w:p>
        </w:tc>
        <w:tc>
          <w:tcPr>
            <w:tcW w:w="422" w:type="pct"/>
            <w:shd w:val="clear" w:color="auto" w:fill="auto"/>
            <w:vAlign w:val="center"/>
            <w:hideMark/>
          </w:tcPr>
          <w:p w14:paraId="05B4AB61"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2709</w:t>
            </w:r>
          </w:p>
        </w:tc>
        <w:tc>
          <w:tcPr>
            <w:tcW w:w="576" w:type="pct"/>
            <w:shd w:val="clear" w:color="auto" w:fill="auto"/>
            <w:vAlign w:val="center"/>
            <w:hideMark/>
          </w:tcPr>
          <w:p w14:paraId="7F1F51AC"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74</w:t>
            </w:r>
          </w:p>
        </w:tc>
        <w:tc>
          <w:tcPr>
            <w:tcW w:w="617" w:type="pct"/>
            <w:shd w:val="clear" w:color="auto" w:fill="auto"/>
            <w:vAlign w:val="center"/>
            <w:hideMark/>
          </w:tcPr>
          <w:p w14:paraId="6F8D1E7B"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8256</w:t>
            </w:r>
          </w:p>
        </w:tc>
        <w:tc>
          <w:tcPr>
            <w:tcW w:w="538" w:type="pct"/>
            <w:shd w:val="clear" w:color="auto" w:fill="auto"/>
            <w:vAlign w:val="center"/>
            <w:hideMark/>
          </w:tcPr>
          <w:p w14:paraId="13D73D36"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7490</w:t>
            </w:r>
          </w:p>
        </w:tc>
        <w:tc>
          <w:tcPr>
            <w:tcW w:w="421" w:type="pct"/>
            <w:shd w:val="clear" w:color="auto" w:fill="auto"/>
            <w:vAlign w:val="center"/>
            <w:hideMark/>
          </w:tcPr>
          <w:p w14:paraId="43540314"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6731</w:t>
            </w:r>
          </w:p>
        </w:tc>
      </w:tr>
      <w:tr w:rsidR="00E8617E" w:rsidRPr="00BC513A" w14:paraId="0C42EA47" w14:textId="77777777" w:rsidTr="00922731">
        <w:trPr>
          <w:trHeight w:val="315"/>
          <w:jc w:val="center"/>
        </w:trPr>
        <w:tc>
          <w:tcPr>
            <w:tcW w:w="773" w:type="pct"/>
            <w:shd w:val="clear" w:color="auto" w:fill="auto"/>
            <w:vAlign w:val="center"/>
            <w:hideMark/>
          </w:tcPr>
          <w:p w14:paraId="6ADFA5D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Домашни птици</w:t>
            </w:r>
          </w:p>
        </w:tc>
        <w:tc>
          <w:tcPr>
            <w:tcW w:w="573" w:type="pct"/>
            <w:shd w:val="clear" w:color="auto" w:fill="auto"/>
            <w:vAlign w:val="center"/>
            <w:hideMark/>
          </w:tcPr>
          <w:p w14:paraId="20EA68A0"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538" w:type="pct"/>
            <w:shd w:val="clear" w:color="auto" w:fill="auto"/>
            <w:vAlign w:val="center"/>
            <w:hideMark/>
          </w:tcPr>
          <w:p w14:paraId="5BBC8017"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12856</w:t>
            </w:r>
          </w:p>
        </w:tc>
        <w:tc>
          <w:tcPr>
            <w:tcW w:w="542" w:type="pct"/>
            <w:shd w:val="clear" w:color="auto" w:fill="auto"/>
            <w:vAlign w:val="center"/>
            <w:hideMark/>
          </w:tcPr>
          <w:p w14:paraId="698AD482"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4313</w:t>
            </w:r>
          </w:p>
        </w:tc>
        <w:tc>
          <w:tcPr>
            <w:tcW w:w="422" w:type="pct"/>
            <w:shd w:val="clear" w:color="auto" w:fill="auto"/>
            <w:vAlign w:val="center"/>
            <w:hideMark/>
          </w:tcPr>
          <w:p w14:paraId="0E077D7C"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5533</w:t>
            </w:r>
          </w:p>
        </w:tc>
        <w:tc>
          <w:tcPr>
            <w:tcW w:w="576" w:type="pct"/>
            <w:shd w:val="clear" w:color="auto" w:fill="auto"/>
            <w:vAlign w:val="center"/>
            <w:hideMark/>
          </w:tcPr>
          <w:p w14:paraId="5065B3FF"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617" w:type="pct"/>
            <w:shd w:val="clear" w:color="auto" w:fill="auto"/>
            <w:vAlign w:val="center"/>
            <w:hideMark/>
          </w:tcPr>
          <w:p w14:paraId="68B70F15"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26352</w:t>
            </w:r>
          </w:p>
        </w:tc>
        <w:tc>
          <w:tcPr>
            <w:tcW w:w="538" w:type="pct"/>
            <w:shd w:val="clear" w:color="auto" w:fill="auto"/>
            <w:vAlign w:val="center"/>
            <w:hideMark/>
          </w:tcPr>
          <w:p w14:paraId="51CA837A"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9688</w:t>
            </w:r>
          </w:p>
        </w:tc>
        <w:tc>
          <w:tcPr>
            <w:tcW w:w="421" w:type="pct"/>
            <w:shd w:val="clear" w:color="auto" w:fill="auto"/>
            <w:vAlign w:val="center"/>
            <w:hideMark/>
          </w:tcPr>
          <w:p w14:paraId="6122B9E8"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13775</w:t>
            </w:r>
          </w:p>
        </w:tc>
      </w:tr>
      <w:tr w:rsidR="00E8617E" w:rsidRPr="00BC513A" w14:paraId="3CF4184C" w14:textId="77777777" w:rsidTr="00922731">
        <w:trPr>
          <w:trHeight w:val="315"/>
          <w:jc w:val="center"/>
        </w:trPr>
        <w:tc>
          <w:tcPr>
            <w:tcW w:w="773" w:type="pct"/>
            <w:shd w:val="clear" w:color="auto" w:fill="auto"/>
            <w:vAlign w:val="center"/>
            <w:hideMark/>
          </w:tcPr>
          <w:p w14:paraId="7E2255F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Смесени</w:t>
            </w:r>
          </w:p>
        </w:tc>
        <w:tc>
          <w:tcPr>
            <w:tcW w:w="573" w:type="pct"/>
            <w:shd w:val="clear" w:color="auto" w:fill="auto"/>
            <w:vAlign w:val="center"/>
            <w:hideMark/>
          </w:tcPr>
          <w:p w14:paraId="0649036F"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538" w:type="pct"/>
            <w:shd w:val="clear" w:color="auto" w:fill="auto"/>
            <w:vAlign w:val="center"/>
            <w:hideMark/>
          </w:tcPr>
          <w:p w14:paraId="3A156203"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3642</w:t>
            </w:r>
          </w:p>
        </w:tc>
        <w:tc>
          <w:tcPr>
            <w:tcW w:w="542" w:type="pct"/>
            <w:shd w:val="clear" w:color="auto" w:fill="auto"/>
            <w:vAlign w:val="center"/>
            <w:hideMark/>
          </w:tcPr>
          <w:p w14:paraId="615DD8C4"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262</w:t>
            </w:r>
          </w:p>
        </w:tc>
        <w:tc>
          <w:tcPr>
            <w:tcW w:w="422" w:type="pct"/>
            <w:shd w:val="clear" w:color="auto" w:fill="auto"/>
            <w:vAlign w:val="center"/>
            <w:hideMark/>
          </w:tcPr>
          <w:p w14:paraId="6851C293"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1814</w:t>
            </w:r>
          </w:p>
        </w:tc>
        <w:tc>
          <w:tcPr>
            <w:tcW w:w="576" w:type="pct"/>
            <w:shd w:val="clear" w:color="auto" w:fill="auto"/>
            <w:vAlign w:val="center"/>
            <w:hideMark/>
          </w:tcPr>
          <w:p w14:paraId="23A26668"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0</w:t>
            </w:r>
          </w:p>
        </w:tc>
        <w:tc>
          <w:tcPr>
            <w:tcW w:w="617" w:type="pct"/>
            <w:shd w:val="clear" w:color="auto" w:fill="auto"/>
            <w:vAlign w:val="center"/>
            <w:hideMark/>
          </w:tcPr>
          <w:p w14:paraId="283F77ED"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8066</w:t>
            </w:r>
          </w:p>
        </w:tc>
        <w:tc>
          <w:tcPr>
            <w:tcW w:w="538" w:type="pct"/>
            <w:shd w:val="clear" w:color="auto" w:fill="auto"/>
            <w:vAlign w:val="center"/>
            <w:hideMark/>
          </w:tcPr>
          <w:p w14:paraId="25E89844"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673</w:t>
            </w:r>
          </w:p>
        </w:tc>
        <w:tc>
          <w:tcPr>
            <w:tcW w:w="421" w:type="pct"/>
            <w:shd w:val="clear" w:color="auto" w:fill="auto"/>
            <w:vAlign w:val="center"/>
            <w:hideMark/>
          </w:tcPr>
          <w:p w14:paraId="67262205"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3708</w:t>
            </w:r>
          </w:p>
        </w:tc>
      </w:tr>
      <w:tr w:rsidR="00E8617E" w:rsidRPr="00BC513A" w14:paraId="571E20A6" w14:textId="77777777" w:rsidTr="00922731">
        <w:trPr>
          <w:trHeight w:val="315"/>
          <w:jc w:val="center"/>
        </w:trPr>
        <w:tc>
          <w:tcPr>
            <w:tcW w:w="773" w:type="pct"/>
            <w:shd w:val="clear" w:color="auto" w:fill="auto"/>
            <w:vAlign w:val="center"/>
            <w:hideMark/>
          </w:tcPr>
          <w:p w14:paraId="7B54E67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Други</w:t>
            </w:r>
          </w:p>
        </w:tc>
        <w:tc>
          <w:tcPr>
            <w:tcW w:w="573" w:type="pct"/>
            <w:shd w:val="clear" w:color="auto" w:fill="auto"/>
            <w:vAlign w:val="center"/>
            <w:hideMark/>
          </w:tcPr>
          <w:p w14:paraId="031A2852"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7</w:t>
            </w:r>
          </w:p>
        </w:tc>
        <w:tc>
          <w:tcPr>
            <w:tcW w:w="538" w:type="pct"/>
            <w:shd w:val="clear" w:color="auto" w:fill="auto"/>
            <w:vAlign w:val="center"/>
            <w:hideMark/>
          </w:tcPr>
          <w:p w14:paraId="1D897130"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2164</w:t>
            </w:r>
          </w:p>
        </w:tc>
        <w:tc>
          <w:tcPr>
            <w:tcW w:w="542" w:type="pct"/>
            <w:shd w:val="clear" w:color="auto" w:fill="auto"/>
            <w:vAlign w:val="center"/>
            <w:hideMark/>
          </w:tcPr>
          <w:p w14:paraId="3CC7F60A"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51</w:t>
            </w:r>
          </w:p>
        </w:tc>
        <w:tc>
          <w:tcPr>
            <w:tcW w:w="422" w:type="pct"/>
            <w:shd w:val="clear" w:color="auto" w:fill="auto"/>
            <w:vAlign w:val="center"/>
            <w:hideMark/>
          </w:tcPr>
          <w:p w14:paraId="5E369F91"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42548</w:t>
            </w:r>
          </w:p>
        </w:tc>
        <w:tc>
          <w:tcPr>
            <w:tcW w:w="576" w:type="pct"/>
            <w:shd w:val="clear" w:color="auto" w:fill="auto"/>
            <w:vAlign w:val="center"/>
            <w:hideMark/>
          </w:tcPr>
          <w:p w14:paraId="709477E2"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17</w:t>
            </w:r>
          </w:p>
        </w:tc>
        <w:tc>
          <w:tcPr>
            <w:tcW w:w="617" w:type="pct"/>
            <w:shd w:val="clear" w:color="auto" w:fill="auto"/>
            <w:vAlign w:val="center"/>
            <w:hideMark/>
          </w:tcPr>
          <w:p w14:paraId="0AC7FCC3"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4379</w:t>
            </w:r>
          </w:p>
        </w:tc>
        <w:tc>
          <w:tcPr>
            <w:tcW w:w="538" w:type="pct"/>
            <w:shd w:val="clear" w:color="auto" w:fill="auto"/>
            <w:vAlign w:val="center"/>
            <w:hideMark/>
          </w:tcPr>
          <w:p w14:paraId="3538686F"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153</w:t>
            </w:r>
          </w:p>
        </w:tc>
        <w:tc>
          <w:tcPr>
            <w:tcW w:w="421" w:type="pct"/>
            <w:shd w:val="clear" w:color="auto" w:fill="auto"/>
            <w:vAlign w:val="center"/>
            <w:hideMark/>
          </w:tcPr>
          <w:p w14:paraId="500B2884" w14:textId="77777777" w:rsidR="00E8617E" w:rsidRPr="00BC513A" w:rsidRDefault="00E8617E" w:rsidP="00922731">
            <w:pPr>
              <w:spacing w:after="0" w:line="240" w:lineRule="auto"/>
              <w:jc w:val="center"/>
              <w:rPr>
                <w:rFonts w:ascii="Arial" w:hAnsi="Arial" w:cs="Arial"/>
                <w:color w:val="000000"/>
                <w:sz w:val="18"/>
                <w:szCs w:val="18"/>
              </w:rPr>
            </w:pPr>
            <w:r w:rsidRPr="00BC513A">
              <w:rPr>
                <w:rFonts w:ascii="Arial" w:hAnsi="Arial" w:cs="Arial"/>
                <w:color w:val="000000"/>
                <w:sz w:val="18"/>
                <w:szCs w:val="18"/>
              </w:rPr>
              <w:t>45482</w:t>
            </w:r>
          </w:p>
        </w:tc>
      </w:tr>
      <w:tr w:rsidR="00E8617E" w:rsidRPr="00BC513A" w14:paraId="4496708D" w14:textId="77777777" w:rsidTr="00AE71CA">
        <w:trPr>
          <w:trHeight w:val="315"/>
          <w:jc w:val="center"/>
        </w:trPr>
        <w:tc>
          <w:tcPr>
            <w:tcW w:w="773" w:type="pct"/>
            <w:shd w:val="clear" w:color="auto" w:fill="DEEAF6" w:themeFill="accent1" w:themeFillTint="33"/>
            <w:vAlign w:val="center"/>
            <w:hideMark/>
          </w:tcPr>
          <w:p w14:paraId="39D77232"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Общо</w:t>
            </w:r>
          </w:p>
        </w:tc>
        <w:tc>
          <w:tcPr>
            <w:tcW w:w="573" w:type="pct"/>
            <w:shd w:val="clear" w:color="auto" w:fill="DEEAF6" w:themeFill="accent1" w:themeFillTint="33"/>
            <w:vAlign w:val="center"/>
            <w:hideMark/>
          </w:tcPr>
          <w:p w14:paraId="1944C59A" w14:textId="77777777" w:rsidR="00E8617E" w:rsidRPr="00BC513A" w:rsidRDefault="00E8617E" w:rsidP="00922731">
            <w:pPr>
              <w:spacing w:after="0" w:line="240" w:lineRule="auto"/>
              <w:jc w:val="center"/>
              <w:rPr>
                <w:rFonts w:ascii="Arial" w:hAnsi="Arial" w:cs="Arial"/>
                <w:b/>
                <w:color w:val="000000"/>
                <w:sz w:val="18"/>
                <w:szCs w:val="18"/>
              </w:rPr>
            </w:pPr>
            <w:r w:rsidRPr="00BC513A">
              <w:rPr>
                <w:rFonts w:ascii="Arial" w:hAnsi="Arial" w:cs="Arial"/>
                <w:b/>
                <w:color w:val="000000"/>
                <w:sz w:val="18"/>
                <w:szCs w:val="18"/>
              </w:rPr>
              <w:t>44</w:t>
            </w:r>
          </w:p>
        </w:tc>
        <w:tc>
          <w:tcPr>
            <w:tcW w:w="538" w:type="pct"/>
            <w:shd w:val="clear" w:color="auto" w:fill="DEEAF6" w:themeFill="accent1" w:themeFillTint="33"/>
            <w:vAlign w:val="center"/>
            <w:hideMark/>
          </w:tcPr>
          <w:p w14:paraId="7E5D6BD3" w14:textId="77777777" w:rsidR="00E8617E" w:rsidRPr="00BC513A" w:rsidRDefault="00E8617E" w:rsidP="00922731">
            <w:pPr>
              <w:spacing w:after="0" w:line="240" w:lineRule="auto"/>
              <w:jc w:val="center"/>
              <w:rPr>
                <w:rFonts w:ascii="Arial" w:hAnsi="Arial" w:cs="Arial"/>
                <w:b/>
                <w:color w:val="000000"/>
                <w:sz w:val="18"/>
                <w:szCs w:val="18"/>
              </w:rPr>
            </w:pPr>
            <w:r w:rsidRPr="00BC513A">
              <w:rPr>
                <w:rFonts w:ascii="Arial" w:hAnsi="Arial" w:cs="Arial"/>
                <w:b/>
                <w:color w:val="000000"/>
                <w:sz w:val="18"/>
                <w:szCs w:val="18"/>
              </w:rPr>
              <w:t>385804</w:t>
            </w:r>
          </w:p>
        </w:tc>
        <w:tc>
          <w:tcPr>
            <w:tcW w:w="542" w:type="pct"/>
            <w:shd w:val="clear" w:color="auto" w:fill="DEEAF6" w:themeFill="accent1" w:themeFillTint="33"/>
            <w:vAlign w:val="center"/>
            <w:hideMark/>
          </w:tcPr>
          <w:p w14:paraId="60FE7769" w14:textId="77777777" w:rsidR="00E8617E" w:rsidRPr="00BC513A" w:rsidRDefault="00E8617E" w:rsidP="00922731">
            <w:pPr>
              <w:spacing w:after="0" w:line="240" w:lineRule="auto"/>
              <w:jc w:val="center"/>
              <w:rPr>
                <w:rFonts w:ascii="Arial" w:hAnsi="Arial" w:cs="Arial"/>
                <w:b/>
                <w:color w:val="000000"/>
                <w:sz w:val="18"/>
                <w:szCs w:val="18"/>
              </w:rPr>
            </w:pPr>
            <w:r w:rsidRPr="00BC513A">
              <w:rPr>
                <w:rFonts w:ascii="Arial" w:hAnsi="Arial" w:cs="Arial"/>
                <w:b/>
                <w:color w:val="000000"/>
                <w:sz w:val="18"/>
                <w:szCs w:val="18"/>
              </w:rPr>
              <w:t>49383</w:t>
            </w:r>
          </w:p>
        </w:tc>
        <w:tc>
          <w:tcPr>
            <w:tcW w:w="422" w:type="pct"/>
            <w:shd w:val="clear" w:color="auto" w:fill="DEEAF6" w:themeFill="accent1" w:themeFillTint="33"/>
            <w:vAlign w:val="center"/>
            <w:hideMark/>
          </w:tcPr>
          <w:p w14:paraId="1D37D76E" w14:textId="77777777" w:rsidR="00E8617E" w:rsidRPr="00BC513A" w:rsidRDefault="00E8617E" w:rsidP="00922731">
            <w:pPr>
              <w:spacing w:after="0" w:line="240" w:lineRule="auto"/>
              <w:jc w:val="center"/>
              <w:rPr>
                <w:rFonts w:ascii="Arial" w:hAnsi="Arial" w:cs="Arial"/>
                <w:b/>
                <w:color w:val="000000"/>
                <w:sz w:val="18"/>
                <w:szCs w:val="18"/>
              </w:rPr>
            </w:pPr>
            <w:r w:rsidRPr="00BC513A">
              <w:rPr>
                <w:rFonts w:ascii="Arial" w:hAnsi="Arial" w:cs="Arial"/>
                <w:b/>
                <w:color w:val="000000"/>
                <w:sz w:val="18"/>
                <w:szCs w:val="18"/>
              </w:rPr>
              <w:t>120514</w:t>
            </w:r>
          </w:p>
        </w:tc>
        <w:tc>
          <w:tcPr>
            <w:tcW w:w="576" w:type="pct"/>
            <w:shd w:val="clear" w:color="auto" w:fill="DEEAF6" w:themeFill="accent1" w:themeFillTint="33"/>
            <w:vAlign w:val="center"/>
            <w:hideMark/>
          </w:tcPr>
          <w:p w14:paraId="02505A1A" w14:textId="77777777" w:rsidR="00E8617E" w:rsidRPr="00BC513A" w:rsidRDefault="00E8617E" w:rsidP="00922731">
            <w:pPr>
              <w:spacing w:after="0" w:line="240" w:lineRule="auto"/>
              <w:jc w:val="center"/>
              <w:rPr>
                <w:rFonts w:ascii="Arial" w:hAnsi="Arial" w:cs="Arial"/>
                <w:b/>
                <w:color w:val="000000"/>
                <w:sz w:val="18"/>
                <w:szCs w:val="18"/>
              </w:rPr>
            </w:pPr>
            <w:r w:rsidRPr="00BC513A">
              <w:rPr>
                <w:rFonts w:ascii="Arial" w:hAnsi="Arial" w:cs="Arial"/>
                <w:b/>
                <w:color w:val="000000"/>
                <w:sz w:val="18"/>
                <w:szCs w:val="18"/>
              </w:rPr>
              <w:t>91</w:t>
            </w:r>
          </w:p>
        </w:tc>
        <w:tc>
          <w:tcPr>
            <w:tcW w:w="617" w:type="pct"/>
            <w:shd w:val="clear" w:color="auto" w:fill="DEEAF6" w:themeFill="accent1" w:themeFillTint="33"/>
            <w:vAlign w:val="center"/>
            <w:hideMark/>
          </w:tcPr>
          <w:p w14:paraId="5F9D4154" w14:textId="77777777" w:rsidR="00E8617E" w:rsidRPr="00BC513A" w:rsidRDefault="00E8617E" w:rsidP="00922731">
            <w:pPr>
              <w:spacing w:after="0" w:line="240" w:lineRule="auto"/>
              <w:jc w:val="center"/>
              <w:rPr>
                <w:rFonts w:ascii="Arial" w:hAnsi="Arial" w:cs="Arial"/>
                <w:b/>
                <w:color w:val="000000"/>
                <w:sz w:val="18"/>
                <w:szCs w:val="18"/>
              </w:rPr>
            </w:pPr>
            <w:r w:rsidRPr="00BC513A">
              <w:rPr>
                <w:rFonts w:ascii="Arial" w:hAnsi="Arial" w:cs="Arial"/>
                <w:b/>
                <w:color w:val="000000"/>
                <w:sz w:val="18"/>
                <w:szCs w:val="18"/>
              </w:rPr>
              <w:t>787458</w:t>
            </w:r>
          </w:p>
        </w:tc>
        <w:tc>
          <w:tcPr>
            <w:tcW w:w="538" w:type="pct"/>
            <w:shd w:val="clear" w:color="auto" w:fill="DEEAF6" w:themeFill="accent1" w:themeFillTint="33"/>
            <w:vAlign w:val="center"/>
            <w:hideMark/>
          </w:tcPr>
          <w:p w14:paraId="2EE021F7" w14:textId="77777777" w:rsidR="00E8617E" w:rsidRPr="00BC513A" w:rsidRDefault="00E8617E" w:rsidP="00922731">
            <w:pPr>
              <w:spacing w:after="0" w:line="240" w:lineRule="auto"/>
              <w:jc w:val="center"/>
              <w:rPr>
                <w:rFonts w:ascii="Arial" w:hAnsi="Arial" w:cs="Arial"/>
                <w:b/>
                <w:color w:val="000000"/>
                <w:sz w:val="18"/>
                <w:szCs w:val="18"/>
              </w:rPr>
            </w:pPr>
            <w:r w:rsidRPr="00BC513A">
              <w:rPr>
                <w:rFonts w:ascii="Arial" w:hAnsi="Arial" w:cs="Arial"/>
                <w:b/>
                <w:color w:val="000000"/>
                <w:sz w:val="18"/>
                <w:szCs w:val="18"/>
              </w:rPr>
              <w:t>104741</w:t>
            </w:r>
          </w:p>
        </w:tc>
        <w:tc>
          <w:tcPr>
            <w:tcW w:w="421" w:type="pct"/>
            <w:shd w:val="clear" w:color="auto" w:fill="DEEAF6" w:themeFill="accent1" w:themeFillTint="33"/>
            <w:vAlign w:val="center"/>
            <w:hideMark/>
          </w:tcPr>
          <w:p w14:paraId="6783C12B" w14:textId="77777777" w:rsidR="00E8617E" w:rsidRPr="00BC513A" w:rsidRDefault="00E8617E" w:rsidP="00922731">
            <w:pPr>
              <w:spacing w:after="0" w:line="240" w:lineRule="auto"/>
              <w:jc w:val="center"/>
              <w:rPr>
                <w:rFonts w:ascii="Arial" w:hAnsi="Arial" w:cs="Arial"/>
                <w:b/>
                <w:color w:val="000000"/>
                <w:sz w:val="18"/>
                <w:szCs w:val="18"/>
              </w:rPr>
            </w:pPr>
            <w:r w:rsidRPr="00BC513A">
              <w:rPr>
                <w:rFonts w:ascii="Arial" w:hAnsi="Arial" w:cs="Arial"/>
                <w:b/>
                <w:color w:val="000000"/>
                <w:sz w:val="18"/>
                <w:szCs w:val="18"/>
              </w:rPr>
              <w:t>212474</w:t>
            </w:r>
          </w:p>
        </w:tc>
      </w:tr>
    </w:tbl>
    <w:p w14:paraId="5A68BA92" w14:textId="77777777" w:rsidR="00E8617E" w:rsidRPr="00AE71CA" w:rsidRDefault="00E8617E" w:rsidP="00E8617E">
      <w:pPr>
        <w:rPr>
          <w:b/>
          <w:sz w:val="18"/>
          <w:szCs w:val="18"/>
        </w:rPr>
      </w:pPr>
      <w:r w:rsidRPr="00AE71CA">
        <w:rPr>
          <w:rFonts w:ascii="Arial" w:hAnsi="Arial" w:cs="Arial"/>
          <w:sz w:val="18"/>
          <w:szCs w:val="18"/>
        </w:rPr>
        <w:t>Източник: МЗХГ</w:t>
      </w:r>
    </w:p>
    <w:p w14:paraId="7ECA5BB6"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 xml:space="preserve">Сектор „Полски култури” е получил по мярката почти 49% от публичното подпомагане и на тях се падат около 52% от направените общи инвестиции. Останалите 9 сектора си разпределят останалата част от помощта и направените инвестиции. Най-голямо съотношение между получена подкрепа и направени инвестиции има при трайните насаждения, които са получили 9% от подпомагането и на тях се падат 10% от инвестициите. Сектор „Мляко” се нарежда на 2 място след „Полските култури” по получено най-много подпомагане – 18% от публичната помощ и допринасят с 16% в осъществените инвестиции. Сектор „Мляко” формира в БДС от земеделие в страната около 10-15%, като потенциалът на този сектор в миналото е бил по-голям. За да се достигне този потенциал е необходимо не просто увеличаване на средствата за сектора, а правилното им разпределение, което може да стане с подпомагане преструктурирането и модернизирането на по-голяма съвкупност от жизнеспособни стопанства, така както е предвидено при гарантираните бюджети. </w:t>
      </w:r>
    </w:p>
    <w:p w14:paraId="342D4BCE"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По отношение типовете инвестиции, доминират инвестициите в машини и оборудване, които преобладават при почти всички производства. Субсидирането на техника съставлява 69% от цялата инвестиционна подкрепа и 71% от всички инвестиции направени по мярката. От гледна точка на необходимостта към етапа на развитие на българското земеделие това е до голяма степен резонно и оправдано.</w:t>
      </w:r>
    </w:p>
    <w:p w14:paraId="48C1ECE3" w14:textId="5886D364"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Въздействието на мярката се измерва главно с увеличаване на икономическия растеж, създаване на добавена стойност и увеличаване на производителността на труда. Заложените цели по тези индикатори са създаване на нетна добавена стойност измерена чрез паритет на покупателна способност от 56 млн. евро и повишаване на производителността на труда на заетите в стопанствата с 905 евро. Заложените цели са много минимални и подценени, показвайки очаквана възвращаемост на добавената стойност към инвестициите под 6% и то в паритет на покупателна способност, който е между 25-30% по-висок от номиналната добавена стойност, което е и по-ниско от лихвените кредитни нива за периода. При такава възвращаемост ще е трудно обслужването на самофинансирането на инвестицията. Независимо от подценяването на индикаторните цели, преизпълнението на индикатора е огромно. Над 5,5 пъти е преизпълнението на индикатора за създаден икономически растеж и дори по базисни стойности възлиза на 5 пъти над заложеното. По отношение производителността на труда</w:t>
      </w:r>
      <w:r w:rsidR="00AF6033">
        <w:rPr>
          <w:sz w:val="22"/>
          <w:szCs w:val="22"/>
          <w:lang w:val="bg-BG"/>
        </w:rPr>
        <w:t xml:space="preserve"> по</w:t>
      </w:r>
      <w:r w:rsidRPr="00BC513A">
        <w:rPr>
          <w:sz w:val="22"/>
          <w:szCs w:val="22"/>
          <w:lang w:val="bg-BG"/>
        </w:rPr>
        <w:t xml:space="preserve"> приблизителни оценки последната нараства до 9 828 евро, което е 11 пъти над определената цел. </w:t>
      </w:r>
    </w:p>
    <w:p w14:paraId="52A98C24"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Поради липса на информация за обща заетост в подпомогнатите стопанства оценката на производителността е направена на база екстраполиране на средната заетост в подпомогнатите стопанства на база заетите в земеделието, наблюдавани по време на анкетно проучване на земеделските стопанства през 2012/2013 г.</w:t>
      </w:r>
    </w:p>
    <w:p w14:paraId="4D722C73" w14:textId="77777777" w:rsidR="00E8617E" w:rsidRPr="00BC513A" w:rsidRDefault="00E8617E" w:rsidP="007C3883">
      <w:pPr>
        <w:keepNext/>
        <w:spacing w:before="120" w:after="0" w:line="240" w:lineRule="auto"/>
        <w:jc w:val="both"/>
        <w:rPr>
          <w:rFonts w:ascii="Arial" w:hAnsi="Arial" w:cs="Arial"/>
          <w:b/>
          <w:color w:val="0070C0"/>
          <w:sz w:val="20"/>
          <w:szCs w:val="20"/>
        </w:rPr>
      </w:pPr>
      <w:bookmarkStart w:id="110" w:name="_Toc504136205"/>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33</w:t>
      </w:r>
      <w:r w:rsidRPr="00BC513A">
        <w:rPr>
          <w:rFonts w:ascii="Arial" w:hAnsi="Arial" w:cs="Arial"/>
          <w:b/>
          <w:color w:val="0070C0"/>
          <w:sz w:val="20"/>
          <w:szCs w:val="20"/>
        </w:rPr>
        <w:fldChar w:fldCharType="end"/>
      </w:r>
      <w:r w:rsidRPr="00BC513A">
        <w:rPr>
          <w:rFonts w:ascii="Arial" w:hAnsi="Arial" w:cs="Arial"/>
          <w:b/>
          <w:color w:val="0070C0"/>
          <w:sz w:val="20"/>
          <w:szCs w:val="20"/>
        </w:rPr>
        <w:t xml:space="preserve"> Изпълнение на индикаторите за въздействие по мярка 121</w:t>
      </w:r>
      <w:bookmarkEnd w:id="110"/>
    </w:p>
    <w:tbl>
      <w:tblPr>
        <w:tblW w:w="4925" w:type="pct"/>
        <w:tblInd w:w="70" w:type="dxa"/>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1641"/>
        <w:gridCol w:w="3178"/>
        <w:gridCol w:w="1276"/>
        <w:gridCol w:w="1417"/>
        <w:gridCol w:w="1561"/>
      </w:tblGrid>
      <w:tr w:rsidR="00E8617E" w:rsidRPr="00BC513A" w14:paraId="32E53D57" w14:textId="77777777" w:rsidTr="00922731">
        <w:trPr>
          <w:trHeight w:val="686"/>
        </w:trPr>
        <w:tc>
          <w:tcPr>
            <w:tcW w:w="904" w:type="pct"/>
            <w:shd w:val="clear" w:color="auto" w:fill="1F4E79" w:themeFill="accent1" w:themeFillShade="80"/>
            <w:noWrap/>
            <w:vAlign w:val="center"/>
            <w:hideMark/>
          </w:tcPr>
          <w:p w14:paraId="30201CC8"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751" w:type="pct"/>
            <w:shd w:val="clear" w:color="auto" w:fill="1F4E79" w:themeFill="accent1" w:themeFillShade="80"/>
            <w:vAlign w:val="center"/>
            <w:hideMark/>
          </w:tcPr>
          <w:p w14:paraId="5AFCF8C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703" w:type="pct"/>
            <w:shd w:val="clear" w:color="auto" w:fill="1F4E79" w:themeFill="accent1" w:themeFillShade="80"/>
            <w:noWrap/>
            <w:vAlign w:val="center"/>
            <w:hideMark/>
          </w:tcPr>
          <w:p w14:paraId="35E1A9A3"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81" w:type="pct"/>
            <w:shd w:val="clear" w:color="auto" w:fill="1F4E79" w:themeFill="accent1" w:themeFillShade="80"/>
            <w:vAlign w:val="center"/>
            <w:hideMark/>
          </w:tcPr>
          <w:p w14:paraId="2D35B1E6"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60" w:type="pct"/>
            <w:shd w:val="clear" w:color="auto" w:fill="1F4E79" w:themeFill="accent1" w:themeFillShade="80"/>
            <w:vAlign w:val="center"/>
          </w:tcPr>
          <w:p w14:paraId="7FF69CAB"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4BD07A42" w14:textId="77777777" w:rsidTr="007C3883">
        <w:trPr>
          <w:trHeight w:val="513"/>
        </w:trPr>
        <w:tc>
          <w:tcPr>
            <w:tcW w:w="904" w:type="pct"/>
            <w:vMerge w:val="restart"/>
            <w:shd w:val="clear" w:color="auto" w:fill="auto"/>
            <w:vAlign w:val="center"/>
            <w:hideMark/>
          </w:tcPr>
          <w:p w14:paraId="1F6EF7C4" w14:textId="77777777" w:rsidR="00E8617E" w:rsidRPr="00BC7D66" w:rsidRDefault="00E8617E" w:rsidP="00922731">
            <w:pPr>
              <w:spacing w:after="0" w:line="240" w:lineRule="auto"/>
              <w:jc w:val="center"/>
              <w:rPr>
                <w:rFonts w:ascii="Arial" w:eastAsia="Times New Roman" w:hAnsi="Arial" w:cs="Arial"/>
                <w:bCs/>
                <w:sz w:val="20"/>
                <w:szCs w:val="20"/>
                <w:lang w:eastAsia="bg-BG"/>
              </w:rPr>
            </w:pPr>
            <w:r w:rsidRPr="00BC7D66">
              <w:rPr>
                <w:rFonts w:ascii="Arial" w:eastAsia="Times New Roman" w:hAnsi="Arial" w:cs="Arial"/>
                <w:bCs/>
                <w:sz w:val="20"/>
                <w:szCs w:val="20"/>
                <w:lang w:eastAsia="bg-BG"/>
              </w:rPr>
              <w:t>Въздействие</w:t>
            </w:r>
          </w:p>
        </w:tc>
        <w:tc>
          <w:tcPr>
            <w:tcW w:w="1751" w:type="pct"/>
            <w:shd w:val="clear" w:color="auto" w:fill="auto"/>
            <w:vAlign w:val="center"/>
            <w:hideMark/>
          </w:tcPr>
          <w:p w14:paraId="7F23E6C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Икономически растеж (</w:t>
            </w:r>
            <w:r w:rsidRPr="00BC513A">
              <w:rPr>
                <w:rFonts w:ascii="Arial" w:hAnsi="Arial" w:cs="Arial"/>
                <w:sz w:val="20"/>
                <w:szCs w:val="20"/>
              </w:rPr>
              <w:t>∆НДС в млн. евро ППС)</w:t>
            </w:r>
          </w:p>
        </w:tc>
        <w:tc>
          <w:tcPr>
            <w:tcW w:w="703" w:type="pct"/>
            <w:shd w:val="clear" w:color="auto" w:fill="auto"/>
            <w:noWrap/>
            <w:vAlign w:val="center"/>
            <w:hideMark/>
          </w:tcPr>
          <w:p w14:paraId="1F59529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56</w:t>
            </w:r>
          </w:p>
        </w:tc>
        <w:tc>
          <w:tcPr>
            <w:tcW w:w="781" w:type="pct"/>
            <w:shd w:val="clear" w:color="auto" w:fill="auto"/>
            <w:vAlign w:val="center"/>
            <w:hideMark/>
          </w:tcPr>
          <w:p w14:paraId="40C111F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316</w:t>
            </w:r>
          </w:p>
        </w:tc>
        <w:tc>
          <w:tcPr>
            <w:tcW w:w="860" w:type="pct"/>
            <w:shd w:val="clear" w:color="auto" w:fill="auto"/>
            <w:vAlign w:val="center"/>
            <w:hideMark/>
          </w:tcPr>
          <w:p w14:paraId="49DA03CC"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564%</w:t>
            </w:r>
          </w:p>
        </w:tc>
      </w:tr>
      <w:tr w:rsidR="00E8617E" w:rsidRPr="00BC513A" w14:paraId="646D300F" w14:textId="77777777" w:rsidTr="007C3883">
        <w:trPr>
          <w:trHeight w:val="421"/>
        </w:trPr>
        <w:tc>
          <w:tcPr>
            <w:tcW w:w="904" w:type="pct"/>
            <w:vMerge/>
            <w:vAlign w:val="center"/>
            <w:hideMark/>
          </w:tcPr>
          <w:p w14:paraId="17EF04F4"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p>
        </w:tc>
        <w:tc>
          <w:tcPr>
            <w:tcW w:w="1751" w:type="pct"/>
            <w:shd w:val="clear" w:color="auto" w:fill="auto"/>
            <w:vAlign w:val="center"/>
            <w:hideMark/>
          </w:tcPr>
          <w:p w14:paraId="479DC95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Производителност на труда (</w:t>
            </w:r>
            <w:r w:rsidRPr="00BC513A">
              <w:rPr>
                <w:rFonts w:ascii="Arial" w:hAnsi="Arial" w:cs="Arial"/>
                <w:sz w:val="20"/>
                <w:szCs w:val="20"/>
              </w:rPr>
              <w:t>∆БДС/ГРЕ в евро)</w:t>
            </w:r>
          </w:p>
        </w:tc>
        <w:tc>
          <w:tcPr>
            <w:tcW w:w="703" w:type="pct"/>
            <w:shd w:val="clear" w:color="auto" w:fill="auto"/>
            <w:noWrap/>
            <w:vAlign w:val="center"/>
            <w:hideMark/>
          </w:tcPr>
          <w:p w14:paraId="0B424AD4"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905</w:t>
            </w:r>
          </w:p>
        </w:tc>
        <w:tc>
          <w:tcPr>
            <w:tcW w:w="781" w:type="pct"/>
            <w:shd w:val="clear" w:color="auto" w:fill="auto"/>
            <w:vAlign w:val="center"/>
            <w:hideMark/>
          </w:tcPr>
          <w:p w14:paraId="093D654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9 828</w:t>
            </w:r>
          </w:p>
        </w:tc>
        <w:tc>
          <w:tcPr>
            <w:tcW w:w="860" w:type="pct"/>
            <w:shd w:val="clear" w:color="auto" w:fill="auto"/>
            <w:vAlign w:val="center"/>
            <w:hideMark/>
          </w:tcPr>
          <w:p w14:paraId="136352D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1086%</w:t>
            </w:r>
          </w:p>
        </w:tc>
      </w:tr>
    </w:tbl>
    <w:p w14:paraId="4BD98D42" w14:textId="77777777" w:rsidR="00E8617E" w:rsidRPr="00AE71CA" w:rsidRDefault="00E8617E" w:rsidP="00E8617E">
      <w:pPr>
        <w:spacing w:after="0" w:line="300" w:lineRule="atLeast"/>
        <w:jc w:val="both"/>
        <w:rPr>
          <w:rFonts w:ascii="Arial" w:hAnsi="Arial" w:cs="Arial"/>
          <w:sz w:val="18"/>
          <w:szCs w:val="18"/>
        </w:rPr>
      </w:pPr>
      <w:r w:rsidRPr="00AE71CA">
        <w:rPr>
          <w:rFonts w:ascii="Arial" w:hAnsi="Arial" w:cs="Arial"/>
          <w:sz w:val="18"/>
          <w:szCs w:val="18"/>
        </w:rPr>
        <w:t>Източник: МЗХГ и собствени изчисления</w:t>
      </w:r>
    </w:p>
    <w:p w14:paraId="740D06B3"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Мярката допринася за многократно увеличаване на добавената стойност в подпомогнатите земеделски стопанства и допринася за силно увеличение на конкурентоспособността на тези стопанства чрез повишаване производителността на труда.</w:t>
      </w:r>
    </w:p>
    <w:p w14:paraId="32C6E62F"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122. Подобряване на икономическата стойност на горите</w:t>
      </w:r>
    </w:p>
    <w:p w14:paraId="137954F2" w14:textId="77777777" w:rsidR="00E8617E" w:rsidRPr="00BC513A"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 xml:space="preserve">Мярка 122 има за цел да подкрепи подобряването на икономическата стойност на горите. Около 34% от територията на България е покрита с гори и това е отрасъл, който има важно значение за местната икономика в определени райони на Южна България. В същото време делът на горската промишленост в икономиката на страната е незначителен – 0,3%-0,4%. </w:t>
      </w:r>
    </w:p>
    <w:p w14:paraId="30BC8069" w14:textId="0FEF9CC7" w:rsidR="00E8617E"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Мярката стартира на 1.12.2008 г</w:t>
      </w:r>
      <w:r w:rsidR="00AF6033">
        <w:rPr>
          <w:rFonts w:cs="Arial"/>
          <w:sz w:val="22"/>
          <w:szCs w:val="22"/>
          <w:lang w:val="bg-BG"/>
        </w:rPr>
        <w:t>.</w:t>
      </w:r>
      <w:r w:rsidRPr="00BC513A">
        <w:rPr>
          <w:rFonts w:cs="Arial"/>
          <w:sz w:val="22"/>
          <w:szCs w:val="22"/>
          <w:lang w:val="bg-BG"/>
        </w:rPr>
        <w:t xml:space="preserve"> с първоначален бюджет – 24 милиона евро общо публична помощ, който към края на </w:t>
      </w:r>
      <w:r w:rsidR="000F57E9">
        <w:rPr>
          <w:rFonts w:cs="Arial"/>
          <w:sz w:val="22"/>
          <w:szCs w:val="22"/>
          <w:lang w:val="bg-BG"/>
        </w:rPr>
        <w:t>п</w:t>
      </w:r>
      <w:r w:rsidRPr="00BC513A">
        <w:rPr>
          <w:rFonts w:cs="Arial"/>
          <w:sz w:val="22"/>
          <w:szCs w:val="22"/>
          <w:lang w:val="bg-BG"/>
        </w:rPr>
        <w:t xml:space="preserve">рограмата е редуциран значително на </w:t>
      </w:r>
      <w:r w:rsidR="00AF6033">
        <w:rPr>
          <w:rFonts w:cs="Arial"/>
          <w:sz w:val="22"/>
          <w:szCs w:val="22"/>
          <w:lang w:val="bg-BG"/>
        </w:rPr>
        <w:t xml:space="preserve">              </w:t>
      </w:r>
      <w:r w:rsidRPr="00BC513A">
        <w:rPr>
          <w:rFonts w:cs="Arial"/>
          <w:sz w:val="22"/>
          <w:szCs w:val="22"/>
          <w:lang w:val="bg-BG"/>
        </w:rPr>
        <w:t>556 хиляди евро общо публични средства</w:t>
      </w:r>
      <w:r w:rsidR="00AF6033">
        <w:rPr>
          <w:rFonts w:cs="Arial"/>
          <w:sz w:val="22"/>
          <w:szCs w:val="22"/>
          <w:lang w:val="bg-BG"/>
        </w:rPr>
        <w:t xml:space="preserve"> –</w:t>
      </w:r>
      <w:r w:rsidRPr="00BC513A">
        <w:rPr>
          <w:rFonts w:cs="Arial"/>
          <w:sz w:val="22"/>
          <w:szCs w:val="22"/>
          <w:lang w:val="bg-BG"/>
        </w:rPr>
        <w:t xml:space="preserve"> около 2,3% от първоначалния бюджет.</w:t>
      </w:r>
    </w:p>
    <w:p w14:paraId="606888C7" w14:textId="77777777" w:rsidR="007C3883" w:rsidRPr="00BC513A" w:rsidRDefault="007C3883" w:rsidP="00E8617E">
      <w:pPr>
        <w:pStyle w:val="DefaultText"/>
        <w:spacing w:before="120" w:line="300" w:lineRule="atLeast"/>
        <w:ind w:firstLine="709"/>
        <w:rPr>
          <w:sz w:val="22"/>
          <w:szCs w:val="22"/>
          <w:lang w:val="bg-BG"/>
        </w:rPr>
      </w:pPr>
    </w:p>
    <w:p w14:paraId="4A971456" w14:textId="77777777" w:rsidR="00E8617E" w:rsidRPr="00BC513A" w:rsidRDefault="00E8617E" w:rsidP="00E8617E">
      <w:pPr>
        <w:pStyle w:val="DefaultText"/>
        <w:keepNext/>
        <w:spacing w:before="240"/>
        <w:rPr>
          <w:rFonts w:cs="Arial"/>
          <w:b/>
          <w:color w:val="0070C0"/>
          <w:sz w:val="20"/>
          <w:szCs w:val="20"/>
          <w:lang w:val="bg-BG"/>
        </w:rPr>
      </w:pPr>
      <w:bookmarkStart w:id="111" w:name="_Toc391899911"/>
      <w:bookmarkStart w:id="112" w:name="_Toc504136206"/>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34</w:t>
      </w:r>
      <w:r w:rsidRPr="00BC513A">
        <w:rPr>
          <w:rFonts w:cs="Arial"/>
          <w:b/>
          <w:color w:val="0070C0"/>
          <w:sz w:val="20"/>
          <w:szCs w:val="20"/>
          <w:lang w:val="bg-BG"/>
        </w:rPr>
        <w:fldChar w:fldCharType="end"/>
      </w:r>
      <w:r w:rsidRPr="00BC513A">
        <w:rPr>
          <w:rFonts w:cs="Arial"/>
          <w:b/>
          <w:color w:val="0070C0"/>
          <w:sz w:val="20"/>
          <w:szCs w:val="20"/>
          <w:lang w:val="bg-BG"/>
        </w:rPr>
        <w:t>. Постигане на индикаторните цели по мярка 122</w:t>
      </w:r>
      <w:bookmarkEnd w:id="111"/>
      <w:bookmarkEnd w:id="112"/>
    </w:p>
    <w:tbl>
      <w:tblPr>
        <w:tblW w:w="5000" w:type="pct"/>
        <w:tblLayout w:type="fixed"/>
        <w:tblCellMar>
          <w:left w:w="70" w:type="dxa"/>
          <w:right w:w="70" w:type="dxa"/>
        </w:tblCellMar>
        <w:tblLook w:val="04A0" w:firstRow="1" w:lastRow="0" w:firstColumn="1" w:lastColumn="0" w:noHBand="0" w:noVBand="1"/>
      </w:tblPr>
      <w:tblGrid>
        <w:gridCol w:w="1423"/>
        <w:gridCol w:w="2903"/>
        <w:gridCol w:w="1540"/>
        <w:gridCol w:w="726"/>
        <w:gridCol w:w="1418"/>
        <w:gridCol w:w="1201"/>
      </w:tblGrid>
      <w:tr w:rsidR="00E8617E" w:rsidRPr="00BC513A" w14:paraId="6D0B4CA8" w14:textId="77777777" w:rsidTr="00922731">
        <w:trPr>
          <w:trHeight w:val="726"/>
        </w:trPr>
        <w:tc>
          <w:tcPr>
            <w:tcW w:w="772" w:type="pct"/>
            <w:tcBorders>
              <w:top w:val="single" w:sz="4" w:space="0" w:color="auto"/>
              <w:left w:val="single" w:sz="4" w:space="0" w:color="auto"/>
              <w:bottom w:val="single" w:sz="6" w:space="0" w:color="595959"/>
              <w:right w:val="single" w:sz="4" w:space="0" w:color="auto"/>
            </w:tcBorders>
            <w:shd w:val="clear" w:color="auto" w:fill="1F4E79" w:themeFill="accent1" w:themeFillShade="80"/>
            <w:vAlign w:val="center"/>
          </w:tcPr>
          <w:p w14:paraId="20F3F91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576" w:type="pct"/>
            <w:tcBorders>
              <w:top w:val="single" w:sz="4" w:space="0" w:color="auto"/>
              <w:left w:val="single" w:sz="4" w:space="0" w:color="auto"/>
              <w:bottom w:val="single" w:sz="6" w:space="0" w:color="595959"/>
              <w:right w:val="single" w:sz="6" w:space="0" w:color="595959"/>
            </w:tcBorders>
            <w:shd w:val="clear" w:color="auto" w:fill="1F4E79" w:themeFill="accent1" w:themeFillShade="80"/>
            <w:vAlign w:val="center"/>
            <w:hideMark/>
          </w:tcPr>
          <w:p w14:paraId="4AA6C223"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1230" w:type="pct"/>
            <w:gridSpan w:val="2"/>
            <w:tcBorders>
              <w:top w:val="single" w:sz="4" w:space="0" w:color="auto"/>
              <w:left w:val="single" w:sz="6" w:space="0" w:color="595959"/>
              <w:bottom w:val="single" w:sz="6" w:space="0" w:color="595959"/>
              <w:right w:val="single" w:sz="6" w:space="0" w:color="595959"/>
            </w:tcBorders>
            <w:shd w:val="clear" w:color="auto" w:fill="1F4E79" w:themeFill="accent1" w:themeFillShade="80"/>
            <w:vAlign w:val="center"/>
            <w:hideMark/>
          </w:tcPr>
          <w:p w14:paraId="7A72A50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70" w:type="pct"/>
            <w:tcBorders>
              <w:top w:val="single" w:sz="4" w:space="0" w:color="auto"/>
              <w:left w:val="single" w:sz="6" w:space="0" w:color="595959"/>
              <w:right w:val="single" w:sz="6" w:space="0" w:color="595959"/>
            </w:tcBorders>
            <w:shd w:val="clear" w:color="auto" w:fill="1F4E79" w:themeFill="accent1" w:themeFillShade="80"/>
            <w:vAlign w:val="center"/>
            <w:hideMark/>
          </w:tcPr>
          <w:p w14:paraId="1B33235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p w14:paraId="13DE9F70"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p>
        </w:tc>
        <w:tc>
          <w:tcPr>
            <w:tcW w:w="653" w:type="pct"/>
            <w:tcBorders>
              <w:top w:val="single" w:sz="4" w:space="0" w:color="auto"/>
              <w:left w:val="single" w:sz="6" w:space="0" w:color="595959"/>
              <w:right w:val="single" w:sz="4" w:space="0" w:color="auto"/>
            </w:tcBorders>
            <w:shd w:val="clear" w:color="auto" w:fill="1F4E79" w:themeFill="accent1" w:themeFillShade="80"/>
            <w:vAlign w:val="center"/>
          </w:tcPr>
          <w:p w14:paraId="5E974A53"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41339D6B" w14:textId="77777777" w:rsidTr="00922731">
        <w:trPr>
          <w:trHeight w:val="315"/>
        </w:trPr>
        <w:tc>
          <w:tcPr>
            <w:tcW w:w="772" w:type="pct"/>
            <w:vMerge w:val="restart"/>
            <w:tcBorders>
              <w:top w:val="single" w:sz="6" w:space="0" w:color="595959"/>
              <w:left w:val="single" w:sz="4" w:space="0" w:color="auto"/>
              <w:right w:val="single" w:sz="4" w:space="0" w:color="auto"/>
            </w:tcBorders>
            <w:vAlign w:val="center"/>
          </w:tcPr>
          <w:p w14:paraId="6588C88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Изходен</w:t>
            </w:r>
          </w:p>
        </w:tc>
        <w:tc>
          <w:tcPr>
            <w:tcW w:w="1576" w:type="pct"/>
            <w:vMerge w:val="restart"/>
            <w:tcBorders>
              <w:top w:val="single" w:sz="6" w:space="0" w:color="595959"/>
              <w:left w:val="single" w:sz="4" w:space="0" w:color="auto"/>
              <w:bottom w:val="single" w:sz="6" w:space="0" w:color="595959"/>
              <w:right w:val="single" w:sz="6" w:space="0" w:color="595959"/>
            </w:tcBorders>
            <w:shd w:val="clear" w:color="auto" w:fill="auto"/>
            <w:vAlign w:val="center"/>
            <w:hideMark/>
          </w:tcPr>
          <w:p w14:paraId="4B82F5C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горски стопанства получили инвестиционна подкрепа</w:t>
            </w:r>
          </w:p>
        </w:tc>
        <w:tc>
          <w:tcPr>
            <w:tcW w:w="836"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7A1BDFB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Частни собственици</w:t>
            </w:r>
          </w:p>
        </w:tc>
        <w:tc>
          <w:tcPr>
            <w:tcW w:w="394"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1A620BB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4 800</w:t>
            </w:r>
          </w:p>
        </w:tc>
        <w:tc>
          <w:tcPr>
            <w:tcW w:w="770"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3E68CAD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w:t>
            </w:r>
          </w:p>
        </w:tc>
        <w:tc>
          <w:tcPr>
            <w:tcW w:w="653" w:type="pct"/>
            <w:tcBorders>
              <w:top w:val="single" w:sz="6" w:space="0" w:color="595959"/>
              <w:left w:val="single" w:sz="6" w:space="0" w:color="595959"/>
              <w:bottom w:val="single" w:sz="6" w:space="0" w:color="595959"/>
              <w:right w:val="single" w:sz="4" w:space="0" w:color="auto"/>
            </w:tcBorders>
            <w:vAlign w:val="center"/>
          </w:tcPr>
          <w:p w14:paraId="553A8600"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r>
      <w:tr w:rsidR="00E8617E" w:rsidRPr="00BC513A" w14:paraId="6CD90C43" w14:textId="77777777" w:rsidTr="00922731">
        <w:trPr>
          <w:trHeight w:val="315"/>
        </w:trPr>
        <w:tc>
          <w:tcPr>
            <w:tcW w:w="772" w:type="pct"/>
            <w:vMerge/>
            <w:tcBorders>
              <w:left w:val="single" w:sz="4" w:space="0" w:color="auto"/>
              <w:right w:val="single" w:sz="4" w:space="0" w:color="auto"/>
            </w:tcBorders>
            <w:vAlign w:val="center"/>
          </w:tcPr>
          <w:p w14:paraId="742AEF87"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1576" w:type="pct"/>
            <w:vMerge/>
            <w:tcBorders>
              <w:top w:val="single" w:sz="6" w:space="0" w:color="595959"/>
              <w:left w:val="single" w:sz="4" w:space="0" w:color="auto"/>
              <w:bottom w:val="single" w:sz="6" w:space="0" w:color="595959"/>
              <w:right w:val="single" w:sz="6" w:space="0" w:color="595959"/>
            </w:tcBorders>
            <w:vAlign w:val="center"/>
            <w:hideMark/>
          </w:tcPr>
          <w:p w14:paraId="2E341032"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836"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1E5E154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Общини</w:t>
            </w:r>
          </w:p>
        </w:tc>
        <w:tc>
          <w:tcPr>
            <w:tcW w:w="394"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1A62E05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48</w:t>
            </w:r>
          </w:p>
        </w:tc>
        <w:tc>
          <w:tcPr>
            <w:tcW w:w="770"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5E4649F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6</w:t>
            </w:r>
          </w:p>
        </w:tc>
        <w:tc>
          <w:tcPr>
            <w:tcW w:w="653" w:type="pct"/>
            <w:tcBorders>
              <w:top w:val="single" w:sz="6" w:space="0" w:color="595959"/>
              <w:left w:val="single" w:sz="6" w:space="0" w:color="595959"/>
              <w:bottom w:val="single" w:sz="6" w:space="0" w:color="595959"/>
              <w:right w:val="single" w:sz="4" w:space="0" w:color="auto"/>
            </w:tcBorders>
            <w:vAlign w:val="center"/>
          </w:tcPr>
          <w:p w14:paraId="499178E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13%</w:t>
            </w:r>
          </w:p>
        </w:tc>
      </w:tr>
      <w:tr w:rsidR="00E8617E" w:rsidRPr="00BC513A" w14:paraId="03E0B52F" w14:textId="77777777" w:rsidTr="00922731">
        <w:trPr>
          <w:trHeight w:val="315"/>
        </w:trPr>
        <w:tc>
          <w:tcPr>
            <w:tcW w:w="772" w:type="pct"/>
            <w:vMerge/>
            <w:tcBorders>
              <w:left w:val="single" w:sz="4" w:space="0" w:color="auto"/>
              <w:right w:val="single" w:sz="4" w:space="0" w:color="auto"/>
            </w:tcBorders>
            <w:vAlign w:val="center"/>
          </w:tcPr>
          <w:p w14:paraId="5DB86352"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1576" w:type="pct"/>
            <w:vMerge w:val="restart"/>
            <w:tcBorders>
              <w:top w:val="single" w:sz="6" w:space="0" w:color="595959"/>
              <w:left w:val="single" w:sz="4" w:space="0" w:color="auto"/>
              <w:bottom w:val="single" w:sz="6" w:space="0" w:color="595959"/>
              <w:right w:val="single" w:sz="6" w:space="0" w:color="595959"/>
            </w:tcBorders>
            <w:shd w:val="clear" w:color="auto" w:fill="auto"/>
            <w:vAlign w:val="center"/>
            <w:hideMark/>
          </w:tcPr>
          <w:p w14:paraId="05C719B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Общ обем на инвестицията според вида но собствеността - хил. евро</w:t>
            </w:r>
          </w:p>
        </w:tc>
        <w:tc>
          <w:tcPr>
            <w:tcW w:w="836"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4232E5B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Частни собственици</w:t>
            </w:r>
          </w:p>
        </w:tc>
        <w:tc>
          <w:tcPr>
            <w:tcW w:w="394"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35A35B9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9 600</w:t>
            </w:r>
          </w:p>
        </w:tc>
        <w:tc>
          <w:tcPr>
            <w:tcW w:w="770"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56FDC64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64</w:t>
            </w:r>
          </w:p>
        </w:tc>
        <w:tc>
          <w:tcPr>
            <w:tcW w:w="653" w:type="pct"/>
            <w:tcBorders>
              <w:top w:val="single" w:sz="6" w:space="0" w:color="595959"/>
              <w:left w:val="single" w:sz="6" w:space="0" w:color="595959"/>
              <w:bottom w:val="single" w:sz="6" w:space="0" w:color="595959"/>
              <w:right w:val="single" w:sz="4" w:space="0" w:color="auto"/>
            </w:tcBorders>
            <w:vAlign w:val="center"/>
          </w:tcPr>
          <w:p w14:paraId="60ADBAB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w:t>
            </w:r>
          </w:p>
        </w:tc>
      </w:tr>
      <w:tr w:rsidR="00E8617E" w:rsidRPr="00BC513A" w14:paraId="556B78A9" w14:textId="77777777" w:rsidTr="00922731">
        <w:trPr>
          <w:trHeight w:val="548"/>
        </w:trPr>
        <w:tc>
          <w:tcPr>
            <w:tcW w:w="772" w:type="pct"/>
            <w:vMerge/>
            <w:tcBorders>
              <w:left w:val="single" w:sz="4" w:space="0" w:color="auto"/>
              <w:bottom w:val="single" w:sz="6" w:space="0" w:color="595959"/>
              <w:right w:val="single" w:sz="4" w:space="0" w:color="auto"/>
            </w:tcBorders>
            <w:vAlign w:val="center"/>
          </w:tcPr>
          <w:p w14:paraId="5E93701D"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1576" w:type="pct"/>
            <w:vMerge/>
            <w:tcBorders>
              <w:top w:val="single" w:sz="6" w:space="0" w:color="595959"/>
              <w:left w:val="single" w:sz="4" w:space="0" w:color="auto"/>
              <w:bottom w:val="single" w:sz="6" w:space="0" w:color="595959"/>
              <w:right w:val="single" w:sz="6" w:space="0" w:color="595959"/>
            </w:tcBorders>
            <w:vAlign w:val="center"/>
            <w:hideMark/>
          </w:tcPr>
          <w:p w14:paraId="5940F089"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836"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2B58961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Общини</w:t>
            </w:r>
          </w:p>
        </w:tc>
        <w:tc>
          <w:tcPr>
            <w:tcW w:w="394"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0083579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9 600</w:t>
            </w:r>
          </w:p>
        </w:tc>
        <w:tc>
          <w:tcPr>
            <w:tcW w:w="770"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49C3DDC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980</w:t>
            </w:r>
          </w:p>
        </w:tc>
        <w:tc>
          <w:tcPr>
            <w:tcW w:w="653" w:type="pct"/>
            <w:tcBorders>
              <w:top w:val="single" w:sz="6" w:space="0" w:color="595959"/>
              <w:left w:val="single" w:sz="6" w:space="0" w:color="595959"/>
              <w:bottom w:val="single" w:sz="6" w:space="0" w:color="595959"/>
              <w:right w:val="single" w:sz="4" w:space="0" w:color="auto"/>
            </w:tcBorders>
            <w:vAlign w:val="center"/>
          </w:tcPr>
          <w:p w14:paraId="7A20BFD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10%</w:t>
            </w:r>
          </w:p>
        </w:tc>
      </w:tr>
      <w:tr w:rsidR="00E8617E" w:rsidRPr="00BC513A" w14:paraId="6E3DCBD2" w14:textId="77777777" w:rsidTr="00922731">
        <w:trPr>
          <w:trHeight w:val="710"/>
        </w:trPr>
        <w:tc>
          <w:tcPr>
            <w:tcW w:w="772" w:type="pct"/>
            <w:tcBorders>
              <w:top w:val="single" w:sz="6" w:space="0" w:color="595959"/>
              <w:left w:val="single" w:sz="4" w:space="0" w:color="auto"/>
              <w:bottom w:val="single" w:sz="4" w:space="0" w:color="auto"/>
              <w:right w:val="single" w:sz="4" w:space="0" w:color="auto"/>
            </w:tcBorders>
            <w:vAlign w:val="center"/>
          </w:tcPr>
          <w:p w14:paraId="1700CD0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Резултат</w:t>
            </w:r>
          </w:p>
        </w:tc>
        <w:tc>
          <w:tcPr>
            <w:tcW w:w="1576" w:type="pct"/>
            <w:tcBorders>
              <w:top w:val="single" w:sz="6" w:space="0" w:color="595959"/>
              <w:left w:val="single" w:sz="4" w:space="0" w:color="auto"/>
              <w:bottom w:val="single" w:sz="4" w:space="0" w:color="auto"/>
              <w:right w:val="single" w:sz="6" w:space="0" w:color="595959"/>
            </w:tcBorders>
            <w:shd w:val="clear" w:color="auto" w:fill="auto"/>
            <w:vAlign w:val="center"/>
            <w:hideMark/>
          </w:tcPr>
          <w:p w14:paraId="14C6530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на стопанствата, въвеждащи нови продукти и/или техники</w:t>
            </w:r>
          </w:p>
        </w:tc>
        <w:tc>
          <w:tcPr>
            <w:tcW w:w="1230" w:type="pct"/>
            <w:gridSpan w:val="2"/>
            <w:tcBorders>
              <w:top w:val="single" w:sz="6" w:space="0" w:color="595959"/>
              <w:left w:val="single" w:sz="6" w:space="0" w:color="595959"/>
              <w:bottom w:val="single" w:sz="4" w:space="0" w:color="auto"/>
              <w:right w:val="single" w:sz="6" w:space="0" w:color="595959"/>
            </w:tcBorders>
            <w:shd w:val="clear" w:color="auto" w:fill="auto"/>
            <w:noWrap/>
            <w:vAlign w:val="center"/>
            <w:hideMark/>
          </w:tcPr>
          <w:p w14:paraId="176BB99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480</w:t>
            </w:r>
          </w:p>
        </w:tc>
        <w:tc>
          <w:tcPr>
            <w:tcW w:w="770" w:type="pct"/>
            <w:tcBorders>
              <w:top w:val="single" w:sz="6" w:space="0" w:color="595959"/>
              <w:left w:val="single" w:sz="6" w:space="0" w:color="595959"/>
              <w:bottom w:val="single" w:sz="4" w:space="0" w:color="auto"/>
              <w:right w:val="single" w:sz="6" w:space="0" w:color="595959"/>
            </w:tcBorders>
            <w:shd w:val="clear" w:color="auto" w:fill="auto"/>
            <w:noWrap/>
            <w:vAlign w:val="center"/>
            <w:hideMark/>
          </w:tcPr>
          <w:p w14:paraId="1ABC8AD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653" w:type="pct"/>
            <w:tcBorders>
              <w:top w:val="single" w:sz="6" w:space="0" w:color="595959"/>
              <w:left w:val="single" w:sz="6" w:space="0" w:color="595959"/>
              <w:bottom w:val="single" w:sz="4" w:space="0" w:color="auto"/>
              <w:right w:val="single" w:sz="4" w:space="0" w:color="auto"/>
            </w:tcBorders>
            <w:vAlign w:val="center"/>
          </w:tcPr>
          <w:p w14:paraId="4E27F70F"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r>
    </w:tbl>
    <w:p w14:paraId="53C11B2B" w14:textId="77777777" w:rsidR="00E8617E" w:rsidRPr="00AE71CA" w:rsidRDefault="00E8617E" w:rsidP="00E8617E">
      <w:pPr>
        <w:rPr>
          <w:rFonts w:ascii="Arial" w:hAnsi="Arial" w:cs="Arial"/>
          <w:sz w:val="18"/>
          <w:szCs w:val="18"/>
        </w:rPr>
      </w:pPr>
      <w:r w:rsidRPr="00AE71CA">
        <w:rPr>
          <w:rFonts w:ascii="Arial" w:hAnsi="Arial" w:cs="Arial"/>
          <w:sz w:val="18"/>
          <w:szCs w:val="18"/>
        </w:rPr>
        <w:t>Източник: МЗХГ</w:t>
      </w:r>
    </w:p>
    <w:p w14:paraId="323C1F68" w14:textId="5A3910AE" w:rsidR="00E8617E" w:rsidRPr="00BC513A" w:rsidRDefault="00E8617E" w:rsidP="00E8617E">
      <w:pPr>
        <w:pStyle w:val="DefaultText"/>
        <w:spacing w:before="120" w:line="300" w:lineRule="atLeast"/>
        <w:ind w:firstLine="709"/>
        <w:rPr>
          <w:rFonts w:cs="Arial"/>
          <w:sz w:val="22"/>
          <w:szCs w:val="22"/>
          <w:lang w:val="bg-BG"/>
        </w:rPr>
      </w:pPr>
      <w:r w:rsidRPr="00BC513A">
        <w:rPr>
          <w:sz w:val="22"/>
          <w:szCs w:val="22"/>
          <w:lang w:val="bg-BG"/>
        </w:rPr>
        <w:t xml:space="preserve">По отношение изходните и индикаторите за резултат по мярката се отчита незначително изпълнение. Това </w:t>
      </w:r>
      <w:r w:rsidRPr="00BC513A">
        <w:rPr>
          <w:rFonts w:cs="Arial"/>
          <w:sz w:val="22"/>
          <w:szCs w:val="22"/>
          <w:lang w:val="bg-BG"/>
        </w:rPr>
        <w:t xml:space="preserve">важи особено за частните собственици на гори. Едва 1 бенефициент с частни гори е бил одобрен, като голяма част от подадените заявления (общо 16) за подпомагане са отхвърлени, а за основна причина за това се посочват дребната по размер частна собственост и изискванията за допустимите кандидати </w:t>
      </w:r>
      <w:r w:rsidR="00AF6033">
        <w:rPr>
          <w:rFonts w:cs="Arial"/>
          <w:sz w:val="22"/>
          <w:szCs w:val="22"/>
          <w:lang w:val="bg-BG"/>
        </w:rPr>
        <w:t>–</w:t>
      </w:r>
      <w:r w:rsidRPr="00BC513A">
        <w:rPr>
          <w:rFonts w:cs="Arial"/>
          <w:sz w:val="22"/>
          <w:szCs w:val="22"/>
          <w:lang w:val="bg-BG"/>
        </w:rPr>
        <w:t xml:space="preserve"> кандидатстват собственици на гори, но не и ползватели. Отново ниско, но по-добро е изпълнението на целта с обхванатите общински горски стопанства, като от заложените 48 броя, такива проекти са реализирани в 6 общини или 13% от заложената цел. Общият обем на инвестициите по тази мярка е 1 030 хил. евро, като при инвестициите правени от общински дружества е постигнато изпълнение от 10%.</w:t>
      </w:r>
    </w:p>
    <w:p w14:paraId="478DAA01"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Оценката на въздействието на мярка 122 се следи по 2 индикатора – прибавяне на добавена стойност, изразена в стандарт на покупателна способност и производителност на труда на ГРЕ от БДС.</w:t>
      </w:r>
    </w:p>
    <w:p w14:paraId="20BFBE4F"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 xml:space="preserve">Първоначално заложените цели по мярката са постигне </w:t>
      </w:r>
      <w:r w:rsidR="00EC4265">
        <w:rPr>
          <w:sz w:val="22"/>
          <w:szCs w:val="22"/>
          <w:lang w:val="bg-BG"/>
        </w:rPr>
        <w:t xml:space="preserve">на </w:t>
      </w:r>
      <w:r w:rsidRPr="00BC513A">
        <w:rPr>
          <w:sz w:val="22"/>
          <w:szCs w:val="22"/>
          <w:lang w:val="bg-BG"/>
        </w:rPr>
        <w:t>9 млн. евро нетна добавена стойност в паритет на покупателна способност и да се постигне увеличение на добавената стойност на 1 ГРЕ с</w:t>
      </w:r>
      <w:r w:rsidR="00EC4265">
        <w:rPr>
          <w:sz w:val="22"/>
          <w:szCs w:val="22"/>
          <w:lang w:val="bg-BG"/>
        </w:rPr>
        <w:t>ъс</w:t>
      </w:r>
      <w:r w:rsidRPr="00BC513A">
        <w:rPr>
          <w:sz w:val="22"/>
          <w:szCs w:val="22"/>
          <w:lang w:val="bg-BG"/>
        </w:rPr>
        <w:t xml:space="preserve"> 115 евро. </w:t>
      </w:r>
    </w:p>
    <w:p w14:paraId="76F49D49"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В страната до началото на програмния период е имало създаден и натрупан значителен горски ресурс и усилията през този период са насочени по-скоро към неговото оползотворяване, отколкото към насочване в инвестиционни усилия.</w:t>
      </w:r>
    </w:p>
    <w:p w14:paraId="2142E964"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Възвращаемостта на труда през този период нараства значително, като увеличението е с около 2 900 евро на ГРЕ. Това увеличение превишава с около 25 пъти заложеното по мярката увеличение на добавената стойност на ГРЕ, което косвено дава основание да се твърди, че и в прилагащите мярката 7 стопанства е постигнат вероятно най-малкото тези нива, които са средни за отрасъла. Трябва да се отбележи, че увеличение на възвращаемостта на труда в горския отрасъл се постига благодарение не на намаление на заетите, които за периода между 2006-2015 г. се увеличават с около 10%, а на чувствителното увеличение на добавената стойност и силното нарастване на обемите на производство.</w:t>
      </w:r>
    </w:p>
    <w:p w14:paraId="1F005C26" w14:textId="77777777" w:rsidR="00E8617E" w:rsidRPr="00BC513A" w:rsidRDefault="00E8617E" w:rsidP="00E8617E">
      <w:pPr>
        <w:pStyle w:val="DefaultText"/>
        <w:spacing w:line="300" w:lineRule="atLeast"/>
        <w:rPr>
          <w:b/>
          <w:szCs w:val="22"/>
          <w:lang w:val="bg-BG"/>
        </w:rPr>
      </w:pPr>
    </w:p>
    <w:p w14:paraId="6BDBE7D5" w14:textId="77777777" w:rsidR="00E8617E" w:rsidRPr="00AE71CA" w:rsidRDefault="00E8617E" w:rsidP="00E8617E">
      <w:pPr>
        <w:pStyle w:val="DefaultText"/>
        <w:spacing w:after="120" w:line="300" w:lineRule="atLeast"/>
        <w:rPr>
          <w:rFonts w:cs="Arial"/>
          <w:i/>
          <w:szCs w:val="18"/>
          <w:lang w:val="bg-BG"/>
        </w:rPr>
      </w:pPr>
      <w:r w:rsidRPr="00AE71CA">
        <w:rPr>
          <w:szCs w:val="18"/>
          <w:lang w:val="bg-BG"/>
        </w:rPr>
        <w:object w:dxaOrig="9511" w:dyaOrig="5146" w14:anchorId="2F210B5D">
          <v:shape id="_x0000_i1028" type="#_x0000_t75" style="width:474.85pt;height:244.55pt" o:ole="">
            <v:imagedata r:id="rId41" o:title=""/>
          </v:shape>
          <o:OLEObject Type="Embed" ProgID="Excel.Sheet.12" ShapeID="_x0000_i1028" DrawAspect="Content" ObjectID="_1585652219" r:id="rId42"/>
        </w:object>
      </w:r>
      <w:r w:rsidRPr="00AE71CA">
        <w:rPr>
          <w:rFonts w:cs="Arial"/>
          <w:szCs w:val="18"/>
          <w:lang w:val="bg-BG"/>
        </w:rPr>
        <w:t>Източник: Евростат</w:t>
      </w:r>
    </w:p>
    <w:p w14:paraId="6E59C1E6" w14:textId="77777777" w:rsidR="00E8617E" w:rsidRPr="00BC513A" w:rsidRDefault="00E8617E" w:rsidP="00E8617E">
      <w:pPr>
        <w:pStyle w:val="Caption"/>
        <w:keepNext/>
        <w:spacing w:after="240"/>
        <w:jc w:val="center"/>
        <w:rPr>
          <w:rFonts w:ascii="Arial" w:hAnsi="Arial" w:cs="Arial"/>
          <w:b/>
          <w:i w:val="0"/>
          <w:color w:val="0070C0"/>
          <w:sz w:val="20"/>
          <w:szCs w:val="20"/>
        </w:rPr>
      </w:pPr>
      <w:bookmarkStart w:id="113" w:name="_Toc506984715"/>
      <w:r w:rsidRPr="00BC513A">
        <w:rPr>
          <w:rFonts w:ascii="Arial" w:hAnsi="Arial" w:cs="Arial"/>
          <w:b/>
          <w:i w:val="0"/>
          <w:color w:val="0070C0"/>
          <w:sz w:val="20"/>
          <w:szCs w:val="20"/>
        </w:rPr>
        <w:t xml:space="preserve">Фигура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Фигура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9</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Нетна добавена стойност и възвращаемост на труда в горския отрасъл</w:t>
      </w:r>
      <w:bookmarkEnd w:id="113"/>
    </w:p>
    <w:p w14:paraId="04708793"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Оценка за въздействие по мярката е трудно да се направи защото първо, одобрените и прилагани проекти са малобройни</w:t>
      </w:r>
      <w:r w:rsidR="00EC4265">
        <w:rPr>
          <w:sz w:val="22"/>
          <w:szCs w:val="22"/>
          <w:lang w:val="bg-BG"/>
        </w:rPr>
        <w:t>,</w:t>
      </w:r>
      <w:r w:rsidRPr="00BC513A">
        <w:rPr>
          <w:sz w:val="22"/>
          <w:szCs w:val="22"/>
          <w:lang w:val="bg-BG"/>
        </w:rPr>
        <w:t xml:space="preserve"> и второ</w:t>
      </w:r>
      <w:r w:rsidR="00EC4265">
        <w:rPr>
          <w:sz w:val="22"/>
          <w:szCs w:val="22"/>
          <w:lang w:val="bg-BG"/>
        </w:rPr>
        <w:t>,</w:t>
      </w:r>
      <w:r w:rsidRPr="00BC513A">
        <w:rPr>
          <w:sz w:val="22"/>
          <w:szCs w:val="22"/>
          <w:lang w:val="bg-BG"/>
        </w:rPr>
        <w:t xml:space="preserve"> липсват конкретни данни за следене и измерване на това въздействие. Паралелно с това, отрасълът през този период постига значителен икономически ръст и подем, което дава основание да се предполага, че малкото на брой</w:t>
      </w:r>
      <w:r w:rsidR="00EC4265">
        <w:rPr>
          <w:sz w:val="22"/>
          <w:szCs w:val="22"/>
          <w:lang w:val="bg-BG"/>
        </w:rPr>
        <w:t>,</w:t>
      </w:r>
      <w:r w:rsidRPr="00BC513A">
        <w:rPr>
          <w:sz w:val="22"/>
          <w:szCs w:val="22"/>
          <w:lang w:val="bg-BG"/>
        </w:rPr>
        <w:t xml:space="preserve"> изпълнили проекти по мярката</w:t>
      </w:r>
      <w:r w:rsidR="00EC4265">
        <w:rPr>
          <w:sz w:val="22"/>
          <w:szCs w:val="22"/>
          <w:lang w:val="bg-BG"/>
        </w:rPr>
        <w:t>,</w:t>
      </w:r>
      <w:r w:rsidRPr="00BC513A">
        <w:rPr>
          <w:sz w:val="22"/>
          <w:szCs w:val="22"/>
          <w:lang w:val="bg-BG"/>
        </w:rPr>
        <w:t xml:space="preserve"> са успели да постигнат високи, в унисон с отрасловите тенденции</w:t>
      </w:r>
      <w:r w:rsidR="00EC4265">
        <w:rPr>
          <w:sz w:val="22"/>
          <w:szCs w:val="22"/>
          <w:lang w:val="bg-BG"/>
        </w:rPr>
        <w:t>,</w:t>
      </w:r>
      <w:r w:rsidRPr="00BC513A">
        <w:rPr>
          <w:sz w:val="22"/>
          <w:szCs w:val="22"/>
          <w:lang w:val="bg-BG"/>
        </w:rPr>
        <w:t xml:space="preserve"> резултати. Слабият интерес към мярката се обяснява с факта, че държавните предприятия в горския отрасъл не са били допустими за кандидатстване, а държавните гори съставляват около 74% от целия горски фонд. Останалата собственост се разпределя между общински и частни собственици. При частните собственици има голяма раздробеност, която демотивира дребните бенефициенти от кандидатстване за подобрение на потенциала на горите, при положение, че те нямат намерение да ползват този ресурс, защото извършването на такова ползване не е икономически издържано. Променящата се институционална среда през програмните години и проблемите със законоприлагането в отрасъла на горите също дават отражение върху слабото представяне по мярката.</w:t>
      </w:r>
    </w:p>
    <w:p w14:paraId="6C0DBEFB"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123. Добавяне на стойност към земеделски и горски продукти</w:t>
      </w:r>
    </w:p>
    <w:p w14:paraId="6664A64E" w14:textId="593C11B9" w:rsidR="00E8617E" w:rsidRPr="00BC513A"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Мярка 123 за добавяне на стойност към земеделски и горски продукти е отворена на 01.11.2008 г. Мярка 123, заедно с мярка 121</w:t>
      </w:r>
      <w:r w:rsidR="00EC4265">
        <w:rPr>
          <w:rFonts w:cs="Arial"/>
          <w:sz w:val="22"/>
          <w:szCs w:val="22"/>
          <w:lang w:val="bg-BG"/>
        </w:rPr>
        <w:t>,</w:t>
      </w:r>
      <w:r w:rsidRPr="00BC513A">
        <w:rPr>
          <w:rFonts w:cs="Arial"/>
          <w:sz w:val="22"/>
          <w:szCs w:val="22"/>
          <w:lang w:val="bg-BG"/>
        </w:rPr>
        <w:t xml:space="preserve"> са сред инвестиционните инструменти, привличащи най-голям интерес сред бенефициентите. Това е и другата мярка, която още в началото се ползва с втория най-голям заделен бюджет по ос 1. Бюджетът по мярката е 240 милиона евро. В края на отчетния период, общият финансов ресурс е намален на 208  милиона евро. Този бюджет възлиза на 22,4% от бюджета на ос 1. Независимо, че абсолютния</w:t>
      </w:r>
      <w:r w:rsidR="00EC4265">
        <w:rPr>
          <w:rFonts w:cs="Arial"/>
          <w:sz w:val="22"/>
          <w:szCs w:val="22"/>
          <w:lang w:val="bg-BG"/>
        </w:rPr>
        <w:t>т</w:t>
      </w:r>
      <w:r w:rsidRPr="00BC513A">
        <w:rPr>
          <w:rFonts w:cs="Arial"/>
          <w:sz w:val="22"/>
          <w:szCs w:val="22"/>
          <w:lang w:val="bg-BG"/>
        </w:rPr>
        <w:t xml:space="preserve"> бюджет по мярката намалява, то в относително изражение делът на средствата по М123 се увеличава от 20% на 22,4%, което се дължи на намаляване на финансовия план на ос 1 от 1,2 млрд евро на почти 930 млн. евро общо публични средства.</w:t>
      </w:r>
    </w:p>
    <w:p w14:paraId="3E4CF9BE" w14:textId="77777777" w:rsidR="00E8617E" w:rsidRPr="00BC513A"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Мярката има добро финансово изпълнение, като реално автоматично отчислените средства са около 15%, което е по-малко в сравнение със средно  загубените средства за ос 1.</w:t>
      </w:r>
    </w:p>
    <w:p w14:paraId="2A15CE15" w14:textId="799F4339" w:rsidR="00E8617E" w:rsidRPr="00BC513A"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Изпълнението на индикаторите по мярката показва високо ниво на постигане на заложените цели както по отношение на изходните индикатори, така и по тези за резултат. От подадените по мярката 620 проект</w:t>
      </w:r>
      <w:r w:rsidR="00EC4265">
        <w:rPr>
          <w:rFonts w:cs="Arial"/>
          <w:sz w:val="22"/>
          <w:szCs w:val="22"/>
          <w:lang w:val="bg-BG"/>
        </w:rPr>
        <w:t>н</w:t>
      </w:r>
      <w:r w:rsidRPr="00BC513A">
        <w:rPr>
          <w:rFonts w:cs="Arial"/>
          <w:sz w:val="22"/>
          <w:szCs w:val="22"/>
          <w:lang w:val="bg-BG"/>
        </w:rPr>
        <w:t xml:space="preserve">и предложения са подпомогнати 455. По отношение на направените инвестиции се отчита изпълнение от 81% в сравнение със заложената цел от 539 хиляди евро. </w:t>
      </w:r>
    </w:p>
    <w:p w14:paraId="218FD03A" w14:textId="35A80675" w:rsidR="00E8617E" w:rsidRPr="00BC513A"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 xml:space="preserve">Инвестициите в хранително-вкусовата промишленост (ХВП) са жизненоважни за постигане на по-висока конкурентоспособност, имайки предвид, че в последните години секторите на ХВП в България се нареждат на последните три места сред </w:t>
      </w:r>
      <w:r w:rsidR="00EC4265">
        <w:rPr>
          <w:rFonts w:cs="Arial"/>
          <w:sz w:val="22"/>
          <w:szCs w:val="22"/>
          <w:lang w:val="bg-BG"/>
        </w:rPr>
        <w:t>държавите</w:t>
      </w:r>
      <w:r w:rsidR="007C3883">
        <w:rPr>
          <w:rFonts w:cs="Arial"/>
          <w:sz w:val="22"/>
          <w:szCs w:val="22"/>
          <w:lang w:val="bg-BG"/>
        </w:rPr>
        <w:t>-</w:t>
      </w:r>
      <w:r w:rsidRPr="00BC513A">
        <w:rPr>
          <w:rFonts w:cs="Arial"/>
          <w:sz w:val="22"/>
          <w:szCs w:val="22"/>
          <w:lang w:val="bg-BG"/>
        </w:rPr>
        <w:t>членки на ЕС по инвестиции и производителност на труда</w:t>
      </w:r>
      <w:r w:rsidRPr="00BC513A">
        <w:rPr>
          <w:rStyle w:val="FootnoteReference"/>
          <w:rFonts w:cs="Arial"/>
          <w:sz w:val="22"/>
          <w:szCs w:val="22"/>
          <w:lang w:val="bg-BG"/>
        </w:rPr>
        <w:footnoteReference w:id="25"/>
      </w:r>
      <w:r w:rsidRPr="00BC513A">
        <w:rPr>
          <w:rFonts w:cs="Arial"/>
          <w:sz w:val="22"/>
          <w:szCs w:val="22"/>
          <w:lang w:val="bg-BG"/>
        </w:rPr>
        <w:t>. По производителност на труда, измерена с добавената стойност на един зает</w:t>
      </w:r>
      <w:r w:rsidR="006F555B">
        <w:rPr>
          <w:rFonts w:cs="Arial"/>
          <w:sz w:val="22"/>
          <w:szCs w:val="22"/>
          <w:lang w:val="bg-BG"/>
        </w:rPr>
        <w:t>,</w:t>
      </w:r>
      <w:r w:rsidRPr="00BC513A">
        <w:rPr>
          <w:rFonts w:cs="Arial"/>
          <w:sz w:val="22"/>
          <w:szCs w:val="22"/>
          <w:lang w:val="bg-BG"/>
        </w:rPr>
        <w:t xml:space="preserve"> българската хранително-вкусова промишленост на този етап няма сравнително конкурентно предимство. За периода от началото на века до 2015 г. инвестициите в предприятията на ХВП са над 9 млрд. лв., което представлява 3,8% от общите инвестиции в страната за същия период. Ръстът на инвестициите в отрасъла за цитирания период е почти 2 пъти, но е по-нисък от този за страната, който е над 2,2 пъти.</w:t>
      </w:r>
    </w:p>
    <w:p w14:paraId="2533F752" w14:textId="77777777" w:rsidR="00E8617E" w:rsidRPr="00BC513A" w:rsidRDefault="00E8617E" w:rsidP="00E8617E">
      <w:pPr>
        <w:pStyle w:val="DefaultText"/>
        <w:keepNext/>
        <w:spacing w:before="240"/>
        <w:rPr>
          <w:rFonts w:cs="Arial"/>
          <w:b/>
          <w:color w:val="0070C0"/>
          <w:sz w:val="20"/>
          <w:szCs w:val="20"/>
          <w:lang w:val="bg-BG"/>
        </w:rPr>
      </w:pPr>
      <w:bookmarkStart w:id="114" w:name="_Toc504136207"/>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35</w:t>
      </w:r>
      <w:r w:rsidRPr="00BC513A">
        <w:rPr>
          <w:rFonts w:cs="Arial"/>
          <w:b/>
          <w:color w:val="0070C0"/>
          <w:sz w:val="20"/>
          <w:szCs w:val="20"/>
          <w:lang w:val="bg-BG"/>
        </w:rPr>
        <w:fldChar w:fldCharType="end"/>
      </w:r>
      <w:r w:rsidR="00047E2D">
        <w:rPr>
          <w:rFonts w:cs="Arial"/>
          <w:b/>
          <w:color w:val="0070C0"/>
          <w:sz w:val="20"/>
          <w:szCs w:val="20"/>
          <w:lang w:val="bg-BG"/>
        </w:rPr>
        <w:t>.</w:t>
      </w:r>
      <w:r w:rsidRPr="00BC513A">
        <w:rPr>
          <w:rFonts w:cs="Arial"/>
          <w:b/>
          <w:color w:val="0070C0"/>
          <w:sz w:val="20"/>
          <w:szCs w:val="20"/>
          <w:lang w:val="bg-BG"/>
        </w:rPr>
        <w:t xml:space="preserve"> Постигане на индикаторните цели по мярка 123</w:t>
      </w:r>
      <w:bookmarkEnd w:id="114"/>
    </w:p>
    <w:tbl>
      <w:tblPr>
        <w:tblW w:w="5000" w:type="pct"/>
        <w:tblLayout w:type="fixed"/>
        <w:tblCellMar>
          <w:left w:w="70" w:type="dxa"/>
          <w:right w:w="70" w:type="dxa"/>
        </w:tblCellMar>
        <w:tblLook w:val="04A0" w:firstRow="1" w:lastRow="0" w:firstColumn="1" w:lastColumn="0" w:noHBand="0" w:noVBand="1"/>
      </w:tblPr>
      <w:tblGrid>
        <w:gridCol w:w="1347"/>
        <w:gridCol w:w="3401"/>
        <w:gridCol w:w="1560"/>
        <w:gridCol w:w="1418"/>
        <w:gridCol w:w="1485"/>
      </w:tblGrid>
      <w:tr w:rsidR="00E8617E" w:rsidRPr="00BC513A" w14:paraId="6B536FA1" w14:textId="77777777" w:rsidTr="00922731">
        <w:trPr>
          <w:trHeight w:val="726"/>
        </w:trPr>
        <w:tc>
          <w:tcPr>
            <w:tcW w:w="731" w:type="pct"/>
            <w:tcBorders>
              <w:top w:val="single" w:sz="4" w:space="0" w:color="auto"/>
              <w:left w:val="single" w:sz="4" w:space="0" w:color="auto"/>
              <w:bottom w:val="single" w:sz="6" w:space="0" w:color="595959"/>
              <w:right w:val="single" w:sz="4" w:space="0" w:color="auto"/>
            </w:tcBorders>
            <w:shd w:val="clear" w:color="auto" w:fill="1F4E79" w:themeFill="accent1" w:themeFillShade="80"/>
            <w:vAlign w:val="center"/>
          </w:tcPr>
          <w:p w14:paraId="55A3CBB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846" w:type="pct"/>
            <w:tcBorders>
              <w:top w:val="single" w:sz="4" w:space="0" w:color="auto"/>
              <w:left w:val="single" w:sz="4" w:space="0" w:color="auto"/>
              <w:bottom w:val="single" w:sz="6" w:space="0" w:color="595959"/>
              <w:right w:val="single" w:sz="6" w:space="0" w:color="595959"/>
            </w:tcBorders>
            <w:shd w:val="clear" w:color="auto" w:fill="1F4E79" w:themeFill="accent1" w:themeFillShade="80"/>
            <w:vAlign w:val="center"/>
            <w:hideMark/>
          </w:tcPr>
          <w:p w14:paraId="07CC38C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847" w:type="pct"/>
            <w:tcBorders>
              <w:top w:val="single" w:sz="4" w:space="0" w:color="auto"/>
              <w:left w:val="single" w:sz="6" w:space="0" w:color="595959"/>
              <w:bottom w:val="single" w:sz="6" w:space="0" w:color="595959"/>
              <w:right w:val="single" w:sz="6" w:space="0" w:color="595959"/>
            </w:tcBorders>
            <w:shd w:val="clear" w:color="auto" w:fill="1F4E79" w:themeFill="accent1" w:themeFillShade="80"/>
            <w:vAlign w:val="center"/>
            <w:hideMark/>
          </w:tcPr>
          <w:p w14:paraId="40A9F9D6"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70" w:type="pct"/>
            <w:tcBorders>
              <w:top w:val="single" w:sz="4" w:space="0" w:color="auto"/>
              <w:left w:val="single" w:sz="6" w:space="0" w:color="595959"/>
              <w:right w:val="single" w:sz="6" w:space="0" w:color="595959"/>
            </w:tcBorders>
            <w:shd w:val="clear" w:color="auto" w:fill="1F4E79" w:themeFill="accent1" w:themeFillShade="80"/>
            <w:vAlign w:val="center"/>
            <w:hideMark/>
          </w:tcPr>
          <w:p w14:paraId="53E269A6"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06" w:type="pct"/>
            <w:tcBorders>
              <w:top w:val="single" w:sz="4" w:space="0" w:color="auto"/>
              <w:left w:val="single" w:sz="6" w:space="0" w:color="595959"/>
              <w:right w:val="single" w:sz="4" w:space="0" w:color="auto"/>
            </w:tcBorders>
            <w:shd w:val="clear" w:color="auto" w:fill="1F4E79" w:themeFill="accent1" w:themeFillShade="80"/>
            <w:vAlign w:val="center"/>
          </w:tcPr>
          <w:p w14:paraId="2FFBD62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5D89FF3D" w14:textId="77777777" w:rsidTr="00922731">
        <w:trPr>
          <w:trHeight w:val="420"/>
        </w:trPr>
        <w:tc>
          <w:tcPr>
            <w:tcW w:w="731" w:type="pct"/>
            <w:vMerge w:val="restart"/>
            <w:tcBorders>
              <w:top w:val="single" w:sz="6" w:space="0" w:color="595959"/>
              <w:left w:val="single" w:sz="4" w:space="0" w:color="auto"/>
              <w:right w:val="single" w:sz="4" w:space="0" w:color="auto"/>
            </w:tcBorders>
            <w:vAlign w:val="center"/>
          </w:tcPr>
          <w:p w14:paraId="7AEE6F0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Изходен</w:t>
            </w:r>
          </w:p>
        </w:tc>
        <w:tc>
          <w:tcPr>
            <w:tcW w:w="1846" w:type="pct"/>
            <w:tcBorders>
              <w:top w:val="single" w:sz="6" w:space="0" w:color="595959"/>
              <w:left w:val="single" w:sz="4" w:space="0" w:color="auto"/>
              <w:bottom w:val="single" w:sz="6" w:space="0" w:color="595959"/>
              <w:right w:val="single" w:sz="6" w:space="0" w:color="595959"/>
            </w:tcBorders>
            <w:shd w:val="clear" w:color="auto" w:fill="auto"/>
            <w:vAlign w:val="center"/>
            <w:hideMark/>
          </w:tcPr>
          <w:p w14:paraId="2826E71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подпомогнати предприятия</w:t>
            </w:r>
          </w:p>
        </w:tc>
        <w:tc>
          <w:tcPr>
            <w:tcW w:w="847" w:type="pct"/>
            <w:tcBorders>
              <w:top w:val="single" w:sz="6" w:space="0" w:color="595959"/>
              <w:left w:val="single" w:sz="6" w:space="0" w:color="595959"/>
              <w:right w:val="single" w:sz="6" w:space="0" w:color="595959"/>
            </w:tcBorders>
            <w:shd w:val="clear" w:color="auto" w:fill="auto"/>
            <w:noWrap/>
            <w:vAlign w:val="center"/>
            <w:hideMark/>
          </w:tcPr>
          <w:p w14:paraId="777B4A91"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620</w:t>
            </w:r>
          </w:p>
        </w:tc>
        <w:tc>
          <w:tcPr>
            <w:tcW w:w="770" w:type="pct"/>
            <w:tcBorders>
              <w:top w:val="single" w:sz="6" w:space="0" w:color="595959"/>
              <w:left w:val="single" w:sz="6" w:space="0" w:color="595959"/>
              <w:right w:val="single" w:sz="6" w:space="0" w:color="595959"/>
            </w:tcBorders>
            <w:shd w:val="clear" w:color="auto" w:fill="auto"/>
            <w:noWrap/>
            <w:vAlign w:val="center"/>
            <w:hideMark/>
          </w:tcPr>
          <w:p w14:paraId="4FE8A33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455</w:t>
            </w:r>
          </w:p>
        </w:tc>
        <w:tc>
          <w:tcPr>
            <w:tcW w:w="806" w:type="pct"/>
            <w:tcBorders>
              <w:top w:val="single" w:sz="6" w:space="0" w:color="595959"/>
              <w:left w:val="single" w:sz="6" w:space="0" w:color="595959"/>
              <w:right w:val="single" w:sz="4" w:space="0" w:color="auto"/>
            </w:tcBorders>
            <w:vAlign w:val="center"/>
          </w:tcPr>
          <w:p w14:paraId="2ACB8A6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73%</w:t>
            </w:r>
          </w:p>
        </w:tc>
      </w:tr>
      <w:tr w:rsidR="00E8617E" w:rsidRPr="00BC513A" w14:paraId="53CA527C" w14:textId="77777777" w:rsidTr="00922731">
        <w:trPr>
          <w:trHeight w:val="540"/>
        </w:trPr>
        <w:tc>
          <w:tcPr>
            <w:tcW w:w="731" w:type="pct"/>
            <w:vMerge/>
            <w:tcBorders>
              <w:left w:val="single" w:sz="4" w:space="0" w:color="auto"/>
              <w:right w:val="single" w:sz="4" w:space="0" w:color="auto"/>
            </w:tcBorders>
            <w:vAlign w:val="center"/>
          </w:tcPr>
          <w:p w14:paraId="1211B53C" w14:textId="77777777" w:rsidR="00E8617E" w:rsidRPr="00BC513A" w:rsidRDefault="00E8617E" w:rsidP="00922731">
            <w:pPr>
              <w:spacing w:after="0" w:line="240" w:lineRule="auto"/>
              <w:jc w:val="center"/>
              <w:rPr>
                <w:rFonts w:ascii="Arial" w:eastAsia="Times New Roman" w:hAnsi="Arial" w:cs="Arial"/>
                <w:sz w:val="20"/>
                <w:szCs w:val="20"/>
                <w:lang w:eastAsia="bg-BG"/>
              </w:rPr>
            </w:pPr>
          </w:p>
        </w:tc>
        <w:tc>
          <w:tcPr>
            <w:tcW w:w="1846" w:type="pct"/>
            <w:tcBorders>
              <w:top w:val="single" w:sz="6" w:space="0" w:color="595959"/>
              <w:left w:val="single" w:sz="4" w:space="0" w:color="auto"/>
              <w:bottom w:val="single" w:sz="6" w:space="0" w:color="595959"/>
              <w:right w:val="single" w:sz="6" w:space="0" w:color="595959"/>
            </w:tcBorders>
            <w:shd w:val="clear" w:color="auto" w:fill="auto"/>
            <w:vAlign w:val="center"/>
            <w:hideMark/>
          </w:tcPr>
          <w:p w14:paraId="4C626BC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 xml:space="preserve">Общ размер на инвестициите </w:t>
            </w:r>
            <w:r w:rsidRPr="00BC513A">
              <w:rPr>
                <w:rFonts w:ascii="Arial" w:eastAsia="Times New Roman" w:hAnsi="Arial" w:cs="Arial"/>
                <w:sz w:val="20"/>
                <w:szCs w:val="20"/>
                <w:u w:val="single"/>
                <w:lang w:eastAsia="bg-BG"/>
              </w:rPr>
              <w:t>без</w:t>
            </w:r>
            <w:r w:rsidRPr="00BC513A">
              <w:rPr>
                <w:rFonts w:ascii="Arial" w:eastAsia="Times New Roman" w:hAnsi="Arial" w:cs="Arial"/>
                <w:sz w:val="20"/>
                <w:szCs w:val="20"/>
                <w:lang w:eastAsia="bg-BG"/>
              </w:rPr>
              <w:t xml:space="preserve"> гаранционен фонд, (хил.евро)</w:t>
            </w:r>
          </w:p>
        </w:tc>
        <w:tc>
          <w:tcPr>
            <w:tcW w:w="847" w:type="pct"/>
            <w:tcBorders>
              <w:top w:val="single" w:sz="6" w:space="0" w:color="595959"/>
              <w:left w:val="single" w:sz="6" w:space="0" w:color="595959"/>
              <w:right w:val="single" w:sz="6" w:space="0" w:color="595959"/>
            </w:tcBorders>
            <w:shd w:val="clear" w:color="auto" w:fill="auto"/>
            <w:noWrap/>
            <w:vAlign w:val="center"/>
            <w:hideMark/>
          </w:tcPr>
          <w:p w14:paraId="76CCA45A"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539 168</w:t>
            </w:r>
          </w:p>
        </w:tc>
        <w:tc>
          <w:tcPr>
            <w:tcW w:w="770" w:type="pct"/>
            <w:tcBorders>
              <w:top w:val="single" w:sz="6" w:space="0" w:color="595959"/>
              <w:left w:val="single" w:sz="6" w:space="0" w:color="595959"/>
              <w:right w:val="single" w:sz="6" w:space="0" w:color="595959"/>
            </w:tcBorders>
            <w:shd w:val="clear" w:color="auto" w:fill="auto"/>
            <w:noWrap/>
            <w:vAlign w:val="center"/>
            <w:hideMark/>
          </w:tcPr>
          <w:p w14:paraId="23C9F759"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434 876</w:t>
            </w:r>
          </w:p>
        </w:tc>
        <w:tc>
          <w:tcPr>
            <w:tcW w:w="806" w:type="pct"/>
            <w:tcBorders>
              <w:top w:val="single" w:sz="6" w:space="0" w:color="595959"/>
              <w:left w:val="single" w:sz="6" w:space="0" w:color="595959"/>
              <w:right w:val="single" w:sz="4" w:space="0" w:color="auto"/>
            </w:tcBorders>
            <w:vAlign w:val="center"/>
          </w:tcPr>
          <w:p w14:paraId="1622E57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81%</w:t>
            </w:r>
          </w:p>
        </w:tc>
      </w:tr>
      <w:tr w:rsidR="00E8617E" w:rsidRPr="00BC513A" w14:paraId="38FF1FC0" w14:textId="77777777" w:rsidTr="00922731">
        <w:trPr>
          <w:trHeight w:val="548"/>
        </w:trPr>
        <w:tc>
          <w:tcPr>
            <w:tcW w:w="731" w:type="pct"/>
            <w:tcBorders>
              <w:top w:val="single" w:sz="6" w:space="0" w:color="595959"/>
              <w:left w:val="single" w:sz="4" w:space="0" w:color="auto"/>
              <w:bottom w:val="single" w:sz="4" w:space="0" w:color="auto"/>
              <w:right w:val="single" w:sz="4" w:space="0" w:color="auto"/>
            </w:tcBorders>
            <w:vAlign w:val="center"/>
          </w:tcPr>
          <w:p w14:paraId="13CB3EB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Резултат</w:t>
            </w:r>
          </w:p>
        </w:tc>
        <w:tc>
          <w:tcPr>
            <w:tcW w:w="1846" w:type="pct"/>
            <w:tcBorders>
              <w:top w:val="single" w:sz="6" w:space="0" w:color="595959"/>
              <w:left w:val="single" w:sz="4" w:space="0" w:color="auto"/>
              <w:bottom w:val="single" w:sz="4" w:space="0" w:color="auto"/>
              <w:right w:val="single" w:sz="6" w:space="0" w:color="595959"/>
            </w:tcBorders>
            <w:shd w:val="clear" w:color="auto" w:fill="auto"/>
            <w:vAlign w:val="center"/>
            <w:hideMark/>
          </w:tcPr>
          <w:p w14:paraId="7732640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предприятия, въвели нови продукти, процеси и технологии</w:t>
            </w:r>
          </w:p>
        </w:tc>
        <w:tc>
          <w:tcPr>
            <w:tcW w:w="847" w:type="pct"/>
            <w:tcBorders>
              <w:top w:val="single" w:sz="6" w:space="0" w:color="595959"/>
              <w:left w:val="single" w:sz="6" w:space="0" w:color="595959"/>
              <w:bottom w:val="single" w:sz="4" w:space="0" w:color="auto"/>
              <w:right w:val="single" w:sz="6" w:space="0" w:color="595959"/>
            </w:tcBorders>
            <w:shd w:val="clear" w:color="auto" w:fill="auto"/>
            <w:noWrap/>
            <w:vAlign w:val="center"/>
            <w:hideMark/>
          </w:tcPr>
          <w:p w14:paraId="6335119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400</w:t>
            </w:r>
          </w:p>
        </w:tc>
        <w:tc>
          <w:tcPr>
            <w:tcW w:w="770" w:type="pct"/>
            <w:tcBorders>
              <w:top w:val="single" w:sz="6" w:space="0" w:color="595959"/>
              <w:left w:val="single" w:sz="6" w:space="0" w:color="595959"/>
              <w:bottom w:val="single" w:sz="4" w:space="0" w:color="auto"/>
              <w:right w:val="single" w:sz="6" w:space="0" w:color="595959"/>
            </w:tcBorders>
            <w:shd w:val="clear" w:color="auto" w:fill="auto"/>
            <w:noWrap/>
            <w:vAlign w:val="center"/>
            <w:hideMark/>
          </w:tcPr>
          <w:p w14:paraId="05F01FE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457</w:t>
            </w:r>
          </w:p>
        </w:tc>
        <w:tc>
          <w:tcPr>
            <w:tcW w:w="806" w:type="pct"/>
            <w:tcBorders>
              <w:top w:val="single" w:sz="6" w:space="0" w:color="595959"/>
              <w:left w:val="single" w:sz="6" w:space="0" w:color="595959"/>
              <w:bottom w:val="single" w:sz="4" w:space="0" w:color="auto"/>
              <w:right w:val="single" w:sz="4" w:space="0" w:color="auto"/>
            </w:tcBorders>
            <w:vAlign w:val="center"/>
          </w:tcPr>
          <w:p w14:paraId="680593A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114%</w:t>
            </w:r>
          </w:p>
        </w:tc>
      </w:tr>
    </w:tbl>
    <w:p w14:paraId="2E71E2AA" w14:textId="77777777" w:rsidR="00E8617E" w:rsidRPr="00AE71CA" w:rsidRDefault="00E8617E" w:rsidP="00E8617E">
      <w:pPr>
        <w:rPr>
          <w:rFonts w:ascii="Arial" w:hAnsi="Arial" w:cs="Arial"/>
          <w:sz w:val="18"/>
          <w:szCs w:val="18"/>
        </w:rPr>
      </w:pPr>
      <w:r w:rsidRPr="00AE71CA">
        <w:rPr>
          <w:rFonts w:ascii="Arial" w:hAnsi="Arial" w:cs="Arial"/>
          <w:sz w:val="18"/>
          <w:szCs w:val="18"/>
        </w:rPr>
        <w:t>Източник: МЗХГ</w:t>
      </w:r>
    </w:p>
    <w:p w14:paraId="62116C65" w14:textId="77777777" w:rsidR="00E8617E" w:rsidRPr="00BC513A" w:rsidRDefault="00E8617E" w:rsidP="00E8617E">
      <w:pPr>
        <w:pStyle w:val="DefaultText"/>
        <w:ind w:firstLine="708"/>
        <w:rPr>
          <w:rFonts w:cs="Arial"/>
          <w:szCs w:val="22"/>
          <w:lang w:val="bg-BG"/>
        </w:rPr>
      </w:pPr>
      <w:r w:rsidRPr="00BC513A">
        <w:rPr>
          <w:rFonts w:cs="Arial"/>
          <w:sz w:val="22"/>
          <w:szCs w:val="22"/>
          <w:lang w:val="bg-BG"/>
        </w:rPr>
        <w:t>По сектори, разпределението на подпомогнатите предприятия е разнообразно и до голяма степен балансирано. Групата от предприятия, които са подпомогнати най-много по критерия „брой предприятия“ е в сектора на „Зърнени храни и мелничарски продукти”, които съставляват 19% от всички обхванати предприятия. В същото време предприятията в този сектор са получили 14% от помощта и са направили същият процент от инвестициите. Секторът „Плодове и зеленчуци” се нарежда на 2 място по брой на подпомогнати предприятия и на първо място по дял на публичното субсидиране и на направените инвестиции – 18%. Сектор „Вино” се нарежда на 3 място, като са подпомогнати 55 предприятия, а делът на направените инвестиции в общия обем на инвестициите е 15%.</w:t>
      </w:r>
    </w:p>
    <w:p w14:paraId="51785A53" w14:textId="77777777" w:rsidR="00E8617E" w:rsidRPr="00AE71CA" w:rsidRDefault="00E8617E" w:rsidP="00E8617E">
      <w:pPr>
        <w:spacing w:after="0" w:line="240" w:lineRule="auto"/>
        <w:rPr>
          <w:rFonts w:ascii="Arial" w:hAnsi="Arial" w:cs="Arial"/>
          <w:sz w:val="18"/>
          <w:szCs w:val="18"/>
        </w:rPr>
      </w:pPr>
      <w:r w:rsidRPr="00BC513A">
        <w:rPr>
          <w:rFonts w:ascii="Arial" w:hAnsi="Arial" w:cs="Arial"/>
          <w:i/>
          <w:sz w:val="20"/>
          <w:szCs w:val="20"/>
        </w:rPr>
        <w:object w:dxaOrig="9439" w:dyaOrig="4397" w14:anchorId="21BDC52E">
          <v:shape id="_x0000_i1029" type="#_x0000_t75" style="width:460.55pt;height:223.15pt" o:ole="">
            <v:imagedata r:id="rId43" o:title=""/>
          </v:shape>
          <o:OLEObject Type="Embed" ProgID="Excel.Sheet.12" ShapeID="_x0000_i1029" DrawAspect="Content" ObjectID="_1585652220" r:id="rId44"/>
        </w:object>
      </w:r>
      <w:r w:rsidRPr="00BC513A">
        <w:rPr>
          <w:rFonts w:ascii="Arial" w:hAnsi="Arial" w:cs="Arial"/>
          <w:i/>
          <w:sz w:val="20"/>
          <w:szCs w:val="20"/>
        </w:rPr>
        <w:t xml:space="preserve"> </w:t>
      </w:r>
      <w:r w:rsidRPr="00AE71CA">
        <w:rPr>
          <w:rFonts w:ascii="Arial" w:hAnsi="Arial" w:cs="Arial"/>
          <w:sz w:val="18"/>
          <w:szCs w:val="18"/>
        </w:rPr>
        <w:t>Източник: МЗХГ</w:t>
      </w:r>
    </w:p>
    <w:p w14:paraId="112DF0C1" w14:textId="77777777" w:rsidR="00E8617E" w:rsidRPr="00BC513A" w:rsidRDefault="00E8617E" w:rsidP="00E8617E">
      <w:pPr>
        <w:pStyle w:val="DefaultText"/>
        <w:jc w:val="center"/>
        <w:rPr>
          <w:rFonts w:cs="Arial"/>
          <w:b/>
          <w:color w:val="0070C0"/>
          <w:sz w:val="20"/>
          <w:szCs w:val="20"/>
          <w:lang w:val="bg-BG"/>
        </w:rPr>
      </w:pPr>
      <w:bookmarkStart w:id="115" w:name="_Toc506984716"/>
      <w:r w:rsidRPr="00BC513A">
        <w:rPr>
          <w:rFonts w:cs="Arial"/>
          <w:b/>
          <w:color w:val="0070C0"/>
          <w:sz w:val="20"/>
          <w:szCs w:val="20"/>
          <w:lang w:val="bg-BG"/>
        </w:rPr>
        <w:t xml:space="preserve">Фигура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Фигура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10</w:t>
      </w:r>
      <w:r w:rsidRPr="00BC513A">
        <w:rPr>
          <w:rFonts w:cs="Arial"/>
          <w:b/>
          <w:color w:val="0070C0"/>
          <w:sz w:val="20"/>
          <w:szCs w:val="20"/>
          <w:lang w:val="bg-BG"/>
        </w:rPr>
        <w:fldChar w:fldCharType="end"/>
      </w:r>
      <w:r w:rsidRPr="00BC513A">
        <w:rPr>
          <w:rFonts w:cs="Arial"/>
          <w:b/>
          <w:color w:val="0070C0"/>
          <w:sz w:val="20"/>
          <w:szCs w:val="20"/>
          <w:lang w:val="bg-BG"/>
        </w:rPr>
        <w:t>. Брой на подпомогнатите предприятия по сектори по мярка 123</w:t>
      </w:r>
      <w:bookmarkEnd w:id="115"/>
    </w:p>
    <w:p w14:paraId="2A79E459" w14:textId="77777777" w:rsidR="00E8617E" w:rsidRPr="00BC513A" w:rsidRDefault="00E8617E" w:rsidP="00E8617E">
      <w:pPr>
        <w:spacing w:after="0" w:line="240" w:lineRule="auto"/>
        <w:rPr>
          <w:rFonts w:ascii="Arial" w:hAnsi="Arial" w:cs="Arial"/>
          <w:i/>
          <w:sz w:val="20"/>
          <w:szCs w:val="20"/>
        </w:rPr>
      </w:pPr>
    </w:p>
    <w:p w14:paraId="2139E1B5" w14:textId="77777777" w:rsidR="00E8617E" w:rsidRPr="00BC513A"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Двата сектора с най-голям и нарастващ принос в икономиката на ХВП, оценен с техния дял в структурата на наетите, стойностния обем на продукцията и добавената стойност</w:t>
      </w:r>
      <w:r w:rsidR="006F555B">
        <w:rPr>
          <w:rFonts w:cs="Arial"/>
          <w:sz w:val="22"/>
          <w:szCs w:val="22"/>
          <w:lang w:val="bg-BG"/>
        </w:rPr>
        <w:t>,</w:t>
      </w:r>
      <w:r w:rsidRPr="00BC513A">
        <w:rPr>
          <w:rFonts w:cs="Arial"/>
          <w:sz w:val="22"/>
          <w:szCs w:val="22"/>
          <w:lang w:val="bg-BG"/>
        </w:rPr>
        <w:t xml:space="preserve"> са: производство и преработка на месо, без готови ястия</w:t>
      </w:r>
      <w:r w:rsidR="006F555B">
        <w:rPr>
          <w:rFonts w:cs="Arial"/>
          <w:sz w:val="22"/>
          <w:szCs w:val="22"/>
          <w:lang w:val="bg-BG"/>
        </w:rPr>
        <w:t>,</w:t>
      </w:r>
      <w:r w:rsidRPr="00BC513A">
        <w:rPr>
          <w:rFonts w:cs="Arial"/>
          <w:sz w:val="22"/>
          <w:szCs w:val="22"/>
          <w:lang w:val="bg-BG"/>
        </w:rPr>
        <w:t xml:space="preserve"> и производството на хлебни и тестени изделия. Те формират заедно около 31% от добавената стойност в хранителната индустрия и 45% от заетите в периода 2013-2014 г. Тези два сектора произвеждат над 50% от продукцията в стойностно изражение по текущи цени в групата на храните, където се изключват напитки и тютюневи изделия. Забелязва се увеличение в произвежданата продукция в сектор производство на мляко и млечни продукти, докато секторите на консервната и особено мелничарската индустрия намаляват своето участие в производствената структура на групата на храните.</w:t>
      </w:r>
    </w:p>
    <w:p w14:paraId="44949925" w14:textId="77777777" w:rsidR="00E8617E" w:rsidRPr="00BC513A" w:rsidRDefault="00E8617E" w:rsidP="00E8617E">
      <w:pPr>
        <w:pStyle w:val="DefaultText"/>
        <w:rPr>
          <w:rFonts w:cs="Arial"/>
          <w:b/>
          <w:szCs w:val="22"/>
          <w:lang w:val="bg-BG"/>
        </w:rPr>
      </w:pPr>
    </w:p>
    <w:bookmarkStart w:id="116" w:name="_MON_1576676312"/>
    <w:bookmarkEnd w:id="116"/>
    <w:p w14:paraId="13C409B8" w14:textId="77777777" w:rsidR="00E8617E" w:rsidRPr="00AE71CA" w:rsidRDefault="00E8617E" w:rsidP="00E8617E">
      <w:pPr>
        <w:pStyle w:val="DefaultText"/>
        <w:rPr>
          <w:rFonts w:eastAsiaTheme="minorHAnsi" w:cs="Arial"/>
          <w:szCs w:val="18"/>
          <w:lang w:val="bg-BG" w:eastAsia="en-US"/>
        </w:rPr>
      </w:pPr>
      <w:r w:rsidRPr="00AE71CA">
        <w:rPr>
          <w:rFonts w:cs="Arial"/>
          <w:szCs w:val="18"/>
          <w:lang w:val="bg-BG"/>
        </w:rPr>
        <w:object w:dxaOrig="9518" w:dyaOrig="4562" w14:anchorId="084239C0">
          <v:shape id="_x0000_i1030" type="#_x0000_t75" style="width:475.45pt;height:3in" o:ole="">
            <v:imagedata r:id="rId45" o:title=""/>
          </v:shape>
          <o:OLEObject Type="Embed" ProgID="Excel.Sheet.12" ShapeID="_x0000_i1030" DrawAspect="Content" ObjectID="_1585652221" r:id="rId46"/>
        </w:object>
      </w:r>
      <w:r w:rsidRPr="00AE71CA">
        <w:rPr>
          <w:rFonts w:eastAsiaTheme="minorHAnsi" w:cs="Arial"/>
          <w:szCs w:val="18"/>
          <w:lang w:val="bg-BG" w:eastAsia="en-US"/>
        </w:rPr>
        <w:t>Източник: МЗХГ</w:t>
      </w:r>
    </w:p>
    <w:p w14:paraId="62B5932F" w14:textId="77777777" w:rsidR="00E8617E" w:rsidRPr="00BC513A" w:rsidRDefault="00E8617E" w:rsidP="00E8617E">
      <w:pPr>
        <w:pStyle w:val="DefaultText"/>
        <w:jc w:val="center"/>
        <w:rPr>
          <w:rFonts w:cs="Arial"/>
          <w:b/>
          <w:color w:val="0070C0"/>
          <w:sz w:val="20"/>
          <w:szCs w:val="20"/>
          <w:lang w:val="bg-BG"/>
        </w:rPr>
      </w:pPr>
      <w:bookmarkStart w:id="117" w:name="_Toc506984717"/>
      <w:r w:rsidRPr="00BC513A">
        <w:rPr>
          <w:rFonts w:cs="Arial"/>
          <w:b/>
          <w:color w:val="0070C0"/>
          <w:sz w:val="20"/>
          <w:szCs w:val="20"/>
          <w:lang w:val="bg-BG"/>
        </w:rPr>
        <w:t xml:space="preserve">Фигура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Фигура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11</w:t>
      </w:r>
      <w:r w:rsidRPr="00BC513A">
        <w:rPr>
          <w:rFonts w:cs="Arial"/>
          <w:b/>
          <w:color w:val="0070C0"/>
          <w:sz w:val="20"/>
          <w:szCs w:val="20"/>
          <w:lang w:val="bg-BG"/>
        </w:rPr>
        <w:fldChar w:fldCharType="end"/>
      </w:r>
      <w:r w:rsidRPr="00BC513A">
        <w:rPr>
          <w:rFonts w:cs="Arial"/>
          <w:b/>
          <w:color w:val="0070C0"/>
          <w:sz w:val="20"/>
          <w:szCs w:val="20"/>
          <w:lang w:val="bg-BG"/>
        </w:rPr>
        <w:t>. Дял на инвестициите по подпомогнати сектори по мярка 123</w:t>
      </w:r>
      <w:bookmarkEnd w:id="117"/>
    </w:p>
    <w:p w14:paraId="6ADC6CE1" w14:textId="77777777" w:rsidR="00E8617E" w:rsidRPr="00BC513A" w:rsidRDefault="00E8617E" w:rsidP="00E8617E">
      <w:pPr>
        <w:pStyle w:val="DefaultText"/>
        <w:jc w:val="center"/>
        <w:rPr>
          <w:rFonts w:cs="Arial"/>
          <w:b/>
          <w:color w:val="0070C0"/>
          <w:sz w:val="20"/>
          <w:szCs w:val="20"/>
          <w:lang w:val="bg-BG"/>
        </w:rPr>
      </w:pPr>
    </w:p>
    <w:p w14:paraId="2549E8C7" w14:textId="6CA2274F" w:rsidR="00E8617E" w:rsidRPr="00BC513A"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Една от слабостите пред развитието на преработвателната промишленост, която е риск за устойчиво развитие и успешно бъдеще на финансираните проекти</w:t>
      </w:r>
      <w:r w:rsidR="006F555B">
        <w:rPr>
          <w:rFonts w:cs="Arial"/>
          <w:sz w:val="22"/>
          <w:szCs w:val="22"/>
          <w:lang w:val="bg-BG"/>
        </w:rPr>
        <w:t>,</w:t>
      </w:r>
      <w:r w:rsidRPr="00BC513A">
        <w:rPr>
          <w:rFonts w:cs="Arial"/>
          <w:sz w:val="22"/>
          <w:szCs w:val="22"/>
          <w:lang w:val="bg-BG"/>
        </w:rPr>
        <w:t xml:space="preserve"> е недостиг</w:t>
      </w:r>
      <w:r w:rsidR="006F555B">
        <w:rPr>
          <w:rFonts w:cs="Arial"/>
          <w:sz w:val="22"/>
          <w:szCs w:val="22"/>
          <w:lang w:val="bg-BG"/>
        </w:rPr>
        <w:t>ът</w:t>
      </w:r>
      <w:r w:rsidRPr="00BC513A">
        <w:rPr>
          <w:rFonts w:cs="Arial"/>
          <w:sz w:val="22"/>
          <w:szCs w:val="22"/>
          <w:lang w:val="bg-BG"/>
        </w:rPr>
        <w:t xml:space="preserve"> на национално произведени основни суровини за месопреработвателния и млекопреработвателния сектор, за консервната промишленост, което води до недостатъчната ефективност на производството заради високи постоянни разходи и неефективно натоварване на производствения капацитет. Предприятия, които разчитат до голяма степен на вносна суровина</w:t>
      </w:r>
      <w:r w:rsidR="006F555B">
        <w:rPr>
          <w:rFonts w:cs="Arial"/>
          <w:sz w:val="22"/>
          <w:szCs w:val="22"/>
          <w:lang w:val="bg-BG"/>
        </w:rPr>
        <w:t>,</w:t>
      </w:r>
      <w:r w:rsidRPr="00BC513A">
        <w:rPr>
          <w:rFonts w:cs="Arial"/>
          <w:sz w:val="22"/>
          <w:szCs w:val="22"/>
          <w:lang w:val="bg-BG"/>
        </w:rPr>
        <w:t xml:space="preserve"> не могат да се разглеждат като гъвкави и жизнеспособни, защото са уязвими от промените на пазарите, по-високите разходи за вносна суровина и са ограничени в тяхната конкурентоспособност. Това важи в най-голяма степен при финансирането на микро и малките предприятия в ХВП, които изпитват сериозни проблеми при конкуренцията на пазара и тяхната устойчивост се свързва основно с въвеждането на иновативни и нови продукти и разработване на собствени пазарни ниши, за да избегнат конкуренцията на големите предприятия и вносители и да компенсират липсата на икономии от мащаба.</w:t>
      </w:r>
    </w:p>
    <w:p w14:paraId="1F73E9A5" w14:textId="5113638B"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Следенето и оценката на въздействието по мярката се прави чрез два непосредствени индикатори, свързани с придадена нетна добавена стойност в подпомогнатите предприятия и по нетно увеличение на добавената стойност на един зает в обхванатите сектори. Оценката на постигнатите резултати срещу заложените цели показва високи постижения. Икономическият ръст спрямо предварително заложения е преизпълнен с почти 13 пъти, докато при производителността на труда се установява преизпълнение с почти 58 пъти. Причина за това са ниско заложените индикатори, които при възвращаемостта на труда са фиксирали ръст в ефективността на труда в преработвателната хранителна и горска индустрия само от около 5% за целия програмен период, което е прекомерно малко. Трябва да споменем, че само в преработката на храни произведената брутна продукция е нараснала с 40%, а заетите са намалели с</w:t>
      </w:r>
      <w:r w:rsidR="006F555B">
        <w:rPr>
          <w:sz w:val="22"/>
          <w:szCs w:val="22"/>
          <w:lang w:val="bg-BG"/>
        </w:rPr>
        <w:t>ъс</w:t>
      </w:r>
      <w:r w:rsidRPr="00BC513A">
        <w:rPr>
          <w:sz w:val="22"/>
          <w:szCs w:val="22"/>
          <w:lang w:val="bg-BG"/>
        </w:rPr>
        <w:t xml:space="preserve"> 17%, което показва отчетливо осезаемия скок в този отрасъл. Независимо обаче, че възвращаемостта на труда в подотрасъл „Храни” е нараснала с 2,5 пъти, българската хранителна индустрия има почти 4 пъти по-ниска ефективност по този показател отколкото в ЕС.</w:t>
      </w:r>
    </w:p>
    <w:p w14:paraId="3CD72021" w14:textId="77777777" w:rsidR="00E8617E" w:rsidRPr="00BC513A" w:rsidRDefault="00E8617E" w:rsidP="00E8617E">
      <w:pPr>
        <w:spacing w:before="120" w:after="0" w:line="300" w:lineRule="atLeast"/>
        <w:jc w:val="both"/>
        <w:rPr>
          <w:rFonts w:ascii="Arial" w:hAnsi="Arial" w:cs="Arial"/>
          <w:b/>
          <w:color w:val="0070C0"/>
          <w:sz w:val="20"/>
          <w:szCs w:val="20"/>
        </w:rPr>
      </w:pPr>
      <w:bookmarkStart w:id="118" w:name="_Toc504136208"/>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36</w:t>
      </w:r>
      <w:r w:rsidRPr="00BC513A">
        <w:rPr>
          <w:rFonts w:ascii="Arial" w:hAnsi="Arial" w:cs="Arial"/>
          <w:b/>
          <w:color w:val="0070C0"/>
          <w:sz w:val="20"/>
          <w:szCs w:val="20"/>
        </w:rPr>
        <w:fldChar w:fldCharType="end"/>
      </w:r>
      <w:r w:rsidR="00047E2D">
        <w:rPr>
          <w:rFonts w:ascii="Arial" w:hAnsi="Arial" w:cs="Arial"/>
          <w:b/>
          <w:color w:val="0070C0"/>
          <w:sz w:val="20"/>
          <w:szCs w:val="20"/>
        </w:rPr>
        <w:t>.</w:t>
      </w:r>
      <w:r w:rsidRPr="00BC513A">
        <w:rPr>
          <w:rFonts w:ascii="Arial" w:hAnsi="Arial" w:cs="Arial"/>
          <w:b/>
          <w:color w:val="0070C0"/>
          <w:sz w:val="20"/>
          <w:szCs w:val="20"/>
        </w:rPr>
        <w:t xml:space="preserve"> Изпълнение на индикаторите за въздействие по мярка 123</w:t>
      </w:r>
      <w:bookmarkEnd w:id="118"/>
    </w:p>
    <w:tbl>
      <w:tblPr>
        <w:tblW w:w="4925" w:type="pct"/>
        <w:tblInd w:w="70" w:type="dxa"/>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1930"/>
        <w:gridCol w:w="2889"/>
        <w:gridCol w:w="1276"/>
        <w:gridCol w:w="1417"/>
        <w:gridCol w:w="1561"/>
      </w:tblGrid>
      <w:tr w:rsidR="00E8617E" w:rsidRPr="00BC513A" w14:paraId="2D3720F6" w14:textId="77777777" w:rsidTr="00922731">
        <w:trPr>
          <w:trHeight w:val="686"/>
        </w:trPr>
        <w:tc>
          <w:tcPr>
            <w:tcW w:w="1064" w:type="pct"/>
            <w:shd w:val="clear" w:color="auto" w:fill="1F4E79" w:themeFill="accent1" w:themeFillShade="80"/>
            <w:noWrap/>
            <w:vAlign w:val="center"/>
            <w:hideMark/>
          </w:tcPr>
          <w:p w14:paraId="23F86CE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592" w:type="pct"/>
            <w:shd w:val="clear" w:color="auto" w:fill="1F4E79" w:themeFill="accent1" w:themeFillShade="80"/>
            <w:vAlign w:val="center"/>
            <w:hideMark/>
          </w:tcPr>
          <w:p w14:paraId="0C75B3E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703" w:type="pct"/>
            <w:shd w:val="clear" w:color="auto" w:fill="1F4E79" w:themeFill="accent1" w:themeFillShade="80"/>
            <w:noWrap/>
            <w:vAlign w:val="center"/>
            <w:hideMark/>
          </w:tcPr>
          <w:p w14:paraId="1A8284C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81" w:type="pct"/>
            <w:shd w:val="clear" w:color="auto" w:fill="1F4E79" w:themeFill="accent1" w:themeFillShade="80"/>
            <w:vAlign w:val="center"/>
            <w:hideMark/>
          </w:tcPr>
          <w:p w14:paraId="1C2D5995"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60" w:type="pct"/>
            <w:shd w:val="clear" w:color="auto" w:fill="1F4E79" w:themeFill="accent1" w:themeFillShade="80"/>
            <w:vAlign w:val="center"/>
          </w:tcPr>
          <w:p w14:paraId="12D269F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0F724154" w14:textId="77777777" w:rsidTr="00922731">
        <w:trPr>
          <w:trHeight w:val="698"/>
        </w:trPr>
        <w:tc>
          <w:tcPr>
            <w:tcW w:w="1064" w:type="pct"/>
            <w:vMerge w:val="restart"/>
            <w:shd w:val="clear" w:color="auto" w:fill="auto"/>
            <w:vAlign w:val="center"/>
            <w:hideMark/>
          </w:tcPr>
          <w:p w14:paraId="36F8521D"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Въздействие</w:t>
            </w:r>
          </w:p>
        </w:tc>
        <w:tc>
          <w:tcPr>
            <w:tcW w:w="1592" w:type="pct"/>
            <w:shd w:val="clear" w:color="auto" w:fill="auto"/>
            <w:vAlign w:val="center"/>
            <w:hideMark/>
          </w:tcPr>
          <w:p w14:paraId="6F72E6B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Икономически растеж (</w:t>
            </w:r>
            <w:r w:rsidRPr="00BC513A">
              <w:rPr>
                <w:rFonts w:ascii="Arial" w:hAnsi="Arial" w:cs="Arial"/>
                <w:sz w:val="20"/>
                <w:szCs w:val="20"/>
              </w:rPr>
              <w:t>∆НДС в млн. евро ППС)</w:t>
            </w:r>
          </w:p>
        </w:tc>
        <w:tc>
          <w:tcPr>
            <w:tcW w:w="703" w:type="pct"/>
            <w:shd w:val="clear" w:color="auto" w:fill="auto"/>
            <w:noWrap/>
            <w:vAlign w:val="center"/>
            <w:hideMark/>
          </w:tcPr>
          <w:p w14:paraId="260A05E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48,5</w:t>
            </w:r>
          </w:p>
        </w:tc>
        <w:tc>
          <w:tcPr>
            <w:tcW w:w="781" w:type="pct"/>
            <w:shd w:val="clear" w:color="auto" w:fill="auto"/>
            <w:vAlign w:val="center"/>
            <w:hideMark/>
          </w:tcPr>
          <w:p w14:paraId="699209E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621,8</w:t>
            </w:r>
          </w:p>
        </w:tc>
        <w:tc>
          <w:tcPr>
            <w:tcW w:w="860" w:type="pct"/>
            <w:shd w:val="clear" w:color="auto" w:fill="auto"/>
            <w:vAlign w:val="center"/>
            <w:hideMark/>
          </w:tcPr>
          <w:p w14:paraId="22937EC0"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1282%</w:t>
            </w:r>
          </w:p>
        </w:tc>
      </w:tr>
      <w:tr w:rsidR="00E8617E" w:rsidRPr="00BC513A" w14:paraId="08C1593D" w14:textId="77777777" w:rsidTr="00922731">
        <w:trPr>
          <w:trHeight w:val="703"/>
        </w:trPr>
        <w:tc>
          <w:tcPr>
            <w:tcW w:w="1064" w:type="pct"/>
            <w:vMerge/>
            <w:vAlign w:val="center"/>
            <w:hideMark/>
          </w:tcPr>
          <w:p w14:paraId="2D40E21F"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p>
        </w:tc>
        <w:tc>
          <w:tcPr>
            <w:tcW w:w="1592" w:type="pct"/>
            <w:shd w:val="clear" w:color="auto" w:fill="auto"/>
            <w:vAlign w:val="center"/>
            <w:hideMark/>
          </w:tcPr>
          <w:p w14:paraId="2D2F985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Производителност на труда (</w:t>
            </w:r>
            <w:r w:rsidRPr="00BC513A">
              <w:rPr>
                <w:rFonts w:ascii="Arial" w:hAnsi="Arial" w:cs="Arial"/>
                <w:sz w:val="20"/>
                <w:szCs w:val="20"/>
              </w:rPr>
              <w:t>∆БДС/ГРЕ в евро)</w:t>
            </w:r>
          </w:p>
        </w:tc>
        <w:tc>
          <w:tcPr>
            <w:tcW w:w="703" w:type="pct"/>
            <w:shd w:val="clear" w:color="auto" w:fill="auto"/>
            <w:noWrap/>
            <w:vAlign w:val="center"/>
            <w:hideMark/>
          </w:tcPr>
          <w:p w14:paraId="15F48D6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365</w:t>
            </w:r>
          </w:p>
        </w:tc>
        <w:tc>
          <w:tcPr>
            <w:tcW w:w="781" w:type="pct"/>
            <w:shd w:val="clear" w:color="auto" w:fill="auto"/>
            <w:vAlign w:val="center"/>
            <w:hideMark/>
          </w:tcPr>
          <w:p w14:paraId="61E1D16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20 945</w:t>
            </w:r>
          </w:p>
        </w:tc>
        <w:tc>
          <w:tcPr>
            <w:tcW w:w="860" w:type="pct"/>
            <w:shd w:val="clear" w:color="auto" w:fill="auto"/>
            <w:vAlign w:val="center"/>
            <w:hideMark/>
          </w:tcPr>
          <w:p w14:paraId="2F2A671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5754%</w:t>
            </w:r>
          </w:p>
        </w:tc>
      </w:tr>
    </w:tbl>
    <w:p w14:paraId="7C892D02" w14:textId="77777777" w:rsidR="00E8617E" w:rsidRPr="00AE71CA" w:rsidRDefault="00E8617E" w:rsidP="00E8617E">
      <w:pPr>
        <w:spacing w:after="0" w:line="240" w:lineRule="auto"/>
        <w:jc w:val="both"/>
        <w:rPr>
          <w:rFonts w:ascii="Arial" w:hAnsi="Arial" w:cs="Arial"/>
          <w:sz w:val="18"/>
          <w:szCs w:val="18"/>
        </w:rPr>
      </w:pPr>
      <w:r w:rsidRPr="00AE71CA">
        <w:rPr>
          <w:rFonts w:ascii="Arial" w:hAnsi="Arial" w:cs="Arial"/>
          <w:sz w:val="18"/>
          <w:szCs w:val="18"/>
        </w:rPr>
        <w:t>Източник: МЗХГ и собствени изчисления</w:t>
      </w:r>
    </w:p>
    <w:p w14:paraId="35909A3E"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Безспорно, мярката допринася съществено за увеличаване на добавената стойност в отрасъла. Основен ръст се отчита в секторите „Месо” и „Преработка на растителни и животински мазнини”, които получават съответно 10% и 9% от субсидията по мярката. Същевременно се вижда, че секторът „Производство на вино” получава много висок дял в субсидията по мярката, но в същото време делът й в брутната продукция в ХВП намалява и ефектът на помощта е слаб. Другото, което прави впечатление</w:t>
      </w:r>
      <w:r w:rsidR="004A02A4">
        <w:rPr>
          <w:sz w:val="22"/>
          <w:szCs w:val="22"/>
          <w:lang w:val="bg-BG"/>
        </w:rPr>
        <w:t>,</w:t>
      </w:r>
      <w:r w:rsidRPr="00BC513A">
        <w:rPr>
          <w:sz w:val="22"/>
          <w:szCs w:val="22"/>
          <w:lang w:val="bg-BG"/>
        </w:rPr>
        <w:t xml:space="preserve"> е появата на концентрация във формирането на добавена стойност в структурата на производство. Общо подпомогнатите предприятия формират 90% от добавената стойност през 2015 г., докато преди началото на мярката тази концентрация се оценява на 78%. </w:t>
      </w:r>
    </w:p>
    <w:p w14:paraId="077A0163" w14:textId="77777777" w:rsidR="00E8617E" w:rsidRPr="00BC513A" w:rsidRDefault="00E8617E" w:rsidP="00E8617E">
      <w:pPr>
        <w:pStyle w:val="DefaultText"/>
        <w:ind w:firstLine="709"/>
        <w:rPr>
          <w:b/>
          <w:szCs w:val="22"/>
          <w:lang w:val="bg-BG"/>
        </w:rPr>
      </w:pPr>
    </w:p>
    <w:bookmarkStart w:id="119" w:name="_MON_1576676333"/>
    <w:bookmarkEnd w:id="119"/>
    <w:p w14:paraId="6E93E3AA" w14:textId="77777777" w:rsidR="00E8617E" w:rsidRPr="00AE71CA" w:rsidRDefault="00E8617E" w:rsidP="00E8617E">
      <w:pPr>
        <w:pStyle w:val="DefaultText"/>
        <w:rPr>
          <w:rFonts w:eastAsiaTheme="minorHAnsi" w:cs="Arial"/>
          <w:szCs w:val="18"/>
          <w:lang w:val="bg-BG" w:eastAsia="en-US"/>
        </w:rPr>
      </w:pPr>
      <w:r w:rsidRPr="00AE71CA">
        <w:rPr>
          <w:szCs w:val="18"/>
          <w:lang w:val="bg-BG"/>
        </w:rPr>
        <w:object w:dxaOrig="9439" w:dyaOrig="4757" w14:anchorId="6FAE2B87">
          <v:shape id="_x0000_i1031" type="#_x0000_t75" style="width:475.45pt;height:208.85pt" o:ole="">
            <v:imagedata r:id="rId47" o:title=""/>
          </v:shape>
          <o:OLEObject Type="Embed" ProgID="Excel.Sheet.12" ShapeID="_x0000_i1031" DrawAspect="Content" ObjectID="_1585652222" r:id="rId48"/>
        </w:object>
      </w:r>
      <w:r w:rsidRPr="00AE71CA">
        <w:rPr>
          <w:rFonts w:eastAsiaTheme="minorHAnsi" w:cs="Arial"/>
          <w:szCs w:val="18"/>
          <w:lang w:val="bg-BG" w:eastAsia="en-US"/>
        </w:rPr>
        <w:t>Източник: МЗХГ и собствени изчисления</w:t>
      </w:r>
    </w:p>
    <w:p w14:paraId="3A91F382" w14:textId="77777777" w:rsidR="00E8617E" w:rsidRPr="00BC513A" w:rsidRDefault="00E8617E" w:rsidP="00E8617E">
      <w:pPr>
        <w:pStyle w:val="DefaultText"/>
        <w:jc w:val="center"/>
        <w:rPr>
          <w:rFonts w:cs="Arial"/>
          <w:b/>
          <w:color w:val="0070C0"/>
          <w:sz w:val="20"/>
          <w:szCs w:val="20"/>
          <w:lang w:val="bg-BG"/>
        </w:rPr>
      </w:pPr>
      <w:bookmarkStart w:id="120" w:name="_Toc506984718"/>
      <w:r w:rsidRPr="00BC513A">
        <w:rPr>
          <w:rFonts w:cs="Arial"/>
          <w:b/>
          <w:color w:val="0070C0"/>
          <w:sz w:val="20"/>
          <w:szCs w:val="20"/>
          <w:lang w:val="bg-BG"/>
        </w:rPr>
        <w:t xml:space="preserve">Фигура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Фигура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12</w:t>
      </w:r>
      <w:r w:rsidRPr="00BC513A">
        <w:rPr>
          <w:rFonts w:cs="Arial"/>
          <w:b/>
          <w:color w:val="0070C0"/>
          <w:sz w:val="20"/>
          <w:szCs w:val="20"/>
          <w:lang w:val="bg-BG"/>
        </w:rPr>
        <w:fldChar w:fldCharType="end"/>
      </w:r>
      <w:r w:rsidRPr="00BC513A">
        <w:rPr>
          <w:rFonts w:cs="Arial"/>
          <w:b/>
          <w:color w:val="0070C0"/>
          <w:sz w:val="20"/>
          <w:szCs w:val="20"/>
          <w:lang w:val="bg-BG"/>
        </w:rPr>
        <w:t>. Брутна добавена стойност общо в хранителната индустрия и в секторите подпомогнати по мярка 123, млн. евро</w:t>
      </w:r>
      <w:bookmarkEnd w:id="120"/>
    </w:p>
    <w:p w14:paraId="0C379AB8"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Въпросите с изчисляване на добавената стойност в предприятия и нейното отчитане са много важни и трябва в бъдеще да се изисква по-детайлна и проверена информация за актуалното състояние на подпомогнатите предприятия и фирми, за да се правят по-точни и релевантни анализи. Като цяло трябва да се каже, че мярката е направила много за повишаване на добавена стойност, за подобряване ефективността на предприятията, за повишаване възвращаемостта на труда и на влаганите ресурси в подпомогнатите предприятия. Целият подотрасъл „Храни” през програмния период се развива възходящо, като с темповете на растеж изпреварва развитието на земеделието. Земеделието се явява доставчик на суровини за ХВП и именно забавянето на ръста в селското стопанство се разглежда като риск пред устойчивостта на преработвателните предприятия.</w:t>
      </w:r>
    </w:p>
    <w:p w14:paraId="4C374C2D"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Липсата на местни суровини прави предприятията зависими от външни пазари, поставя ги в неизгодно ценово положение и ги изправя пред несигурност на доставките.  Ето защо в бъдеще при планиране на подкрепата трябва да се обърне много по-голямо внимание върху този аспект. Даването на грантове на микро и малки предприятия също трябва да бъде преоценено защото микро и малките предприятия, които не предлагат иновативен проект, а само проект, който ще се състезава само с цена на пазара</w:t>
      </w:r>
      <w:r w:rsidR="004A02A4">
        <w:rPr>
          <w:sz w:val="22"/>
          <w:szCs w:val="22"/>
          <w:lang w:val="bg-BG"/>
        </w:rPr>
        <w:t>,</w:t>
      </w:r>
      <w:r w:rsidRPr="00BC513A">
        <w:rPr>
          <w:sz w:val="22"/>
          <w:szCs w:val="22"/>
          <w:lang w:val="bg-BG"/>
        </w:rPr>
        <w:t xml:space="preserve"> е рисково и несигурно начинание. Малките и микро предприятията трябва да търсят оригинални продукти и нишови пазари. От своя страна, подкрепата за средните и големи предприятия трябва да се предоставя на база досегашна история и финансови резултати, като се дава приоритет и се насърчават предприятия, предлагащи интегриране със земеделски производители, което дава устойчивост на проекта, от гледна точка на суровина и води до синергия със земеделския отрасъл.</w:t>
      </w:r>
    </w:p>
    <w:p w14:paraId="00723132" w14:textId="77777777" w:rsidR="00E8617E" w:rsidRPr="00BC513A" w:rsidRDefault="00E8617E" w:rsidP="00E8617E">
      <w:pPr>
        <w:pStyle w:val="DefaultText"/>
        <w:keepNext/>
        <w:spacing w:before="240" w:after="120" w:line="300" w:lineRule="atLeast"/>
        <w:ind w:firstLine="709"/>
        <w:rPr>
          <w:i/>
          <w:szCs w:val="22"/>
          <w:lang w:val="bg-BG"/>
        </w:rPr>
      </w:pPr>
      <w:r w:rsidRPr="00BC513A">
        <w:rPr>
          <w:i/>
          <w:sz w:val="22"/>
          <w:szCs w:val="22"/>
          <w:lang w:val="bg-BG"/>
        </w:rPr>
        <w:t>141. Подпомагане на полупазарни стопанства в процес на преструктуриране</w:t>
      </w:r>
    </w:p>
    <w:p w14:paraId="37D5EC48" w14:textId="77777777" w:rsidR="00E8617E" w:rsidRPr="00BC513A" w:rsidRDefault="00E8617E" w:rsidP="00E8617E">
      <w:pPr>
        <w:spacing w:after="120" w:line="300" w:lineRule="atLeast"/>
        <w:ind w:firstLine="709"/>
        <w:jc w:val="both"/>
        <w:rPr>
          <w:rFonts w:ascii="Arial" w:hAnsi="Arial" w:cs="Arial"/>
          <w:lang w:eastAsia="ja-JP"/>
        </w:rPr>
      </w:pPr>
      <w:r w:rsidRPr="00BC513A">
        <w:rPr>
          <w:rFonts w:ascii="Arial" w:hAnsi="Arial" w:cs="Arial"/>
        </w:rPr>
        <w:t xml:space="preserve">Мярка 141 стартира на 01.09.2008 г. </w:t>
      </w:r>
      <w:r w:rsidRPr="00BC513A">
        <w:rPr>
          <w:rFonts w:ascii="Arial" w:hAnsi="Arial" w:cs="Arial"/>
          <w:lang w:eastAsia="ja-JP"/>
        </w:rPr>
        <w:t>Тя е насочена към полупазарни стопанства, които към момента на кандидатстване продават малка част от своята продукция, а останалата част използват за домашна консумация. Същевременно те притежават икономически потенциал за бъдещо развитие и тяхното състояние към момента се дължи по-скоро на липса на капиталови ресурси за разширение отколкото на липса на мотивация или други субективни причини. Мярката предоставя временна подкрепа за доходите на такива стопанства, която ще спомогне да се преодолеят трудностите по посрещане на разходите, свързани с преструктурирането на тяхната земеделска дейност.</w:t>
      </w:r>
      <w:bookmarkStart w:id="121" w:name="_Toc391899921"/>
    </w:p>
    <w:p w14:paraId="24D66AF0" w14:textId="00909B41" w:rsidR="00E8617E" w:rsidRPr="00BC513A" w:rsidRDefault="00E8617E" w:rsidP="00E8617E">
      <w:pPr>
        <w:spacing w:after="120" w:line="300" w:lineRule="atLeast"/>
        <w:ind w:firstLine="709"/>
        <w:jc w:val="both"/>
        <w:rPr>
          <w:rFonts w:ascii="Arial" w:hAnsi="Arial" w:cs="Arial"/>
        </w:rPr>
      </w:pPr>
      <w:r w:rsidRPr="00BC513A">
        <w:rPr>
          <w:rFonts w:ascii="Arial" w:hAnsi="Arial" w:cs="Arial"/>
          <w:lang w:eastAsia="ja-JP"/>
        </w:rPr>
        <w:t xml:space="preserve">В исторически план през 90-те години в българското земеделие </w:t>
      </w:r>
      <w:r w:rsidRPr="00BC513A">
        <w:rPr>
          <w:rFonts w:ascii="Arial" w:hAnsi="Arial" w:cs="Arial"/>
        </w:rPr>
        <w:t>се отчитат над 1,9 млн. стопанства в страната, от които 98% са малки по съвременните критерии. Броят на новопоявилите се малки стопанства от началото на 90</w:t>
      </w:r>
      <w:r w:rsidR="004A02A4" w:rsidRPr="007C3883">
        <w:rPr>
          <w:rFonts w:ascii="Arial" w:hAnsi="Arial" w:cs="Arial"/>
          <w:vertAlign w:val="superscript"/>
        </w:rPr>
        <w:t>-</w:t>
      </w:r>
      <w:r w:rsidRPr="00BC513A">
        <w:rPr>
          <w:rFonts w:ascii="Arial" w:hAnsi="Arial" w:cs="Arial"/>
          <w:vertAlign w:val="superscript"/>
        </w:rPr>
        <w:t>те</w:t>
      </w:r>
      <w:r w:rsidRPr="00BC513A">
        <w:rPr>
          <w:rFonts w:ascii="Arial" w:hAnsi="Arial" w:cs="Arial"/>
        </w:rPr>
        <w:t xml:space="preserve"> години постепенно се редуцира, но характеристиките на техния профил и ресурсна обезпеченост оста</w:t>
      </w:r>
      <w:r w:rsidR="004A02A4">
        <w:rPr>
          <w:rFonts w:ascii="Arial" w:hAnsi="Arial" w:cs="Arial"/>
        </w:rPr>
        <w:t>ват</w:t>
      </w:r>
      <w:r w:rsidRPr="00BC513A">
        <w:rPr>
          <w:rFonts w:ascii="Arial" w:hAnsi="Arial" w:cs="Arial"/>
        </w:rPr>
        <w:t>. Това са стопанства, които в голяма степен са ориентирани към самозадоволяване, притежават ограничен производствен капацитет и инвестиционни възможности и в тях за заети хора в пенсионна възраст. Ето защо на мярката се придава значение да подпомогне преструктурирането на българското земеделие и първоначалният бюджет представлява 12% от всички средства по ос 1 (144 млн. евро).</w:t>
      </w:r>
    </w:p>
    <w:p w14:paraId="50D143E4" w14:textId="77777777" w:rsidR="00E8617E" w:rsidRPr="00BC513A" w:rsidRDefault="00E8617E" w:rsidP="00E8617E">
      <w:pPr>
        <w:spacing w:after="120" w:line="300" w:lineRule="atLeast"/>
        <w:ind w:firstLine="709"/>
        <w:jc w:val="both"/>
        <w:rPr>
          <w:rFonts w:ascii="Arial" w:hAnsi="Arial" w:cs="Arial"/>
          <w:lang w:eastAsia="ja-JP"/>
        </w:rPr>
      </w:pPr>
      <w:r w:rsidRPr="00BC513A">
        <w:rPr>
          <w:rFonts w:ascii="Arial" w:hAnsi="Arial" w:cs="Arial"/>
          <w:lang w:eastAsia="ja-JP"/>
        </w:rPr>
        <w:t xml:space="preserve">Целта по мярката е да достигне до 21 хил. стопанства, което по това време е представлява около 14-15% от всички допустими между 1-4 ИЕ стопанства в страната. Още с първите приеми по мярката се вижда, че интересът е много слаб и въпреки, че допустимите потенциални бенефициенти са много, явно една много голяма част от тях нямат за цел да се развиват, други не са запознати с възможностите, а трети не смятат, че това е най-добрият за тях вариант да го направят. </w:t>
      </w:r>
    </w:p>
    <w:p w14:paraId="07265F58" w14:textId="77777777" w:rsidR="00E8617E" w:rsidRPr="00BC513A" w:rsidRDefault="00E8617E" w:rsidP="00E8617E">
      <w:pPr>
        <w:spacing w:after="120" w:line="300" w:lineRule="atLeast"/>
        <w:ind w:firstLine="709"/>
        <w:jc w:val="both"/>
        <w:rPr>
          <w:rFonts w:ascii="Arial" w:hAnsi="Arial" w:cs="Arial"/>
          <w:lang w:eastAsia="ja-JP"/>
        </w:rPr>
      </w:pPr>
      <w:r w:rsidRPr="00BC513A">
        <w:rPr>
          <w:rFonts w:ascii="Arial" w:hAnsi="Arial" w:cs="Arial"/>
          <w:lang w:eastAsia="ja-JP"/>
        </w:rPr>
        <w:t xml:space="preserve">Поради това бюджетът на мярката е редуциран значително на 45 милиона евро публични средства. </w:t>
      </w:r>
    </w:p>
    <w:p w14:paraId="66245A74" w14:textId="46A0C316" w:rsidR="00E8617E" w:rsidRPr="00BC513A" w:rsidRDefault="00E8617E" w:rsidP="00E8617E">
      <w:pPr>
        <w:spacing w:after="120" w:line="300" w:lineRule="atLeast"/>
        <w:ind w:firstLine="709"/>
        <w:jc w:val="both"/>
        <w:rPr>
          <w:rFonts w:ascii="Arial" w:hAnsi="Arial" w:cs="Arial"/>
          <w:lang w:eastAsia="ja-JP"/>
        </w:rPr>
      </w:pPr>
      <w:r w:rsidRPr="00BC513A">
        <w:rPr>
          <w:rFonts w:ascii="Arial" w:hAnsi="Arial" w:cs="Arial"/>
          <w:lang w:eastAsia="ja-JP"/>
        </w:rPr>
        <w:t xml:space="preserve">По мярката се следят 2 индикатора – брой на подпомогнати стопанства и брой на онези, които са успели да излязат и повишат своето пазарно присъствие. След редуциране на бюджета по мярката индикаторната цел за броя стопанства, получили подкрепа по мярката бива коригиран и от новозаложените 9 002 стопанства помощ са получили 8 635. Едва 21% от целевата стойност на стопанствата са успели да излязат на пазара и да се превърнат в пазарно ориентирани. Така една от важните цели на мярката не е достигната в удовлетворителна степен. </w:t>
      </w:r>
    </w:p>
    <w:p w14:paraId="1BAF09C8" w14:textId="77777777" w:rsidR="00E8617E" w:rsidRPr="00BC513A" w:rsidRDefault="00E8617E" w:rsidP="00E8617E">
      <w:pPr>
        <w:pStyle w:val="DefaultText"/>
        <w:keepNext/>
        <w:spacing w:before="240"/>
        <w:rPr>
          <w:b/>
          <w:sz w:val="22"/>
          <w:szCs w:val="22"/>
          <w:lang w:val="bg-BG"/>
        </w:rPr>
      </w:pPr>
      <w:bookmarkStart w:id="122" w:name="_Toc504136209"/>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37</w:t>
      </w:r>
      <w:r w:rsidRPr="00BC513A">
        <w:rPr>
          <w:rFonts w:cs="Arial"/>
          <w:b/>
          <w:color w:val="0070C0"/>
          <w:sz w:val="20"/>
          <w:szCs w:val="20"/>
          <w:lang w:val="bg-BG"/>
        </w:rPr>
        <w:fldChar w:fldCharType="end"/>
      </w:r>
      <w:r w:rsidR="00047E2D">
        <w:rPr>
          <w:rFonts w:cs="Arial"/>
          <w:b/>
          <w:color w:val="0070C0"/>
          <w:sz w:val="20"/>
          <w:szCs w:val="20"/>
          <w:lang w:val="bg-BG"/>
        </w:rPr>
        <w:t>.</w:t>
      </w:r>
      <w:r w:rsidRPr="00BC513A">
        <w:rPr>
          <w:rFonts w:cs="Arial"/>
          <w:b/>
          <w:color w:val="0070C0"/>
          <w:sz w:val="20"/>
          <w:szCs w:val="20"/>
          <w:lang w:val="bg-BG"/>
        </w:rPr>
        <w:t xml:space="preserve"> Постигане на индикаторните цели по мярка 141</w:t>
      </w:r>
      <w:bookmarkEnd w:id="122"/>
    </w:p>
    <w:tbl>
      <w:tblPr>
        <w:tblW w:w="5000" w:type="pct"/>
        <w:tblLayout w:type="fixed"/>
        <w:tblCellMar>
          <w:left w:w="70" w:type="dxa"/>
          <w:right w:w="70" w:type="dxa"/>
        </w:tblCellMar>
        <w:tblLook w:val="04A0" w:firstRow="1" w:lastRow="0" w:firstColumn="1" w:lastColumn="0" w:noHBand="0" w:noVBand="1"/>
      </w:tblPr>
      <w:tblGrid>
        <w:gridCol w:w="1347"/>
        <w:gridCol w:w="3401"/>
        <w:gridCol w:w="1560"/>
        <w:gridCol w:w="1418"/>
        <w:gridCol w:w="1485"/>
      </w:tblGrid>
      <w:tr w:rsidR="00E8617E" w:rsidRPr="00BC513A" w14:paraId="76041919" w14:textId="77777777" w:rsidTr="00922731">
        <w:trPr>
          <w:trHeight w:val="726"/>
        </w:trPr>
        <w:tc>
          <w:tcPr>
            <w:tcW w:w="731" w:type="pct"/>
            <w:tcBorders>
              <w:top w:val="single" w:sz="4" w:space="0" w:color="auto"/>
              <w:left w:val="single" w:sz="4" w:space="0" w:color="auto"/>
              <w:bottom w:val="single" w:sz="6" w:space="0" w:color="595959"/>
              <w:right w:val="single" w:sz="4" w:space="0" w:color="auto"/>
            </w:tcBorders>
            <w:shd w:val="clear" w:color="auto" w:fill="1F4E79" w:themeFill="accent1" w:themeFillShade="80"/>
            <w:vAlign w:val="center"/>
          </w:tcPr>
          <w:p w14:paraId="2516F7E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846" w:type="pct"/>
            <w:tcBorders>
              <w:top w:val="single" w:sz="4" w:space="0" w:color="auto"/>
              <w:left w:val="single" w:sz="4" w:space="0" w:color="auto"/>
              <w:bottom w:val="single" w:sz="6" w:space="0" w:color="595959"/>
              <w:right w:val="single" w:sz="6" w:space="0" w:color="595959"/>
            </w:tcBorders>
            <w:shd w:val="clear" w:color="auto" w:fill="1F4E79" w:themeFill="accent1" w:themeFillShade="80"/>
            <w:vAlign w:val="center"/>
            <w:hideMark/>
          </w:tcPr>
          <w:p w14:paraId="7D302B6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847" w:type="pct"/>
            <w:tcBorders>
              <w:top w:val="single" w:sz="4" w:space="0" w:color="auto"/>
              <w:left w:val="single" w:sz="6" w:space="0" w:color="595959"/>
              <w:bottom w:val="single" w:sz="6" w:space="0" w:color="595959"/>
              <w:right w:val="single" w:sz="6" w:space="0" w:color="595959"/>
            </w:tcBorders>
            <w:shd w:val="clear" w:color="auto" w:fill="1F4E79" w:themeFill="accent1" w:themeFillShade="80"/>
            <w:vAlign w:val="center"/>
            <w:hideMark/>
          </w:tcPr>
          <w:p w14:paraId="3BFD34BB"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70" w:type="pct"/>
            <w:tcBorders>
              <w:top w:val="single" w:sz="4" w:space="0" w:color="auto"/>
              <w:left w:val="single" w:sz="6" w:space="0" w:color="595959"/>
              <w:bottom w:val="single" w:sz="6" w:space="0" w:color="595959"/>
              <w:right w:val="single" w:sz="6" w:space="0" w:color="595959"/>
            </w:tcBorders>
            <w:shd w:val="clear" w:color="auto" w:fill="1F4E79" w:themeFill="accent1" w:themeFillShade="80"/>
            <w:vAlign w:val="center"/>
            <w:hideMark/>
          </w:tcPr>
          <w:p w14:paraId="7BDCB396"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06" w:type="pct"/>
            <w:tcBorders>
              <w:top w:val="single" w:sz="4" w:space="0" w:color="auto"/>
              <w:left w:val="single" w:sz="6" w:space="0" w:color="595959"/>
              <w:bottom w:val="single" w:sz="6" w:space="0" w:color="595959"/>
              <w:right w:val="single" w:sz="4" w:space="0" w:color="auto"/>
            </w:tcBorders>
            <w:shd w:val="clear" w:color="auto" w:fill="1F4E79" w:themeFill="accent1" w:themeFillShade="80"/>
            <w:vAlign w:val="center"/>
          </w:tcPr>
          <w:p w14:paraId="5CE27089"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17F31E89" w14:textId="77777777" w:rsidTr="00922731">
        <w:trPr>
          <w:trHeight w:val="420"/>
        </w:trPr>
        <w:tc>
          <w:tcPr>
            <w:tcW w:w="731" w:type="pct"/>
            <w:tcBorders>
              <w:top w:val="single" w:sz="6" w:space="0" w:color="595959"/>
              <w:left w:val="single" w:sz="4" w:space="0" w:color="auto"/>
              <w:bottom w:val="single" w:sz="6" w:space="0" w:color="595959"/>
              <w:right w:val="single" w:sz="4" w:space="0" w:color="auto"/>
            </w:tcBorders>
            <w:vAlign w:val="center"/>
          </w:tcPr>
          <w:p w14:paraId="1643D26A" w14:textId="77777777" w:rsidR="00E8617E" w:rsidRPr="00BC513A" w:rsidRDefault="00E8617E" w:rsidP="00922731">
            <w:pPr>
              <w:spacing w:after="0" w:line="240" w:lineRule="auto"/>
              <w:jc w:val="center"/>
              <w:rPr>
                <w:rFonts w:ascii="Arial" w:eastAsia="Times New Roman" w:hAnsi="Arial" w:cs="Arial"/>
                <w:b/>
                <w:sz w:val="20"/>
                <w:szCs w:val="20"/>
                <w:lang w:eastAsia="bg-BG"/>
              </w:rPr>
            </w:pPr>
            <w:r w:rsidRPr="00BC513A">
              <w:rPr>
                <w:rFonts w:ascii="Arial" w:eastAsia="Times New Roman" w:hAnsi="Arial" w:cs="Arial"/>
                <w:b/>
                <w:sz w:val="20"/>
                <w:szCs w:val="20"/>
                <w:lang w:eastAsia="bg-BG"/>
              </w:rPr>
              <w:t>Изходен</w:t>
            </w:r>
          </w:p>
        </w:tc>
        <w:tc>
          <w:tcPr>
            <w:tcW w:w="1846" w:type="pct"/>
            <w:tcBorders>
              <w:top w:val="single" w:sz="6" w:space="0" w:color="595959"/>
              <w:left w:val="single" w:sz="4" w:space="0" w:color="auto"/>
              <w:bottom w:val="single" w:sz="6" w:space="0" w:color="595959"/>
              <w:right w:val="single" w:sz="6" w:space="0" w:color="595959"/>
            </w:tcBorders>
            <w:shd w:val="clear" w:color="auto" w:fill="auto"/>
            <w:vAlign w:val="center"/>
            <w:hideMark/>
          </w:tcPr>
          <w:p w14:paraId="42EBE99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на подпомогнатите полупазарни стопанства</w:t>
            </w:r>
          </w:p>
        </w:tc>
        <w:tc>
          <w:tcPr>
            <w:tcW w:w="847"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6F6C87A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9 002</w:t>
            </w:r>
          </w:p>
        </w:tc>
        <w:tc>
          <w:tcPr>
            <w:tcW w:w="770" w:type="pct"/>
            <w:tcBorders>
              <w:top w:val="single" w:sz="6" w:space="0" w:color="595959"/>
              <w:left w:val="single" w:sz="6" w:space="0" w:color="595959"/>
              <w:bottom w:val="single" w:sz="6" w:space="0" w:color="595959"/>
              <w:right w:val="single" w:sz="6" w:space="0" w:color="595959"/>
            </w:tcBorders>
            <w:shd w:val="clear" w:color="auto" w:fill="auto"/>
            <w:noWrap/>
            <w:vAlign w:val="center"/>
            <w:hideMark/>
          </w:tcPr>
          <w:p w14:paraId="319D67B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8 635</w:t>
            </w:r>
          </w:p>
        </w:tc>
        <w:tc>
          <w:tcPr>
            <w:tcW w:w="806" w:type="pct"/>
            <w:tcBorders>
              <w:top w:val="single" w:sz="6" w:space="0" w:color="595959"/>
              <w:left w:val="single" w:sz="6" w:space="0" w:color="595959"/>
              <w:bottom w:val="single" w:sz="6" w:space="0" w:color="595959"/>
              <w:right w:val="single" w:sz="4" w:space="0" w:color="auto"/>
            </w:tcBorders>
            <w:vAlign w:val="center"/>
          </w:tcPr>
          <w:p w14:paraId="7EA1958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96%</w:t>
            </w:r>
          </w:p>
        </w:tc>
      </w:tr>
      <w:tr w:rsidR="00E8617E" w:rsidRPr="00BC513A" w14:paraId="3B5A8AE8" w14:textId="77777777" w:rsidTr="00922731">
        <w:trPr>
          <w:trHeight w:val="548"/>
        </w:trPr>
        <w:tc>
          <w:tcPr>
            <w:tcW w:w="731" w:type="pct"/>
            <w:tcBorders>
              <w:top w:val="single" w:sz="6" w:space="0" w:color="595959"/>
              <w:left w:val="single" w:sz="4" w:space="0" w:color="auto"/>
              <w:bottom w:val="single" w:sz="4" w:space="0" w:color="auto"/>
              <w:right w:val="single" w:sz="4" w:space="0" w:color="auto"/>
            </w:tcBorders>
            <w:vAlign w:val="center"/>
          </w:tcPr>
          <w:p w14:paraId="64E73F37" w14:textId="77777777" w:rsidR="00E8617E" w:rsidRPr="00BC513A" w:rsidRDefault="00E8617E" w:rsidP="00922731">
            <w:pPr>
              <w:spacing w:after="0" w:line="240" w:lineRule="auto"/>
              <w:jc w:val="center"/>
              <w:rPr>
                <w:rFonts w:ascii="Arial" w:eastAsia="Times New Roman" w:hAnsi="Arial" w:cs="Arial"/>
                <w:b/>
                <w:sz w:val="20"/>
                <w:szCs w:val="20"/>
                <w:lang w:eastAsia="bg-BG"/>
              </w:rPr>
            </w:pPr>
            <w:r w:rsidRPr="00BC513A">
              <w:rPr>
                <w:rFonts w:ascii="Arial" w:eastAsia="Times New Roman" w:hAnsi="Arial" w:cs="Arial"/>
                <w:b/>
                <w:sz w:val="20"/>
                <w:szCs w:val="20"/>
                <w:lang w:eastAsia="bg-BG"/>
              </w:rPr>
              <w:t>Резултат</w:t>
            </w:r>
          </w:p>
        </w:tc>
        <w:tc>
          <w:tcPr>
            <w:tcW w:w="1846" w:type="pct"/>
            <w:tcBorders>
              <w:top w:val="single" w:sz="6" w:space="0" w:color="595959"/>
              <w:left w:val="single" w:sz="4" w:space="0" w:color="auto"/>
              <w:bottom w:val="single" w:sz="4" w:space="0" w:color="auto"/>
              <w:right w:val="single" w:sz="6" w:space="0" w:color="595959"/>
            </w:tcBorders>
            <w:shd w:val="clear" w:color="auto" w:fill="auto"/>
            <w:vAlign w:val="center"/>
            <w:hideMark/>
          </w:tcPr>
          <w:p w14:paraId="16710BD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стопанства излезли на пазара</w:t>
            </w:r>
          </w:p>
        </w:tc>
        <w:tc>
          <w:tcPr>
            <w:tcW w:w="847" w:type="pct"/>
            <w:tcBorders>
              <w:top w:val="single" w:sz="6" w:space="0" w:color="595959"/>
              <w:left w:val="single" w:sz="6" w:space="0" w:color="595959"/>
              <w:bottom w:val="single" w:sz="4" w:space="0" w:color="auto"/>
              <w:right w:val="single" w:sz="6" w:space="0" w:color="595959"/>
            </w:tcBorders>
            <w:shd w:val="clear" w:color="auto" w:fill="auto"/>
            <w:noWrap/>
            <w:vAlign w:val="center"/>
            <w:hideMark/>
          </w:tcPr>
          <w:p w14:paraId="09DF9E9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7 200</w:t>
            </w:r>
          </w:p>
        </w:tc>
        <w:tc>
          <w:tcPr>
            <w:tcW w:w="770" w:type="pct"/>
            <w:tcBorders>
              <w:top w:val="single" w:sz="6" w:space="0" w:color="595959"/>
              <w:left w:val="single" w:sz="6" w:space="0" w:color="595959"/>
              <w:bottom w:val="single" w:sz="4" w:space="0" w:color="auto"/>
              <w:right w:val="single" w:sz="6" w:space="0" w:color="595959"/>
            </w:tcBorders>
            <w:shd w:val="clear" w:color="auto" w:fill="auto"/>
            <w:noWrap/>
            <w:vAlign w:val="center"/>
            <w:hideMark/>
          </w:tcPr>
          <w:p w14:paraId="62D46AE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1 523</w:t>
            </w:r>
          </w:p>
        </w:tc>
        <w:tc>
          <w:tcPr>
            <w:tcW w:w="806" w:type="pct"/>
            <w:tcBorders>
              <w:top w:val="single" w:sz="6" w:space="0" w:color="595959"/>
              <w:left w:val="single" w:sz="6" w:space="0" w:color="595959"/>
              <w:bottom w:val="single" w:sz="4" w:space="0" w:color="auto"/>
              <w:right w:val="single" w:sz="4" w:space="0" w:color="auto"/>
            </w:tcBorders>
            <w:vAlign w:val="center"/>
          </w:tcPr>
          <w:p w14:paraId="0A174FB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21%</w:t>
            </w:r>
          </w:p>
        </w:tc>
      </w:tr>
    </w:tbl>
    <w:p w14:paraId="1B8FB52F" w14:textId="77777777" w:rsidR="00E8617E" w:rsidRPr="00AE71CA" w:rsidRDefault="00E8617E" w:rsidP="00E8617E">
      <w:pPr>
        <w:rPr>
          <w:rFonts w:ascii="Arial" w:hAnsi="Arial" w:cs="Arial"/>
          <w:sz w:val="18"/>
          <w:szCs w:val="18"/>
        </w:rPr>
      </w:pPr>
      <w:r w:rsidRPr="00AE71CA">
        <w:rPr>
          <w:rFonts w:ascii="Arial" w:hAnsi="Arial" w:cs="Arial"/>
          <w:sz w:val="18"/>
          <w:szCs w:val="18"/>
        </w:rPr>
        <w:t>Източник: МЗХГ</w:t>
      </w:r>
    </w:p>
    <w:p w14:paraId="732689D0" w14:textId="77777777" w:rsidR="00E8617E" w:rsidRPr="00BC513A" w:rsidRDefault="00E8617E" w:rsidP="00E8617E">
      <w:pPr>
        <w:spacing w:after="0" w:line="300" w:lineRule="atLeast"/>
        <w:ind w:firstLine="709"/>
        <w:jc w:val="both"/>
        <w:rPr>
          <w:rFonts w:ascii="Arial" w:hAnsi="Arial" w:cs="Arial"/>
          <w:lang w:eastAsia="ja-JP"/>
        </w:rPr>
      </w:pPr>
      <w:r w:rsidRPr="00BC513A">
        <w:rPr>
          <w:rFonts w:ascii="Arial" w:hAnsi="Arial" w:cs="Arial"/>
          <w:lang w:eastAsia="ja-JP"/>
        </w:rPr>
        <w:t xml:space="preserve">Трябва да се подчертае, че самата мярка има проблем с предоставянето на атрактивни условия към потенциалните бенефициенти. Предвиденото годишно подпомагане по 1 500 евро за първите 5 години на прилагане на мярката при бенефициентите не е съобразено с нуждите и с възможността тези средства да променят ситуацията в стопанства, което е една от причините за регистрирането на слаб интерес към мярката в първите 2 години на прилагане. </w:t>
      </w:r>
    </w:p>
    <w:p w14:paraId="2881E42E" w14:textId="77777777" w:rsidR="00E8617E" w:rsidRPr="00BC513A" w:rsidRDefault="00E8617E" w:rsidP="00E8617E">
      <w:pPr>
        <w:spacing w:after="0" w:line="300" w:lineRule="atLeast"/>
        <w:ind w:firstLine="709"/>
        <w:jc w:val="both"/>
        <w:rPr>
          <w:rFonts w:ascii="Arial" w:hAnsi="Arial" w:cs="Arial"/>
          <w:bCs/>
        </w:rPr>
      </w:pPr>
      <w:r w:rsidRPr="00BC513A">
        <w:rPr>
          <w:rFonts w:ascii="Arial" w:hAnsi="Arial" w:cs="Arial"/>
          <w:bCs/>
        </w:rPr>
        <w:t>Добра практика при прилагането на мярката е децентрализираният подход, използван при нейното прилагане и съветническите и консултантски услуги, предоставяни на полупазарните стопанства от Националната служба за съвети в земеделието в рамките на допустимите за подпомагане дейности по мярка 143 от ПРСР.</w:t>
      </w:r>
    </w:p>
    <w:p w14:paraId="1A1B76AE" w14:textId="77777777" w:rsidR="00E8617E" w:rsidRPr="00BC513A" w:rsidRDefault="00E8617E" w:rsidP="00E8617E">
      <w:pPr>
        <w:spacing w:after="0" w:line="300" w:lineRule="atLeast"/>
        <w:ind w:firstLine="709"/>
        <w:jc w:val="both"/>
        <w:rPr>
          <w:rFonts w:ascii="Arial" w:hAnsi="Arial" w:cs="Arial"/>
          <w:lang w:eastAsia="ja-JP"/>
        </w:rPr>
      </w:pPr>
    </w:p>
    <w:p w14:paraId="2AA4AD01" w14:textId="77777777" w:rsidR="00E8617E" w:rsidRPr="00BC513A" w:rsidRDefault="00E8617E" w:rsidP="00E8617E">
      <w:pPr>
        <w:pStyle w:val="DefaultText"/>
        <w:rPr>
          <w:rFonts w:cs="Arial"/>
          <w:b/>
          <w:color w:val="0070C0"/>
          <w:sz w:val="20"/>
          <w:szCs w:val="20"/>
          <w:lang w:val="bg-BG"/>
        </w:rPr>
      </w:pPr>
      <w:bookmarkStart w:id="123" w:name="_Toc504136210"/>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38</w:t>
      </w:r>
      <w:r w:rsidRPr="00BC513A">
        <w:rPr>
          <w:rFonts w:cs="Arial"/>
          <w:b/>
          <w:color w:val="0070C0"/>
          <w:sz w:val="20"/>
          <w:szCs w:val="20"/>
          <w:lang w:val="bg-BG"/>
        </w:rPr>
        <w:fldChar w:fldCharType="end"/>
      </w:r>
      <w:r w:rsidR="00047E2D">
        <w:rPr>
          <w:rFonts w:cs="Arial"/>
          <w:b/>
          <w:color w:val="0070C0"/>
          <w:sz w:val="20"/>
          <w:szCs w:val="20"/>
          <w:lang w:val="bg-BG"/>
        </w:rPr>
        <w:t>.</w:t>
      </w:r>
      <w:r w:rsidRPr="00BC513A">
        <w:rPr>
          <w:rFonts w:cs="Arial"/>
          <w:b/>
          <w:color w:val="0070C0"/>
          <w:sz w:val="20"/>
          <w:szCs w:val="20"/>
          <w:lang w:val="bg-BG"/>
        </w:rPr>
        <w:t xml:space="preserve"> Одобрени и платени проекти според размера на използваната площ</w:t>
      </w:r>
      <w:bookmarkEnd w:id="123"/>
    </w:p>
    <w:tbl>
      <w:tblPr>
        <w:tblW w:w="4916" w:type="pct"/>
        <w:jc w:val="center"/>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CellMar>
          <w:left w:w="70" w:type="dxa"/>
          <w:right w:w="70" w:type="dxa"/>
        </w:tblCellMar>
        <w:tblLook w:val="04A0" w:firstRow="1" w:lastRow="0" w:firstColumn="1" w:lastColumn="0" w:noHBand="0" w:noVBand="1"/>
      </w:tblPr>
      <w:tblGrid>
        <w:gridCol w:w="1688"/>
        <w:gridCol w:w="1842"/>
        <w:gridCol w:w="1842"/>
        <w:gridCol w:w="1842"/>
        <w:gridCol w:w="1842"/>
      </w:tblGrid>
      <w:tr w:rsidR="00E8617E" w:rsidRPr="00BC513A" w14:paraId="376BD89F" w14:textId="77777777" w:rsidTr="00922731">
        <w:trPr>
          <w:trHeight w:val="1069"/>
          <w:jc w:val="center"/>
        </w:trPr>
        <w:tc>
          <w:tcPr>
            <w:tcW w:w="932" w:type="pct"/>
            <w:shd w:val="clear" w:color="auto" w:fill="1F4E79" w:themeFill="accent1" w:themeFillShade="80"/>
            <w:vAlign w:val="center"/>
            <w:hideMark/>
          </w:tcPr>
          <w:p w14:paraId="0A8DD74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Размер на използвана площ</w:t>
            </w:r>
          </w:p>
        </w:tc>
        <w:tc>
          <w:tcPr>
            <w:tcW w:w="1017" w:type="pct"/>
            <w:shd w:val="clear" w:color="auto" w:fill="1F4E79" w:themeFill="accent1" w:themeFillShade="80"/>
            <w:vAlign w:val="center"/>
            <w:hideMark/>
          </w:tcPr>
          <w:p w14:paraId="7E87B4EC"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Брой одобрени проекти</w:t>
            </w:r>
          </w:p>
        </w:tc>
        <w:tc>
          <w:tcPr>
            <w:tcW w:w="1017" w:type="pct"/>
            <w:shd w:val="clear" w:color="auto" w:fill="1F4E79" w:themeFill="accent1" w:themeFillShade="80"/>
            <w:vAlign w:val="center"/>
          </w:tcPr>
          <w:p w14:paraId="3734B98C"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Брой одобрени проекти с плащания</w:t>
            </w:r>
          </w:p>
        </w:tc>
        <w:tc>
          <w:tcPr>
            <w:tcW w:w="1017" w:type="pct"/>
            <w:shd w:val="clear" w:color="auto" w:fill="1F4E79" w:themeFill="accent1" w:themeFillShade="80"/>
            <w:vAlign w:val="center"/>
            <w:hideMark/>
          </w:tcPr>
          <w:p w14:paraId="7CBEF46A"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Средства платено от ЕЗФРСР, хил.евро</w:t>
            </w:r>
          </w:p>
        </w:tc>
        <w:tc>
          <w:tcPr>
            <w:tcW w:w="1017" w:type="pct"/>
            <w:shd w:val="clear" w:color="auto" w:fill="1F4E79" w:themeFill="accent1" w:themeFillShade="80"/>
            <w:vAlign w:val="center"/>
            <w:hideMark/>
          </w:tcPr>
          <w:p w14:paraId="44B38E6E"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Обща стойност на публичната помощ, хил. евро</w:t>
            </w:r>
          </w:p>
        </w:tc>
      </w:tr>
      <w:tr w:rsidR="00E8617E" w:rsidRPr="00BC513A" w14:paraId="0DB477BA" w14:textId="77777777" w:rsidTr="00922731">
        <w:trPr>
          <w:trHeight w:val="315"/>
          <w:jc w:val="center"/>
        </w:trPr>
        <w:tc>
          <w:tcPr>
            <w:tcW w:w="932" w:type="pct"/>
            <w:shd w:val="clear" w:color="auto" w:fill="auto"/>
            <w:vAlign w:val="bottom"/>
            <w:hideMark/>
          </w:tcPr>
          <w:p w14:paraId="3F620A4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под 5 ха</w:t>
            </w:r>
          </w:p>
        </w:tc>
        <w:tc>
          <w:tcPr>
            <w:tcW w:w="1017" w:type="pct"/>
            <w:shd w:val="clear" w:color="auto" w:fill="auto"/>
            <w:noWrap/>
            <w:vAlign w:val="center"/>
            <w:hideMark/>
          </w:tcPr>
          <w:p w14:paraId="2F3025D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8 511</w:t>
            </w:r>
          </w:p>
        </w:tc>
        <w:tc>
          <w:tcPr>
            <w:tcW w:w="1017" w:type="pct"/>
            <w:vAlign w:val="center"/>
          </w:tcPr>
          <w:p w14:paraId="6527CAB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7 818</w:t>
            </w:r>
          </w:p>
        </w:tc>
        <w:tc>
          <w:tcPr>
            <w:tcW w:w="1017" w:type="pct"/>
            <w:shd w:val="clear" w:color="auto" w:fill="auto"/>
            <w:noWrap/>
            <w:vAlign w:val="center"/>
            <w:hideMark/>
          </w:tcPr>
          <w:p w14:paraId="4297ED99"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32 224</w:t>
            </w:r>
          </w:p>
        </w:tc>
        <w:tc>
          <w:tcPr>
            <w:tcW w:w="1017" w:type="pct"/>
            <w:shd w:val="clear" w:color="auto" w:fill="auto"/>
            <w:noWrap/>
            <w:vAlign w:val="center"/>
            <w:hideMark/>
          </w:tcPr>
          <w:p w14:paraId="5982E5BD"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40 280</w:t>
            </w:r>
          </w:p>
        </w:tc>
      </w:tr>
      <w:tr w:rsidR="00E8617E" w:rsidRPr="00BC513A" w14:paraId="6846DFCE" w14:textId="77777777" w:rsidTr="00922731">
        <w:trPr>
          <w:trHeight w:val="315"/>
          <w:jc w:val="center"/>
        </w:trPr>
        <w:tc>
          <w:tcPr>
            <w:tcW w:w="932" w:type="pct"/>
            <w:shd w:val="clear" w:color="auto" w:fill="auto"/>
            <w:vAlign w:val="bottom"/>
            <w:hideMark/>
          </w:tcPr>
          <w:p w14:paraId="5F61DBE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от 5 ха до 10 ха</w:t>
            </w:r>
          </w:p>
        </w:tc>
        <w:tc>
          <w:tcPr>
            <w:tcW w:w="1017" w:type="pct"/>
            <w:shd w:val="clear" w:color="auto" w:fill="auto"/>
            <w:noWrap/>
            <w:vAlign w:val="center"/>
            <w:hideMark/>
          </w:tcPr>
          <w:p w14:paraId="483E3C1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596</w:t>
            </w:r>
          </w:p>
        </w:tc>
        <w:tc>
          <w:tcPr>
            <w:tcW w:w="1017" w:type="pct"/>
            <w:vAlign w:val="center"/>
          </w:tcPr>
          <w:p w14:paraId="1694B61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533</w:t>
            </w:r>
          </w:p>
        </w:tc>
        <w:tc>
          <w:tcPr>
            <w:tcW w:w="1017" w:type="pct"/>
            <w:shd w:val="clear" w:color="auto" w:fill="auto"/>
            <w:noWrap/>
            <w:vAlign w:val="center"/>
            <w:hideMark/>
          </w:tcPr>
          <w:p w14:paraId="62199758"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2 385</w:t>
            </w:r>
          </w:p>
        </w:tc>
        <w:tc>
          <w:tcPr>
            <w:tcW w:w="1017" w:type="pct"/>
            <w:shd w:val="clear" w:color="auto" w:fill="auto"/>
            <w:noWrap/>
            <w:vAlign w:val="center"/>
            <w:hideMark/>
          </w:tcPr>
          <w:p w14:paraId="0ACFFDC3"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2 982</w:t>
            </w:r>
          </w:p>
        </w:tc>
      </w:tr>
      <w:tr w:rsidR="00E8617E" w:rsidRPr="00BC513A" w14:paraId="47264DEC" w14:textId="77777777" w:rsidTr="00922731">
        <w:trPr>
          <w:trHeight w:val="315"/>
          <w:jc w:val="center"/>
        </w:trPr>
        <w:tc>
          <w:tcPr>
            <w:tcW w:w="932" w:type="pct"/>
            <w:shd w:val="clear" w:color="auto" w:fill="auto"/>
            <w:vAlign w:val="bottom"/>
            <w:hideMark/>
          </w:tcPr>
          <w:p w14:paraId="0204C3F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над 10 ха</w:t>
            </w:r>
          </w:p>
        </w:tc>
        <w:tc>
          <w:tcPr>
            <w:tcW w:w="1017" w:type="pct"/>
            <w:shd w:val="clear" w:color="auto" w:fill="auto"/>
            <w:noWrap/>
            <w:vAlign w:val="center"/>
            <w:hideMark/>
          </w:tcPr>
          <w:p w14:paraId="0BDFBF2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329</w:t>
            </w:r>
          </w:p>
        </w:tc>
        <w:tc>
          <w:tcPr>
            <w:tcW w:w="1017" w:type="pct"/>
            <w:vAlign w:val="center"/>
          </w:tcPr>
          <w:p w14:paraId="21B58A9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284</w:t>
            </w:r>
          </w:p>
        </w:tc>
        <w:tc>
          <w:tcPr>
            <w:tcW w:w="1017" w:type="pct"/>
            <w:shd w:val="clear" w:color="auto" w:fill="auto"/>
            <w:noWrap/>
            <w:vAlign w:val="center"/>
            <w:hideMark/>
          </w:tcPr>
          <w:p w14:paraId="4C91EB7B"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1 246</w:t>
            </w:r>
          </w:p>
        </w:tc>
        <w:tc>
          <w:tcPr>
            <w:tcW w:w="1017" w:type="pct"/>
            <w:shd w:val="clear" w:color="auto" w:fill="auto"/>
            <w:noWrap/>
            <w:vAlign w:val="center"/>
            <w:hideMark/>
          </w:tcPr>
          <w:p w14:paraId="1503A038"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1 558</w:t>
            </w:r>
          </w:p>
        </w:tc>
      </w:tr>
      <w:tr w:rsidR="00E8617E" w:rsidRPr="00BC513A" w14:paraId="58EC8951" w14:textId="77777777" w:rsidTr="00922731">
        <w:trPr>
          <w:trHeight w:val="315"/>
          <w:jc w:val="center"/>
        </w:trPr>
        <w:tc>
          <w:tcPr>
            <w:tcW w:w="932" w:type="pct"/>
            <w:shd w:val="clear" w:color="auto" w:fill="DEEAF6" w:themeFill="accent1" w:themeFillTint="33"/>
            <w:vAlign w:val="bottom"/>
            <w:hideMark/>
          </w:tcPr>
          <w:p w14:paraId="23883ED0"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Общо</w:t>
            </w:r>
          </w:p>
        </w:tc>
        <w:tc>
          <w:tcPr>
            <w:tcW w:w="1017" w:type="pct"/>
            <w:shd w:val="clear" w:color="auto" w:fill="DEEAF6" w:themeFill="accent1" w:themeFillTint="33"/>
            <w:noWrap/>
            <w:vAlign w:val="center"/>
            <w:hideMark/>
          </w:tcPr>
          <w:p w14:paraId="3CDE7081"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9 436</w:t>
            </w:r>
          </w:p>
        </w:tc>
        <w:tc>
          <w:tcPr>
            <w:tcW w:w="1017" w:type="pct"/>
            <w:shd w:val="clear" w:color="auto" w:fill="DEEAF6" w:themeFill="accent1" w:themeFillTint="33"/>
            <w:vAlign w:val="center"/>
          </w:tcPr>
          <w:p w14:paraId="3C8ECE85"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8 635</w:t>
            </w:r>
          </w:p>
        </w:tc>
        <w:tc>
          <w:tcPr>
            <w:tcW w:w="1017" w:type="pct"/>
            <w:shd w:val="clear" w:color="auto" w:fill="DEEAF6" w:themeFill="accent1" w:themeFillTint="33"/>
            <w:noWrap/>
            <w:vAlign w:val="center"/>
            <w:hideMark/>
          </w:tcPr>
          <w:p w14:paraId="4D958CFF"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35 855</w:t>
            </w:r>
          </w:p>
        </w:tc>
        <w:tc>
          <w:tcPr>
            <w:tcW w:w="1017" w:type="pct"/>
            <w:shd w:val="clear" w:color="auto" w:fill="DEEAF6" w:themeFill="accent1" w:themeFillTint="33"/>
            <w:noWrap/>
            <w:vAlign w:val="center"/>
            <w:hideMark/>
          </w:tcPr>
          <w:p w14:paraId="7D4EF3D1"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44 820</w:t>
            </w:r>
          </w:p>
        </w:tc>
      </w:tr>
    </w:tbl>
    <w:p w14:paraId="055CD3F4" w14:textId="77777777" w:rsidR="00E8617E" w:rsidRPr="00AE71CA" w:rsidRDefault="00AE71CA" w:rsidP="00E8617E">
      <w:pPr>
        <w:spacing w:after="0" w:line="300" w:lineRule="atLeast"/>
        <w:jc w:val="both"/>
        <w:rPr>
          <w:rFonts w:ascii="Arial" w:hAnsi="Arial" w:cs="Arial"/>
          <w:sz w:val="18"/>
          <w:szCs w:val="18"/>
          <w:lang w:eastAsia="ja-JP"/>
        </w:rPr>
      </w:pPr>
      <w:r w:rsidRPr="00AE71CA">
        <w:rPr>
          <w:rFonts w:ascii="Arial" w:hAnsi="Arial" w:cs="Arial"/>
          <w:sz w:val="18"/>
          <w:szCs w:val="18"/>
        </w:rPr>
        <w:t>Източник: Годишен д</w:t>
      </w:r>
      <w:r w:rsidR="00E8617E" w:rsidRPr="00AE71CA">
        <w:rPr>
          <w:rFonts w:ascii="Arial" w:hAnsi="Arial" w:cs="Arial"/>
          <w:sz w:val="18"/>
          <w:szCs w:val="18"/>
        </w:rPr>
        <w:t xml:space="preserve">оклад за </w:t>
      </w:r>
      <w:r w:rsidRPr="00AE71CA">
        <w:rPr>
          <w:rFonts w:ascii="Arial" w:hAnsi="Arial" w:cs="Arial"/>
          <w:sz w:val="18"/>
          <w:szCs w:val="18"/>
        </w:rPr>
        <w:t>и</w:t>
      </w:r>
      <w:r w:rsidR="00E8617E" w:rsidRPr="00AE71CA">
        <w:rPr>
          <w:rFonts w:ascii="Arial" w:hAnsi="Arial" w:cs="Arial"/>
          <w:sz w:val="18"/>
          <w:szCs w:val="18"/>
        </w:rPr>
        <w:t xml:space="preserve">зпълнение на ПРСР </w:t>
      </w:r>
      <w:r w:rsidRPr="00AE71CA">
        <w:rPr>
          <w:rFonts w:ascii="Arial" w:hAnsi="Arial" w:cs="Arial"/>
          <w:sz w:val="18"/>
          <w:szCs w:val="18"/>
        </w:rPr>
        <w:t>за 2015 г.</w:t>
      </w:r>
    </w:p>
    <w:p w14:paraId="553BDDDA" w14:textId="77777777" w:rsidR="00E8617E" w:rsidRPr="00BC513A" w:rsidRDefault="00E8617E" w:rsidP="00E8617E">
      <w:pPr>
        <w:spacing w:after="0" w:line="300" w:lineRule="atLeast"/>
        <w:ind w:firstLine="709"/>
        <w:jc w:val="both"/>
        <w:rPr>
          <w:rFonts w:ascii="Arial" w:hAnsi="Arial" w:cs="Arial"/>
          <w:lang w:eastAsia="ja-JP"/>
        </w:rPr>
      </w:pPr>
    </w:p>
    <w:p w14:paraId="74BAE675" w14:textId="5D13C14E" w:rsidR="00E8617E" w:rsidRPr="00BC513A" w:rsidRDefault="00E8617E" w:rsidP="00E8617E">
      <w:pPr>
        <w:spacing w:after="0" w:line="300" w:lineRule="atLeast"/>
        <w:ind w:firstLine="709"/>
        <w:jc w:val="both"/>
        <w:rPr>
          <w:rFonts w:ascii="Arial" w:hAnsi="Arial" w:cs="Arial"/>
          <w:lang w:eastAsia="ja-JP"/>
        </w:rPr>
      </w:pPr>
      <w:r w:rsidRPr="00BC513A">
        <w:rPr>
          <w:rFonts w:ascii="Arial" w:hAnsi="Arial" w:cs="Arial"/>
          <w:lang w:eastAsia="ja-JP"/>
        </w:rPr>
        <w:t xml:space="preserve">От прилагането на мярката се вижда, че над 90% от кандидатите и от одобрените бенефициенти са стопанства до 5 ха. Реално само 3% от прилагащите мярката ферми са с площ над 10 ха. В действителност, броят на стопанствата в страната бързо намалява, като само за 10 години от 2003 до 2013 г., те се стопяват с </w:t>
      </w:r>
      <w:r w:rsidR="009C090C">
        <w:rPr>
          <w:rFonts w:ascii="Arial" w:hAnsi="Arial" w:cs="Arial"/>
          <w:lang w:eastAsia="ja-JP"/>
        </w:rPr>
        <w:t xml:space="preserve">над </w:t>
      </w:r>
      <w:r w:rsidRPr="00BC513A">
        <w:rPr>
          <w:rFonts w:ascii="Arial" w:hAnsi="Arial" w:cs="Arial"/>
          <w:lang w:eastAsia="ja-JP"/>
        </w:rPr>
        <w:t xml:space="preserve">400 хил., което представлява съкращение с 60% от броя им през 2003 г. Това изцяло е за сметка на малките стопанства с площ до 2 ха, които са намалели от 591 хил. на </w:t>
      </w:r>
      <w:r w:rsidR="00A07ED3" w:rsidRPr="00BC513A">
        <w:rPr>
          <w:rFonts w:ascii="Arial" w:hAnsi="Arial" w:cs="Arial"/>
          <w:lang w:eastAsia="ja-JP"/>
        </w:rPr>
        <w:t>1</w:t>
      </w:r>
      <w:r w:rsidR="00A07ED3">
        <w:rPr>
          <w:rFonts w:ascii="Arial" w:hAnsi="Arial" w:cs="Arial"/>
          <w:lang w:eastAsia="ja-JP"/>
        </w:rPr>
        <w:t>8</w:t>
      </w:r>
      <w:r w:rsidR="00A07ED3" w:rsidRPr="00BC513A">
        <w:rPr>
          <w:rFonts w:ascii="Arial" w:hAnsi="Arial" w:cs="Arial"/>
          <w:lang w:eastAsia="ja-JP"/>
        </w:rPr>
        <w:t xml:space="preserve">3 </w:t>
      </w:r>
      <w:r w:rsidRPr="00BC513A">
        <w:rPr>
          <w:rFonts w:ascii="Arial" w:hAnsi="Arial" w:cs="Arial"/>
          <w:lang w:eastAsia="ja-JP"/>
        </w:rPr>
        <w:t>хил. Тенденцията е за намаляване броя на стопанствата с площ до 5 ха, а увеличаване броя на тези над 5 ха, което свидетелства за повишаване на пазарната ориентираност. Преобладаващата част обаче от финансирането е отишло за стопанства до 5 ха, което ако е помогнало тези стопанства да се разширят и да преминат в по-високия клас</w:t>
      </w:r>
      <w:r w:rsidR="00A1734E">
        <w:rPr>
          <w:rFonts w:ascii="Arial" w:hAnsi="Arial" w:cs="Arial"/>
          <w:lang w:eastAsia="ja-JP"/>
        </w:rPr>
        <w:t>,</w:t>
      </w:r>
      <w:r w:rsidRPr="00BC513A">
        <w:rPr>
          <w:rFonts w:ascii="Arial" w:hAnsi="Arial" w:cs="Arial"/>
          <w:lang w:eastAsia="ja-JP"/>
        </w:rPr>
        <w:t xml:space="preserve"> е положителен атестат за мярката, но ако тези стопанства са останали на същото си място, тогава ползите от подкрепата са незначителни. Вероятно при поставянето на изискванията към кандидатите, освен да повишат своя икономически размер с 3 ИЕ</w:t>
      </w:r>
      <w:r w:rsidR="00A1734E">
        <w:rPr>
          <w:rFonts w:ascii="Arial" w:hAnsi="Arial" w:cs="Arial"/>
          <w:lang w:eastAsia="ja-JP"/>
        </w:rPr>
        <w:t>,</w:t>
      </w:r>
      <w:r w:rsidRPr="00BC513A">
        <w:rPr>
          <w:rFonts w:ascii="Arial" w:hAnsi="Arial" w:cs="Arial"/>
          <w:lang w:eastAsia="ja-JP"/>
        </w:rPr>
        <w:t xml:space="preserve"> е могло да се постави определен горен праг, например да достигнат 7 ИЕ и по този начин онези стопанства, които стартират от по-нисък икономически размер ще е трябвало да направят по-голямо разширение на размера си и мярката да постигне по-големи ефекти и от гледна точка на пазарната ориентация и на добавената стойност в селското стопанство.</w:t>
      </w:r>
    </w:p>
    <w:p w14:paraId="412816C8" w14:textId="58C4FA8F"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Оценката на въздействие по мярка 141 за подпомагане на полупазарни стопанства се извършва единствено по индикатора за създаване на брутна добавена стойност на ГРЕ. Заложената цел по мярката е създаване на допълнителна добавена стойност в подпомогнатите стопанства в размер на 230 евро/ГРЕ. Вече беше споменато, че този индикатор е силно занижен и затова отчитането на н</w:t>
      </w:r>
      <w:r w:rsidR="00047E2D">
        <w:rPr>
          <w:sz w:val="22"/>
          <w:szCs w:val="22"/>
          <w:lang w:val="bg-BG"/>
        </w:rPr>
        <w:t>я</w:t>
      </w:r>
      <w:r w:rsidRPr="00BC513A">
        <w:rPr>
          <w:sz w:val="22"/>
          <w:szCs w:val="22"/>
          <w:lang w:val="bg-BG"/>
        </w:rPr>
        <w:t>колкократно превишение на заложените цели трябва да бъде разглеждано по-скоро като подценяване при фиксиране на целите, а не като прекомерен успех на изпълнението. Изпълнението на индикатора за нетно създаване на добавена стойност се оценява на 1 622 на ГРЕ, което е преизпълнение на 705%. Независимо дали и с колко е подценен този индикатор, резултатът е много добър и показва, че се постига значим напредък в създаването на добавена стойност и възвращаемост на труда в подпомогнатите полупазарни стопанства.</w:t>
      </w:r>
    </w:p>
    <w:p w14:paraId="39FECF4C" w14:textId="77777777" w:rsidR="00E8617E" w:rsidRPr="00BC513A" w:rsidRDefault="00E8617E" w:rsidP="00E8617E">
      <w:pPr>
        <w:pStyle w:val="DefaultText"/>
        <w:ind w:firstLine="709"/>
        <w:rPr>
          <w:b/>
          <w:szCs w:val="22"/>
          <w:lang w:val="bg-BG"/>
        </w:rPr>
      </w:pPr>
    </w:p>
    <w:p w14:paraId="7F636BE0" w14:textId="77777777" w:rsidR="00E8617E" w:rsidRPr="00BC513A" w:rsidRDefault="00E8617E" w:rsidP="00E8617E">
      <w:pPr>
        <w:pStyle w:val="DefaultText"/>
        <w:rPr>
          <w:rFonts w:cs="Arial"/>
          <w:b/>
          <w:color w:val="0070C0"/>
          <w:sz w:val="20"/>
          <w:szCs w:val="20"/>
          <w:lang w:val="bg-BG"/>
        </w:rPr>
      </w:pPr>
      <w:bookmarkStart w:id="124" w:name="_Toc504136211"/>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39</w:t>
      </w:r>
      <w:r w:rsidRPr="00BC513A">
        <w:rPr>
          <w:rFonts w:cs="Arial"/>
          <w:b/>
          <w:color w:val="0070C0"/>
          <w:sz w:val="20"/>
          <w:szCs w:val="20"/>
          <w:lang w:val="bg-BG"/>
        </w:rPr>
        <w:fldChar w:fldCharType="end"/>
      </w:r>
      <w:r w:rsidR="00047E2D">
        <w:rPr>
          <w:rFonts w:cs="Arial"/>
          <w:b/>
          <w:color w:val="0070C0"/>
          <w:sz w:val="20"/>
          <w:szCs w:val="20"/>
          <w:lang w:val="bg-BG"/>
        </w:rPr>
        <w:t>.</w:t>
      </w:r>
      <w:r w:rsidRPr="00BC513A">
        <w:rPr>
          <w:rFonts w:cs="Arial"/>
          <w:b/>
          <w:color w:val="0070C0"/>
          <w:sz w:val="20"/>
          <w:szCs w:val="20"/>
          <w:lang w:val="bg-BG"/>
        </w:rPr>
        <w:t xml:space="preserve"> Изпълнение на индикаторите за въздействие по мярка 141</w:t>
      </w:r>
      <w:bookmarkEnd w:id="124"/>
    </w:p>
    <w:tbl>
      <w:tblPr>
        <w:tblW w:w="4925" w:type="pct"/>
        <w:tblInd w:w="70" w:type="dxa"/>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1560"/>
        <w:gridCol w:w="3259"/>
        <w:gridCol w:w="1276"/>
        <w:gridCol w:w="1417"/>
        <w:gridCol w:w="1561"/>
      </w:tblGrid>
      <w:tr w:rsidR="00E8617E" w:rsidRPr="00BC513A" w14:paraId="2A54816D" w14:textId="77777777" w:rsidTr="00922731">
        <w:trPr>
          <w:trHeight w:val="686"/>
        </w:trPr>
        <w:tc>
          <w:tcPr>
            <w:tcW w:w="860" w:type="pct"/>
            <w:shd w:val="clear" w:color="auto" w:fill="1F4E79" w:themeFill="accent1" w:themeFillShade="80"/>
            <w:noWrap/>
            <w:vAlign w:val="center"/>
            <w:hideMark/>
          </w:tcPr>
          <w:p w14:paraId="242E655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796" w:type="pct"/>
            <w:shd w:val="clear" w:color="auto" w:fill="1F4E79" w:themeFill="accent1" w:themeFillShade="80"/>
            <w:vAlign w:val="center"/>
            <w:hideMark/>
          </w:tcPr>
          <w:p w14:paraId="22F282EA"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703" w:type="pct"/>
            <w:shd w:val="clear" w:color="auto" w:fill="1F4E79" w:themeFill="accent1" w:themeFillShade="80"/>
            <w:noWrap/>
            <w:vAlign w:val="center"/>
            <w:hideMark/>
          </w:tcPr>
          <w:p w14:paraId="4C950959"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81" w:type="pct"/>
            <w:shd w:val="clear" w:color="auto" w:fill="1F4E79" w:themeFill="accent1" w:themeFillShade="80"/>
            <w:vAlign w:val="center"/>
            <w:hideMark/>
          </w:tcPr>
          <w:p w14:paraId="0C9479F8"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60" w:type="pct"/>
            <w:shd w:val="clear" w:color="auto" w:fill="1F4E79" w:themeFill="accent1" w:themeFillShade="80"/>
            <w:vAlign w:val="center"/>
          </w:tcPr>
          <w:p w14:paraId="3717E26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41CDE807" w14:textId="77777777" w:rsidTr="00922731">
        <w:trPr>
          <w:trHeight w:val="698"/>
        </w:trPr>
        <w:tc>
          <w:tcPr>
            <w:tcW w:w="860" w:type="pct"/>
            <w:shd w:val="clear" w:color="auto" w:fill="auto"/>
            <w:vAlign w:val="center"/>
            <w:hideMark/>
          </w:tcPr>
          <w:p w14:paraId="06F5F271"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Въздействие</w:t>
            </w:r>
          </w:p>
        </w:tc>
        <w:tc>
          <w:tcPr>
            <w:tcW w:w="1796" w:type="pct"/>
            <w:shd w:val="clear" w:color="auto" w:fill="auto"/>
            <w:vAlign w:val="center"/>
            <w:hideMark/>
          </w:tcPr>
          <w:p w14:paraId="2462833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Производителност на труда (</w:t>
            </w:r>
            <w:r w:rsidRPr="00BC513A">
              <w:rPr>
                <w:rFonts w:ascii="Arial" w:hAnsi="Arial" w:cs="Arial"/>
                <w:sz w:val="20"/>
                <w:szCs w:val="20"/>
              </w:rPr>
              <w:t>∆БДС/ГРЕ в евро)</w:t>
            </w:r>
          </w:p>
        </w:tc>
        <w:tc>
          <w:tcPr>
            <w:tcW w:w="703" w:type="pct"/>
            <w:shd w:val="clear" w:color="auto" w:fill="auto"/>
            <w:noWrap/>
            <w:vAlign w:val="center"/>
            <w:hideMark/>
          </w:tcPr>
          <w:p w14:paraId="725178C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230</w:t>
            </w:r>
          </w:p>
        </w:tc>
        <w:tc>
          <w:tcPr>
            <w:tcW w:w="781" w:type="pct"/>
            <w:shd w:val="clear" w:color="auto" w:fill="auto"/>
            <w:vAlign w:val="center"/>
            <w:hideMark/>
          </w:tcPr>
          <w:p w14:paraId="3A92436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1 622</w:t>
            </w:r>
          </w:p>
        </w:tc>
        <w:tc>
          <w:tcPr>
            <w:tcW w:w="860" w:type="pct"/>
            <w:shd w:val="clear" w:color="auto" w:fill="auto"/>
            <w:vAlign w:val="center"/>
            <w:hideMark/>
          </w:tcPr>
          <w:p w14:paraId="1831992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705%</w:t>
            </w:r>
          </w:p>
        </w:tc>
      </w:tr>
    </w:tbl>
    <w:p w14:paraId="134B337B" w14:textId="77777777" w:rsidR="00E8617E" w:rsidRPr="00AE71CA" w:rsidRDefault="00E8617E" w:rsidP="00E8617E">
      <w:pPr>
        <w:pStyle w:val="DefaultText"/>
        <w:rPr>
          <w:rFonts w:cs="Arial"/>
          <w:szCs w:val="18"/>
          <w:lang w:val="bg-BG"/>
        </w:rPr>
      </w:pPr>
      <w:r w:rsidRPr="00AE71CA">
        <w:rPr>
          <w:rFonts w:cs="Arial"/>
          <w:szCs w:val="18"/>
          <w:lang w:val="bg-BG"/>
        </w:rPr>
        <w:t>Източник: МЗХГ и собствени изчисления</w:t>
      </w:r>
    </w:p>
    <w:p w14:paraId="4702AE7B" w14:textId="77777777" w:rsidR="00E8617E" w:rsidRPr="00BC513A" w:rsidRDefault="00E8617E" w:rsidP="00E8617E">
      <w:pPr>
        <w:pStyle w:val="DefaultText"/>
        <w:rPr>
          <w:rFonts w:cs="Arial"/>
          <w:sz w:val="20"/>
          <w:szCs w:val="20"/>
          <w:lang w:val="bg-BG"/>
        </w:rPr>
      </w:pPr>
    </w:p>
    <w:p w14:paraId="4CEC7262" w14:textId="28E68394"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Мярка 141 обхваща малки фамилни стопанства, които по принцип попадат в групата на стопанства, чийто брой намалява сериозно през програмния период и които трудно достигат до пазара и заради ниските доходи излизат от селскостопанското производство. Основната причина за намаляване както на броя на стопанствата, така и на заетостта в селското стопанство, което застрашава и устойчивостта в земеделието</w:t>
      </w:r>
      <w:r w:rsidR="00A1734E">
        <w:rPr>
          <w:sz w:val="22"/>
          <w:szCs w:val="22"/>
          <w:lang w:val="bg-BG"/>
        </w:rPr>
        <w:t>,</w:t>
      </w:r>
      <w:r w:rsidRPr="00BC513A">
        <w:rPr>
          <w:sz w:val="22"/>
          <w:szCs w:val="22"/>
          <w:lang w:val="bg-BG"/>
        </w:rPr>
        <w:t xml:space="preserve"> е нарастване на разликите между създаваната добавена стойност в икономиката и тази</w:t>
      </w:r>
      <w:r w:rsidR="00A1734E">
        <w:rPr>
          <w:sz w:val="22"/>
          <w:szCs w:val="22"/>
          <w:lang w:val="bg-BG"/>
        </w:rPr>
        <w:t>,</w:t>
      </w:r>
      <w:r w:rsidRPr="00BC513A">
        <w:rPr>
          <w:sz w:val="22"/>
          <w:szCs w:val="22"/>
          <w:lang w:val="bg-BG"/>
        </w:rPr>
        <w:t xml:space="preserve"> получавана в земеделието.</w:t>
      </w:r>
    </w:p>
    <w:p w14:paraId="25ED014E" w14:textId="1D8B033A"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 xml:space="preserve">През целия програмен период в земеделието са насочени огромни публични средства по І и ІІ стълб, като резултатите са положителни и надграждащи, но конвергеницията с останалата част от икономиката все още не е достатъчна. През </w:t>
      </w:r>
      <w:r w:rsidR="00A1734E">
        <w:rPr>
          <w:sz w:val="22"/>
          <w:szCs w:val="22"/>
          <w:lang w:val="bg-BG"/>
        </w:rPr>
        <w:t xml:space="preserve">               </w:t>
      </w:r>
      <w:r w:rsidRPr="00BC513A">
        <w:rPr>
          <w:sz w:val="22"/>
          <w:szCs w:val="22"/>
          <w:lang w:val="bg-BG"/>
        </w:rPr>
        <w:t>2006 г. разликите в добавената стойност на ГРЕ между икономиката като цяло и селското стопанство е около 9,4 хил. лв</w:t>
      </w:r>
      <w:r w:rsidR="003C003E">
        <w:rPr>
          <w:sz w:val="22"/>
          <w:szCs w:val="22"/>
          <w:lang w:val="bg-BG"/>
        </w:rPr>
        <w:t>.</w:t>
      </w:r>
      <w:r w:rsidRPr="00BC513A">
        <w:rPr>
          <w:sz w:val="22"/>
          <w:szCs w:val="22"/>
          <w:lang w:val="bg-BG"/>
        </w:rPr>
        <w:t xml:space="preserve">, а през 2015 година тази дистанция е </w:t>
      </w:r>
      <w:r w:rsidR="00A1734E">
        <w:rPr>
          <w:sz w:val="22"/>
          <w:szCs w:val="22"/>
          <w:lang w:val="bg-BG"/>
        </w:rPr>
        <w:t xml:space="preserve">                   </w:t>
      </w:r>
      <w:r w:rsidRPr="00BC513A">
        <w:rPr>
          <w:sz w:val="22"/>
          <w:szCs w:val="22"/>
          <w:lang w:val="bg-BG"/>
        </w:rPr>
        <w:t>9,8 хил. лв. Ако не започне сближаване в добавените стойности между селското стопанство и средните нива в икономиката, малките фамилни стопанства ще продължат да изчезват и това ще се отрази не само на фермерската и стопанска структура на земеделие</w:t>
      </w:r>
      <w:r w:rsidR="00A1734E">
        <w:rPr>
          <w:sz w:val="22"/>
          <w:szCs w:val="22"/>
          <w:lang w:val="bg-BG"/>
        </w:rPr>
        <w:t>то</w:t>
      </w:r>
      <w:r w:rsidRPr="00BC513A">
        <w:rPr>
          <w:sz w:val="22"/>
          <w:szCs w:val="22"/>
          <w:lang w:val="bg-BG"/>
        </w:rPr>
        <w:t>, но ще задълбочи социалните и икономически проблеми в селските райони.</w:t>
      </w:r>
    </w:p>
    <w:p w14:paraId="13CBA35F" w14:textId="77777777" w:rsidR="00E8617E" w:rsidRPr="00AE71CA" w:rsidRDefault="00E8617E" w:rsidP="00E8617E">
      <w:pPr>
        <w:pStyle w:val="DefaultText"/>
        <w:jc w:val="left"/>
        <w:rPr>
          <w:rFonts w:cs="Arial"/>
          <w:szCs w:val="18"/>
          <w:lang w:val="bg-BG"/>
        </w:rPr>
      </w:pPr>
      <w:r w:rsidRPr="00AE71CA">
        <w:rPr>
          <w:szCs w:val="18"/>
          <w:lang w:val="bg-BG"/>
        </w:rPr>
        <w:object w:dxaOrig="9616" w:dyaOrig="4618" w14:anchorId="07C8BD67">
          <v:shape id="_x0000_i1032" type="#_x0000_t75" style="width:417.7pt;height:187.45pt" o:ole="">
            <v:imagedata r:id="rId49" o:title=""/>
          </v:shape>
          <o:OLEObject Type="Embed" ProgID="Excel.Sheet.12" ShapeID="_x0000_i1032" DrawAspect="Content" ObjectID="_1585652223" r:id="rId50"/>
        </w:object>
      </w:r>
      <w:r w:rsidRPr="00AE71CA">
        <w:rPr>
          <w:rFonts w:cs="Arial"/>
          <w:szCs w:val="18"/>
          <w:lang w:val="bg-BG"/>
        </w:rPr>
        <w:t>Източник: НСИ</w:t>
      </w:r>
    </w:p>
    <w:p w14:paraId="06473A53" w14:textId="77777777" w:rsidR="00E8617E" w:rsidRPr="00BC513A" w:rsidRDefault="00E8617E" w:rsidP="00E8617E">
      <w:pPr>
        <w:pStyle w:val="DefaultText"/>
        <w:jc w:val="center"/>
        <w:rPr>
          <w:rFonts w:cs="Arial"/>
          <w:b/>
          <w:color w:val="0070C0"/>
          <w:sz w:val="20"/>
          <w:szCs w:val="20"/>
          <w:lang w:val="bg-BG"/>
        </w:rPr>
      </w:pPr>
      <w:bookmarkStart w:id="125" w:name="_Toc506984719"/>
      <w:r w:rsidRPr="00BC513A">
        <w:rPr>
          <w:rFonts w:cs="Arial"/>
          <w:b/>
          <w:color w:val="0070C0"/>
          <w:sz w:val="20"/>
          <w:szCs w:val="20"/>
          <w:lang w:val="bg-BG"/>
        </w:rPr>
        <w:t xml:space="preserve">Фигура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Фигура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13</w:t>
      </w:r>
      <w:r w:rsidRPr="00BC513A">
        <w:rPr>
          <w:rFonts w:cs="Arial"/>
          <w:b/>
          <w:color w:val="0070C0"/>
          <w:sz w:val="20"/>
          <w:szCs w:val="20"/>
          <w:lang w:val="bg-BG"/>
        </w:rPr>
        <w:fldChar w:fldCharType="end"/>
      </w:r>
      <w:r w:rsidRPr="00BC513A">
        <w:rPr>
          <w:rFonts w:cs="Arial"/>
          <w:b/>
          <w:color w:val="0070C0"/>
          <w:sz w:val="20"/>
          <w:szCs w:val="20"/>
          <w:lang w:val="bg-BG"/>
        </w:rPr>
        <w:t>. БДС на ГРЕ в икономиката и селското стопанство, лв.</w:t>
      </w:r>
      <w:bookmarkEnd w:id="125"/>
    </w:p>
    <w:p w14:paraId="75952837" w14:textId="31F1BD78"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 xml:space="preserve">Общата оценка на изпълнение на мярката и на нейното въздействие е, че мярката достига до една малка част от полупазарните стопанства в страната, само една не голяма част от тях успяват да излязат на пазара и проблемите в тези стопанства от икономически и пазарен характер продължават. През 2013 г. в страната има 78,8 хил. стопанства с икономически размер между 2-8 </w:t>
      </w:r>
      <w:r w:rsidR="00A1734E">
        <w:rPr>
          <w:sz w:val="22"/>
          <w:szCs w:val="22"/>
          <w:lang w:val="bg-BG"/>
        </w:rPr>
        <w:t>хил. евро с</w:t>
      </w:r>
      <w:r w:rsidRPr="00BC513A">
        <w:rPr>
          <w:sz w:val="22"/>
          <w:szCs w:val="22"/>
          <w:lang w:val="bg-BG"/>
        </w:rPr>
        <w:t xml:space="preserve">тандартен производствен обем и между 40-45 хил. от тези стопанства имат характеристики да се развиват на основата на възраст на управителите в тях, което изисква не само индивидуално подпомагане, но и благоприятна среда за интегриране на тези стопанства на пазара чрез получаване на по-добри цени и условия за реализация на продукцията. Това може да стане чрез постигане на по-добър синхрон между мярка 123 и в новия програмен период подмярка 4.2, което да генерира синергични ефекти от подкрепа на хранителната индустрия и малките фамилни стопанства. Мярка 141 успява да постигне повишение на възвращаемостта на труда, но целите трябва да бъдат много по-високи, за да се гарантира и устойчивост и надеждна конкурентоспособност. </w:t>
      </w:r>
    </w:p>
    <w:bookmarkEnd w:id="121"/>
    <w:p w14:paraId="7634AA4E"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142. Създаване на организации на производители</w:t>
      </w:r>
    </w:p>
    <w:p w14:paraId="5D767AEE" w14:textId="61BE13FA" w:rsidR="00E8617E" w:rsidRPr="00BC513A" w:rsidRDefault="00E8617E" w:rsidP="00E8617E">
      <w:pPr>
        <w:spacing w:before="120" w:after="0" w:line="300" w:lineRule="atLeast"/>
        <w:ind w:firstLine="709"/>
        <w:jc w:val="both"/>
        <w:rPr>
          <w:rFonts w:ascii="Arial" w:hAnsi="Arial" w:cs="Arial"/>
          <w:lang w:eastAsia="ja-JP"/>
        </w:rPr>
      </w:pPr>
      <w:r w:rsidRPr="00BC513A">
        <w:rPr>
          <w:rFonts w:ascii="Arial" w:hAnsi="Arial" w:cs="Arial"/>
        </w:rPr>
        <w:t xml:space="preserve">Целта на Мярка 142 „Създаване на организации на производители” е да подобри сътрудничеството между стопаните, за повишаване тяхната конкурентоспособност и облекчаване </w:t>
      </w:r>
      <w:r w:rsidR="00D42A57">
        <w:rPr>
          <w:rFonts w:ascii="Arial" w:hAnsi="Arial" w:cs="Arial"/>
        </w:rPr>
        <w:t xml:space="preserve">на </w:t>
      </w:r>
      <w:r w:rsidRPr="00BC513A">
        <w:rPr>
          <w:rFonts w:ascii="Arial" w:hAnsi="Arial" w:cs="Arial"/>
        </w:rPr>
        <w:t>техния достъп до пазарите, което е констатирано като една от основните слабости пред дребното българско земеделие. Именно сдружаването и обединението на земеделските производители е посочвано и от български и чуждестранни специалисти като решението за увеличаване на земеделското производство и възстановяването на чувствителните сектори. Преобладаващата част от българските ферми са много малки, наблюдава се р</w:t>
      </w:r>
      <w:r w:rsidRPr="00BC513A">
        <w:rPr>
          <w:rFonts w:ascii="Arial" w:hAnsi="Arial" w:cs="Arial"/>
          <w:lang w:eastAsia="ja-JP"/>
        </w:rPr>
        <w:t xml:space="preserve">азпокъсаност на земята, те са маломерни и се отчита голям дефицит на ресурси, което да им позволи както инвестиции, така и да разширят своите граници. </w:t>
      </w:r>
    </w:p>
    <w:p w14:paraId="2556DB66" w14:textId="77777777" w:rsidR="00E8617E" w:rsidRPr="00BC513A" w:rsidRDefault="00E8617E" w:rsidP="00E8617E">
      <w:pPr>
        <w:spacing w:before="120" w:after="0" w:line="300" w:lineRule="atLeast"/>
        <w:ind w:firstLine="709"/>
        <w:jc w:val="both"/>
        <w:rPr>
          <w:rFonts w:ascii="Arial" w:hAnsi="Arial" w:cs="Arial"/>
          <w:lang w:eastAsia="ja-JP"/>
        </w:rPr>
      </w:pPr>
      <w:r w:rsidRPr="00BC513A">
        <w:rPr>
          <w:rFonts w:ascii="Arial" w:hAnsi="Arial" w:cs="Arial"/>
          <w:lang w:eastAsia="ja-JP"/>
        </w:rPr>
        <w:t>Мярката стартира на 01.09.2008 г</w:t>
      </w:r>
      <w:r w:rsidR="00D42A57">
        <w:rPr>
          <w:rFonts w:ascii="Arial" w:hAnsi="Arial" w:cs="Arial"/>
          <w:lang w:eastAsia="ja-JP"/>
        </w:rPr>
        <w:t>.</w:t>
      </w:r>
      <w:r w:rsidRPr="00BC513A">
        <w:rPr>
          <w:rFonts w:ascii="Arial" w:hAnsi="Arial" w:cs="Arial"/>
          <w:lang w:eastAsia="ja-JP"/>
        </w:rPr>
        <w:t xml:space="preserve">, което е около една година след официалното одобрение на </w:t>
      </w:r>
      <w:r w:rsidR="000F57E9">
        <w:rPr>
          <w:rFonts w:ascii="Arial" w:hAnsi="Arial" w:cs="Arial"/>
          <w:lang w:eastAsia="ja-JP"/>
        </w:rPr>
        <w:t>п</w:t>
      </w:r>
      <w:r w:rsidRPr="00BC513A">
        <w:rPr>
          <w:rFonts w:ascii="Arial" w:hAnsi="Arial" w:cs="Arial"/>
          <w:lang w:eastAsia="ja-JP"/>
        </w:rPr>
        <w:t xml:space="preserve">рограмата. Първоначалният бюджет по мярката възлиза на </w:t>
      </w:r>
      <w:r w:rsidR="00D42A57">
        <w:rPr>
          <w:rFonts w:ascii="Arial" w:hAnsi="Arial" w:cs="Arial"/>
          <w:lang w:eastAsia="ja-JP"/>
        </w:rPr>
        <w:t xml:space="preserve">                    </w:t>
      </w:r>
      <w:r w:rsidRPr="00BC513A">
        <w:rPr>
          <w:rFonts w:ascii="Arial" w:hAnsi="Arial" w:cs="Arial"/>
          <w:lang w:eastAsia="ja-JP"/>
        </w:rPr>
        <w:t xml:space="preserve">12 048 670 евро общо национални и европейски средства. Това нарежда мярката като една от малките мерки в този програмен период и показва, че още в началото е имало разбиране за предстоящите проблеми при реализирането на дейностите по мярката и с привличането на кандидати. </w:t>
      </w:r>
    </w:p>
    <w:p w14:paraId="102B90DB" w14:textId="77777777" w:rsidR="00E8617E" w:rsidRPr="00BC513A" w:rsidRDefault="00E8617E" w:rsidP="00E8617E">
      <w:pPr>
        <w:spacing w:before="120" w:after="0" w:line="300" w:lineRule="atLeast"/>
        <w:ind w:firstLine="709"/>
        <w:jc w:val="both"/>
        <w:rPr>
          <w:rFonts w:ascii="Arial" w:eastAsia="Times New Roman" w:hAnsi="Arial" w:cs="Arial"/>
          <w:lang w:eastAsia="ja-JP"/>
        </w:rPr>
      </w:pPr>
      <w:r w:rsidRPr="00BC513A">
        <w:rPr>
          <w:rFonts w:ascii="Arial" w:hAnsi="Arial" w:cs="Arial"/>
          <w:lang w:eastAsia="ja-JP"/>
        </w:rPr>
        <w:t xml:space="preserve">Въпреки това се налага намаляване на бюджета на мярката на </w:t>
      </w:r>
      <w:r w:rsidRPr="00BC513A">
        <w:rPr>
          <w:rFonts w:ascii="Arial" w:eastAsia="Times New Roman" w:hAnsi="Arial" w:cs="Arial"/>
          <w:lang w:eastAsia="ja-JP"/>
        </w:rPr>
        <w:t>245 000 евро публични средства. Реално усвоените средства 119 168 евро (49%).</w:t>
      </w:r>
    </w:p>
    <w:p w14:paraId="7260C8E5" w14:textId="0B8604DF" w:rsidR="00E8617E" w:rsidRPr="00BC513A" w:rsidRDefault="00E8617E" w:rsidP="00E8617E">
      <w:pPr>
        <w:spacing w:before="120" w:after="0" w:line="300" w:lineRule="atLeast"/>
        <w:ind w:firstLine="709"/>
        <w:jc w:val="both"/>
        <w:rPr>
          <w:rFonts w:ascii="Arial" w:hAnsi="Arial" w:cs="Arial"/>
          <w:lang w:eastAsia="ja-JP"/>
        </w:rPr>
      </w:pPr>
      <w:r w:rsidRPr="00BC513A">
        <w:rPr>
          <w:rFonts w:ascii="Arial" w:hAnsi="Arial" w:cs="Arial"/>
          <w:lang w:eastAsia="ja-JP"/>
        </w:rPr>
        <w:t xml:space="preserve">При Шестото изменение на </w:t>
      </w:r>
      <w:r w:rsidR="000F57E9">
        <w:rPr>
          <w:rFonts w:ascii="Arial" w:hAnsi="Arial" w:cs="Arial"/>
          <w:lang w:eastAsia="ja-JP"/>
        </w:rPr>
        <w:t>п</w:t>
      </w:r>
      <w:r w:rsidRPr="00BC513A">
        <w:rPr>
          <w:rFonts w:ascii="Arial" w:hAnsi="Arial" w:cs="Arial"/>
          <w:lang w:eastAsia="ja-JP"/>
        </w:rPr>
        <w:t xml:space="preserve">рограмата са предприети действия, за да се насърчи кандидатстването по мярката, като списъкът с разрешени сектори е разширен и са направени промени, които водят до облекчаване на кандидатите. Предприетите мерки и промени в мярка 142 дават първите резултати в края на 2012 г. и през 2013 г. нараства както броят признати организации на производители (от 1 се увеличават на 4 броя), така и одобреното подпомагане с публични средства. Като цяло обаче това остава твърде малко на фона както на първоначалните цели, така и на нуждите от такива структури в българското земеделие. </w:t>
      </w:r>
    </w:p>
    <w:p w14:paraId="0607E0E5" w14:textId="2F75A2D3" w:rsidR="00E8617E" w:rsidRPr="00BC513A" w:rsidRDefault="00E8617E" w:rsidP="00E8617E">
      <w:pPr>
        <w:spacing w:before="120" w:after="0" w:line="300" w:lineRule="atLeast"/>
        <w:ind w:firstLine="709"/>
        <w:jc w:val="both"/>
        <w:rPr>
          <w:rFonts w:ascii="Arial" w:hAnsi="Arial" w:cs="Arial"/>
          <w:lang w:eastAsia="ja-JP"/>
        </w:rPr>
      </w:pPr>
      <w:r w:rsidRPr="00BC513A">
        <w:rPr>
          <w:rFonts w:ascii="Arial" w:hAnsi="Arial" w:cs="Arial"/>
          <w:lang w:eastAsia="ja-JP"/>
        </w:rPr>
        <w:t>В следствие на преразгледания бюджет по мярката се стига и до коригиране на първоначалните индикаторни цели. Изходните цели по мярката са за брой подпомогнати организации на производителите, където са подкрепени 4 такива сдружения, което представлява преизпълнение от 133%. Оборот</w:t>
      </w:r>
      <w:r w:rsidR="00D42A57">
        <w:rPr>
          <w:rFonts w:ascii="Arial" w:hAnsi="Arial" w:cs="Arial"/>
          <w:lang w:eastAsia="ja-JP"/>
        </w:rPr>
        <w:t>ът</w:t>
      </w:r>
      <w:r w:rsidRPr="00BC513A">
        <w:rPr>
          <w:rFonts w:ascii="Arial" w:hAnsi="Arial" w:cs="Arial"/>
          <w:lang w:eastAsia="ja-JP"/>
        </w:rPr>
        <w:t>, който е постигнат от подкрепените организации</w:t>
      </w:r>
      <w:r w:rsidR="00D42A57">
        <w:rPr>
          <w:rFonts w:ascii="Arial" w:hAnsi="Arial" w:cs="Arial"/>
          <w:lang w:eastAsia="ja-JP"/>
        </w:rPr>
        <w:t>,</w:t>
      </w:r>
      <w:r w:rsidRPr="00BC513A">
        <w:rPr>
          <w:rFonts w:ascii="Arial" w:hAnsi="Arial" w:cs="Arial"/>
          <w:lang w:eastAsia="ja-JP"/>
        </w:rPr>
        <w:t xml:space="preserve"> е 19 642 хил. евро, което отговаря на 286% от поставената цел. По отношение индикатора</w:t>
      </w:r>
      <w:r w:rsidR="00D42A57">
        <w:rPr>
          <w:rFonts w:ascii="Arial" w:hAnsi="Arial" w:cs="Arial"/>
          <w:lang w:eastAsia="ja-JP"/>
        </w:rPr>
        <w:t>,</w:t>
      </w:r>
      <w:r w:rsidRPr="00BC513A">
        <w:rPr>
          <w:rFonts w:ascii="Arial" w:hAnsi="Arial" w:cs="Arial"/>
          <w:lang w:eastAsia="ja-JP"/>
        </w:rPr>
        <w:t xml:space="preserve"> измерващ резултата от прилагане на мярката</w:t>
      </w:r>
      <w:r w:rsidR="00D42A57">
        <w:rPr>
          <w:rFonts w:ascii="Arial" w:hAnsi="Arial" w:cs="Arial"/>
          <w:lang w:eastAsia="ja-JP"/>
        </w:rPr>
        <w:t>,</w:t>
      </w:r>
      <w:r w:rsidRPr="00BC513A">
        <w:rPr>
          <w:rFonts w:ascii="Arial" w:hAnsi="Arial" w:cs="Arial"/>
          <w:lang w:eastAsia="ja-JP"/>
        </w:rPr>
        <w:t xml:space="preserve"> не са отчетени стопанства</w:t>
      </w:r>
      <w:r w:rsidR="00D42A57">
        <w:rPr>
          <w:rFonts w:ascii="Arial" w:hAnsi="Arial" w:cs="Arial"/>
          <w:lang w:eastAsia="ja-JP"/>
        </w:rPr>
        <w:t>,</w:t>
      </w:r>
      <w:r w:rsidRPr="00BC513A">
        <w:rPr>
          <w:rFonts w:ascii="Arial" w:hAnsi="Arial" w:cs="Arial"/>
          <w:lang w:eastAsia="ja-JP"/>
        </w:rPr>
        <w:t xml:space="preserve"> излезли на пазара. Това вероятно е така</w:t>
      </w:r>
      <w:r w:rsidR="00D42A57">
        <w:rPr>
          <w:rFonts w:ascii="Arial" w:hAnsi="Arial" w:cs="Arial"/>
          <w:lang w:eastAsia="ja-JP"/>
        </w:rPr>
        <w:t>,</w:t>
      </w:r>
      <w:r w:rsidRPr="00BC513A">
        <w:rPr>
          <w:rFonts w:ascii="Arial" w:hAnsi="Arial" w:cs="Arial"/>
          <w:lang w:eastAsia="ja-JP"/>
        </w:rPr>
        <w:t xml:space="preserve"> защото участващите в организациите на производителите стопанства вече са имали своята пазарна ориентация и те се включват в такива сдружения, не за да получат първи излаз на пазара, а да подобрят своите пазарни позиции.</w:t>
      </w:r>
    </w:p>
    <w:p w14:paraId="774B73A6" w14:textId="77777777" w:rsidR="00E8617E" w:rsidRPr="00BC513A" w:rsidRDefault="00E8617E" w:rsidP="00E8617E">
      <w:pPr>
        <w:keepNext/>
        <w:spacing w:before="240" w:after="0" w:line="300" w:lineRule="atLeast"/>
        <w:jc w:val="both"/>
        <w:rPr>
          <w:rFonts w:ascii="Arial" w:hAnsi="Arial" w:cs="Arial"/>
          <w:b/>
          <w:lang w:eastAsia="ja-JP"/>
        </w:rPr>
      </w:pPr>
      <w:bookmarkStart w:id="126" w:name="_Toc504136212"/>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40</w:t>
      </w:r>
      <w:r w:rsidRPr="00BC513A">
        <w:rPr>
          <w:rFonts w:ascii="Arial" w:hAnsi="Arial" w:cs="Arial"/>
          <w:b/>
          <w:color w:val="0070C0"/>
          <w:sz w:val="20"/>
          <w:szCs w:val="20"/>
        </w:rPr>
        <w:fldChar w:fldCharType="end"/>
      </w:r>
      <w:r w:rsidR="00047E2D">
        <w:rPr>
          <w:rFonts w:ascii="Arial" w:hAnsi="Arial" w:cs="Arial"/>
          <w:b/>
          <w:color w:val="0070C0"/>
          <w:sz w:val="20"/>
          <w:szCs w:val="20"/>
        </w:rPr>
        <w:t>.</w:t>
      </w:r>
      <w:r w:rsidRPr="00BC513A">
        <w:rPr>
          <w:rFonts w:ascii="Arial" w:hAnsi="Arial" w:cs="Arial"/>
          <w:b/>
          <w:color w:val="0070C0"/>
          <w:sz w:val="20"/>
          <w:szCs w:val="20"/>
        </w:rPr>
        <w:t xml:space="preserve"> Изпълнение на измерителните индикатори по мярка 142</w:t>
      </w:r>
      <w:bookmarkEnd w:id="126"/>
    </w:p>
    <w:tbl>
      <w:tblPr>
        <w:tblW w:w="4925" w:type="pct"/>
        <w:tblInd w:w="70" w:type="dxa"/>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1400"/>
        <w:gridCol w:w="3419"/>
        <w:gridCol w:w="1276"/>
        <w:gridCol w:w="1417"/>
        <w:gridCol w:w="1561"/>
      </w:tblGrid>
      <w:tr w:rsidR="00E8617E" w:rsidRPr="00BC513A" w14:paraId="5A499A93" w14:textId="77777777" w:rsidTr="00922731">
        <w:trPr>
          <w:trHeight w:val="686"/>
        </w:trPr>
        <w:tc>
          <w:tcPr>
            <w:tcW w:w="772" w:type="pct"/>
            <w:shd w:val="clear" w:color="auto" w:fill="1F4E79" w:themeFill="accent1" w:themeFillShade="80"/>
            <w:noWrap/>
            <w:vAlign w:val="center"/>
            <w:hideMark/>
          </w:tcPr>
          <w:p w14:paraId="24A0ABEE"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884" w:type="pct"/>
            <w:shd w:val="clear" w:color="auto" w:fill="1F4E79" w:themeFill="accent1" w:themeFillShade="80"/>
            <w:vAlign w:val="center"/>
            <w:hideMark/>
          </w:tcPr>
          <w:p w14:paraId="42F0906B"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703" w:type="pct"/>
            <w:shd w:val="clear" w:color="auto" w:fill="1F4E79" w:themeFill="accent1" w:themeFillShade="80"/>
            <w:noWrap/>
            <w:vAlign w:val="center"/>
            <w:hideMark/>
          </w:tcPr>
          <w:p w14:paraId="21E1333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81" w:type="pct"/>
            <w:shd w:val="clear" w:color="auto" w:fill="1F4E79" w:themeFill="accent1" w:themeFillShade="80"/>
            <w:vAlign w:val="center"/>
            <w:hideMark/>
          </w:tcPr>
          <w:p w14:paraId="577760E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60" w:type="pct"/>
            <w:shd w:val="clear" w:color="auto" w:fill="1F4E79" w:themeFill="accent1" w:themeFillShade="80"/>
            <w:vAlign w:val="center"/>
          </w:tcPr>
          <w:p w14:paraId="19CCA10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2684BEDF" w14:textId="77777777" w:rsidTr="00922731">
        <w:trPr>
          <w:trHeight w:val="698"/>
        </w:trPr>
        <w:tc>
          <w:tcPr>
            <w:tcW w:w="772" w:type="pct"/>
            <w:vMerge w:val="restart"/>
            <w:shd w:val="clear" w:color="auto" w:fill="auto"/>
            <w:vAlign w:val="center"/>
            <w:hideMark/>
          </w:tcPr>
          <w:p w14:paraId="54BBD2DE"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Изходен</w:t>
            </w:r>
          </w:p>
        </w:tc>
        <w:tc>
          <w:tcPr>
            <w:tcW w:w="1884" w:type="pct"/>
            <w:shd w:val="clear" w:color="auto" w:fill="auto"/>
            <w:vAlign w:val="center"/>
            <w:hideMark/>
          </w:tcPr>
          <w:p w14:paraId="449563D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подпомогнати организации на производители</w:t>
            </w:r>
          </w:p>
        </w:tc>
        <w:tc>
          <w:tcPr>
            <w:tcW w:w="703" w:type="pct"/>
            <w:shd w:val="clear" w:color="auto" w:fill="auto"/>
            <w:noWrap/>
            <w:vAlign w:val="center"/>
            <w:hideMark/>
          </w:tcPr>
          <w:p w14:paraId="32241D1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w:t>
            </w:r>
          </w:p>
        </w:tc>
        <w:tc>
          <w:tcPr>
            <w:tcW w:w="781" w:type="pct"/>
            <w:shd w:val="clear" w:color="auto" w:fill="auto"/>
            <w:vAlign w:val="center"/>
            <w:hideMark/>
          </w:tcPr>
          <w:p w14:paraId="2E7D3AC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w:t>
            </w:r>
          </w:p>
        </w:tc>
        <w:tc>
          <w:tcPr>
            <w:tcW w:w="860" w:type="pct"/>
            <w:shd w:val="clear" w:color="auto" w:fill="auto"/>
            <w:vAlign w:val="center"/>
            <w:hideMark/>
          </w:tcPr>
          <w:p w14:paraId="1545817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133%</w:t>
            </w:r>
          </w:p>
        </w:tc>
      </w:tr>
      <w:tr w:rsidR="00E8617E" w:rsidRPr="00BC513A" w14:paraId="36E23EBA" w14:textId="77777777" w:rsidTr="00922731">
        <w:trPr>
          <w:trHeight w:val="703"/>
        </w:trPr>
        <w:tc>
          <w:tcPr>
            <w:tcW w:w="772" w:type="pct"/>
            <w:vMerge/>
            <w:vAlign w:val="center"/>
            <w:hideMark/>
          </w:tcPr>
          <w:p w14:paraId="4D9B4887"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p>
        </w:tc>
        <w:tc>
          <w:tcPr>
            <w:tcW w:w="1884" w:type="pct"/>
            <w:shd w:val="clear" w:color="auto" w:fill="auto"/>
            <w:vAlign w:val="center"/>
            <w:hideMark/>
          </w:tcPr>
          <w:p w14:paraId="593A42E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Оборот на подпомаганите организации на производители (в хил. евро)</w:t>
            </w:r>
          </w:p>
        </w:tc>
        <w:tc>
          <w:tcPr>
            <w:tcW w:w="703" w:type="pct"/>
            <w:shd w:val="clear" w:color="auto" w:fill="auto"/>
            <w:noWrap/>
            <w:vAlign w:val="center"/>
            <w:hideMark/>
          </w:tcPr>
          <w:p w14:paraId="2B24716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7 000</w:t>
            </w:r>
          </w:p>
        </w:tc>
        <w:tc>
          <w:tcPr>
            <w:tcW w:w="781" w:type="pct"/>
            <w:shd w:val="clear" w:color="auto" w:fill="auto"/>
            <w:vAlign w:val="center"/>
            <w:hideMark/>
          </w:tcPr>
          <w:p w14:paraId="30204B9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19 642</w:t>
            </w:r>
          </w:p>
        </w:tc>
        <w:tc>
          <w:tcPr>
            <w:tcW w:w="860" w:type="pct"/>
            <w:shd w:val="clear" w:color="auto" w:fill="auto"/>
            <w:vAlign w:val="center"/>
            <w:hideMark/>
          </w:tcPr>
          <w:p w14:paraId="62000C3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286%</w:t>
            </w:r>
          </w:p>
        </w:tc>
      </w:tr>
      <w:tr w:rsidR="00E8617E" w:rsidRPr="00BC513A" w14:paraId="318C9A06" w14:textId="77777777" w:rsidTr="00922731">
        <w:trPr>
          <w:trHeight w:val="515"/>
        </w:trPr>
        <w:tc>
          <w:tcPr>
            <w:tcW w:w="772" w:type="pct"/>
            <w:shd w:val="clear" w:color="auto" w:fill="auto"/>
            <w:vAlign w:val="center"/>
            <w:hideMark/>
          </w:tcPr>
          <w:p w14:paraId="208D32C0"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Резултат</w:t>
            </w:r>
          </w:p>
        </w:tc>
        <w:tc>
          <w:tcPr>
            <w:tcW w:w="1884" w:type="pct"/>
            <w:shd w:val="clear" w:color="auto" w:fill="auto"/>
            <w:vAlign w:val="center"/>
            <w:hideMark/>
          </w:tcPr>
          <w:p w14:paraId="63E0A6A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Брой стопанства излезли на пазара</w:t>
            </w:r>
          </w:p>
        </w:tc>
        <w:tc>
          <w:tcPr>
            <w:tcW w:w="703" w:type="pct"/>
            <w:shd w:val="clear" w:color="auto" w:fill="auto"/>
            <w:noWrap/>
            <w:vAlign w:val="center"/>
            <w:hideMark/>
          </w:tcPr>
          <w:p w14:paraId="3C66F3C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w:t>
            </w:r>
          </w:p>
        </w:tc>
        <w:tc>
          <w:tcPr>
            <w:tcW w:w="781" w:type="pct"/>
            <w:shd w:val="clear" w:color="auto" w:fill="auto"/>
            <w:vAlign w:val="center"/>
            <w:hideMark/>
          </w:tcPr>
          <w:p w14:paraId="54A38E6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860" w:type="pct"/>
            <w:shd w:val="clear" w:color="auto" w:fill="auto"/>
            <w:vAlign w:val="center"/>
            <w:hideMark/>
          </w:tcPr>
          <w:p w14:paraId="219A251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r>
    </w:tbl>
    <w:p w14:paraId="79FDAF65" w14:textId="77777777" w:rsidR="00E8617E" w:rsidRPr="00AE71CA" w:rsidRDefault="00E8617E" w:rsidP="00E8617E">
      <w:pPr>
        <w:spacing w:after="0" w:line="300" w:lineRule="atLeast"/>
        <w:jc w:val="both"/>
        <w:rPr>
          <w:rFonts w:ascii="Arial" w:hAnsi="Arial" w:cs="Arial"/>
          <w:sz w:val="18"/>
          <w:szCs w:val="18"/>
          <w:lang w:eastAsia="ja-JP"/>
        </w:rPr>
      </w:pPr>
      <w:r w:rsidRPr="00AE71CA">
        <w:rPr>
          <w:rFonts w:ascii="Arial" w:hAnsi="Arial" w:cs="Arial"/>
          <w:sz w:val="18"/>
          <w:szCs w:val="18"/>
        </w:rPr>
        <w:t>Източник: МЗХГ</w:t>
      </w:r>
    </w:p>
    <w:p w14:paraId="143EA005" w14:textId="77777777" w:rsidR="00E8617E" w:rsidRPr="00BC513A" w:rsidRDefault="00E8617E" w:rsidP="00E8617E">
      <w:pPr>
        <w:spacing w:after="0" w:line="300" w:lineRule="atLeast"/>
        <w:ind w:firstLine="709"/>
        <w:jc w:val="both"/>
        <w:rPr>
          <w:rFonts w:ascii="Arial" w:hAnsi="Arial" w:cs="Arial"/>
          <w:lang w:eastAsia="ja-JP"/>
        </w:rPr>
      </w:pPr>
    </w:p>
    <w:p w14:paraId="418D89B4" w14:textId="77777777" w:rsidR="00E8617E" w:rsidRPr="00BC513A" w:rsidRDefault="00E8617E" w:rsidP="00E8617E">
      <w:pPr>
        <w:spacing w:after="0" w:line="300" w:lineRule="atLeast"/>
        <w:ind w:firstLine="709"/>
        <w:jc w:val="both"/>
        <w:rPr>
          <w:rFonts w:ascii="Arial" w:hAnsi="Arial" w:cs="Arial"/>
          <w:lang w:eastAsia="ja-JP"/>
        </w:rPr>
      </w:pPr>
      <w:r w:rsidRPr="00BC513A">
        <w:rPr>
          <w:rFonts w:ascii="Arial" w:hAnsi="Arial" w:cs="Arial"/>
          <w:lang w:eastAsia="ja-JP"/>
        </w:rPr>
        <w:t>По отношение на секторите, където оперират финансираните сдружения, това са полски култури – 1 организация на производители, градинарство – 1</w:t>
      </w:r>
      <w:r w:rsidR="00D42A57">
        <w:rPr>
          <w:rFonts w:ascii="Arial" w:hAnsi="Arial" w:cs="Arial"/>
          <w:lang w:eastAsia="ja-JP"/>
        </w:rPr>
        <w:t>,</w:t>
      </w:r>
      <w:r w:rsidRPr="00BC513A">
        <w:rPr>
          <w:rFonts w:ascii="Arial" w:hAnsi="Arial" w:cs="Arial"/>
          <w:lang w:eastAsia="ja-JP"/>
        </w:rPr>
        <w:t xml:space="preserve"> и 2 са в сектор мляко. Интерес представляват цифрите, че 2 организации на производители в сектор „Мляко” имат финансов оборот от 10,4 млн. евро или около 2 пъти повече отколкото другите подкрепени организации взети заедно, но в същото време получената помощ от тях е само 34 хил. евро, докато общата помощ на останалите организации на производители е 85 млн. евро. Това се дължи на закъснели заявления за плащане и като цяло вътрешни трудности във функционирането на създадените организации на производители.</w:t>
      </w:r>
    </w:p>
    <w:p w14:paraId="6DE88678" w14:textId="77777777" w:rsidR="00E8617E" w:rsidRPr="00BC513A" w:rsidRDefault="00E8617E" w:rsidP="00E8617E">
      <w:pPr>
        <w:keepNext/>
        <w:spacing w:before="240" w:after="0" w:line="300" w:lineRule="atLeast"/>
        <w:jc w:val="both"/>
        <w:rPr>
          <w:rFonts w:ascii="Arial" w:hAnsi="Arial" w:cs="Arial"/>
          <w:b/>
          <w:color w:val="0070C0"/>
          <w:sz w:val="20"/>
          <w:szCs w:val="20"/>
        </w:rPr>
      </w:pPr>
      <w:bookmarkStart w:id="127" w:name="_Toc504136213"/>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41</w:t>
      </w:r>
      <w:r w:rsidRPr="00BC513A">
        <w:rPr>
          <w:rFonts w:ascii="Arial" w:hAnsi="Arial" w:cs="Arial"/>
          <w:b/>
          <w:color w:val="0070C0"/>
          <w:sz w:val="20"/>
          <w:szCs w:val="20"/>
        </w:rPr>
        <w:fldChar w:fldCharType="end"/>
      </w:r>
      <w:r w:rsidR="00047E2D">
        <w:rPr>
          <w:rFonts w:ascii="Arial" w:hAnsi="Arial" w:cs="Arial"/>
          <w:b/>
          <w:color w:val="0070C0"/>
          <w:sz w:val="20"/>
          <w:szCs w:val="20"/>
        </w:rPr>
        <w:t>.</w:t>
      </w:r>
      <w:r w:rsidRPr="00BC513A">
        <w:rPr>
          <w:rFonts w:ascii="Arial" w:hAnsi="Arial" w:cs="Arial"/>
          <w:b/>
          <w:color w:val="0070C0"/>
          <w:sz w:val="20"/>
          <w:szCs w:val="20"/>
        </w:rPr>
        <w:t xml:space="preserve"> Разпределение на проектите и разплатените средства по сектори</w:t>
      </w:r>
      <w:bookmarkEnd w:id="127"/>
    </w:p>
    <w:tbl>
      <w:tblPr>
        <w:tblW w:w="5000" w:type="pct"/>
        <w:jc w:val="center"/>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2235"/>
        <w:gridCol w:w="1945"/>
        <w:gridCol w:w="1700"/>
        <w:gridCol w:w="1702"/>
        <w:gridCol w:w="1629"/>
      </w:tblGrid>
      <w:tr w:rsidR="00E8617E" w:rsidRPr="00BC513A" w14:paraId="124BC8C6" w14:textId="77777777" w:rsidTr="00922731">
        <w:trPr>
          <w:trHeight w:val="408"/>
          <w:jc w:val="center"/>
        </w:trPr>
        <w:tc>
          <w:tcPr>
            <w:tcW w:w="1213" w:type="pct"/>
            <w:shd w:val="clear" w:color="auto" w:fill="1F4E79" w:themeFill="accent1" w:themeFillShade="80"/>
            <w:vAlign w:val="center"/>
            <w:hideMark/>
          </w:tcPr>
          <w:p w14:paraId="0C7B9FC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Сектори</w:t>
            </w:r>
          </w:p>
        </w:tc>
        <w:tc>
          <w:tcPr>
            <w:tcW w:w="1056" w:type="pct"/>
            <w:shd w:val="clear" w:color="auto" w:fill="1F4E79" w:themeFill="accent1" w:themeFillShade="80"/>
            <w:vAlign w:val="center"/>
            <w:hideMark/>
          </w:tcPr>
          <w:p w14:paraId="7DAC9A2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hAnsi="Arial" w:cs="Arial"/>
                <w:b/>
                <w:color w:val="FFFFFF" w:themeColor="background1"/>
                <w:sz w:val="20"/>
                <w:szCs w:val="20"/>
                <w:lang w:eastAsia="bg-BG"/>
              </w:rPr>
              <w:t>Брой подпомогнати организации</w:t>
            </w:r>
          </w:p>
        </w:tc>
        <w:tc>
          <w:tcPr>
            <w:tcW w:w="923" w:type="pct"/>
            <w:shd w:val="clear" w:color="auto" w:fill="1F4E79" w:themeFill="accent1" w:themeFillShade="80"/>
            <w:vAlign w:val="center"/>
          </w:tcPr>
          <w:p w14:paraId="61A3EC9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Финансов оборот на организациите, хил.евро</w:t>
            </w:r>
          </w:p>
        </w:tc>
        <w:tc>
          <w:tcPr>
            <w:tcW w:w="924" w:type="pct"/>
            <w:shd w:val="clear" w:color="auto" w:fill="1F4E79" w:themeFill="accent1" w:themeFillShade="80"/>
            <w:vAlign w:val="center"/>
          </w:tcPr>
          <w:p w14:paraId="68B75B4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Помощ от ЕЗФРСР, хил.евро</w:t>
            </w:r>
          </w:p>
        </w:tc>
        <w:tc>
          <w:tcPr>
            <w:tcW w:w="884" w:type="pct"/>
            <w:shd w:val="clear" w:color="auto" w:fill="1F4E79" w:themeFill="accent1" w:themeFillShade="80"/>
            <w:vAlign w:val="center"/>
          </w:tcPr>
          <w:p w14:paraId="5D369700"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Обща публична помощ, хил.евро</w:t>
            </w:r>
          </w:p>
        </w:tc>
      </w:tr>
      <w:tr w:rsidR="00E8617E" w:rsidRPr="00BC513A" w14:paraId="58387555" w14:textId="77777777" w:rsidTr="00922731">
        <w:trPr>
          <w:trHeight w:val="315"/>
          <w:jc w:val="center"/>
        </w:trPr>
        <w:tc>
          <w:tcPr>
            <w:tcW w:w="1213" w:type="pct"/>
            <w:shd w:val="clear" w:color="auto" w:fill="auto"/>
            <w:vAlign w:val="center"/>
            <w:hideMark/>
          </w:tcPr>
          <w:p w14:paraId="00620B6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Полски култури</w:t>
            </w:r>
          </w:p>
        </w:tc>
        <w:tc>
          <w:tcPr>
            <w:tcW w:w="1056" w:type="pct"/>
            <w:shd w:val="clear" w:color="auto" w:fill="auto"/>
            <w:vAlign w:val="center"/>
            <w:hideMark/>
          </w:tcPr>
          <w:p w14:paraId="4C5B4B99"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w:t>
            </w:r>
          </w:p>
        </w:tc>
        <w:tc>
          <w:tcPr>
            <w:tcW w:w="923" w:type="pct"/>
            <w:shd w:val="clear" w:color="auto" w:fill="auto"/>
            <w:vAlign w:val="center"/>
            <w:hideMark/>
          </w:tcPr>
          <w:p w14:paraId="657011BC"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5 347</w:t>
            </w:r>
          </w:p>
        </w:tc>
        <w:tc>
          <w:tcPr>
            <w:tcW w:w="924" w:type="pct"/>
            <w:shd w:val="clear" w:color="auto" w:fill="auto"/>
            <w:vAlign w:val="center"/>
            <w:hideMark/>
          </w:tcPr>
          <w:p w14:paraId="176549C4"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35</w:t>
            </w:r>
          </w:p>
        </w:tc>
        <w:tc>
          <w:tcPr>
            <w:tcW w:w="884" w:type="pct"/>
            <w:shd w:val="clear" w:color="auto" w:fill="auto"/>
            <w:vAlign w:val="center"/>
            <w:hideMark/>
          </w:tcPr>
          <w:p w14:paraId="23CBB05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44</w:t>
            </w:r>
          </w:p>
        </w:tc>
      </w:tr>
      <w:tr w:rsidR="00E8617E" w:rsidRPr="00BC513A" w14:paraId="4B4F5898" w14:textId="77777777" w:rsidTr="00922731">
        <w:trPr>
          <w:trHeight w:val="315"/>
          <w:jc w:val="center"/>
        </w:trPr>
        <w:tc>
          <w:tcPr>
            <w:tcW w:w="1213" w:type="pct"/>
            <w:shd w:val="clear" w:color="auto" w:fill="auto"/>
            <w:vAlign w:val="center"/>
            <w:hideMark/>
          </w:tcPr>
          <w:p w14:paraId="08FA308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Градинарство</w:t>
            </w:r>
          </w:p>
        </w:tc>
        <w:tc>
          <w:tcPr>
            <w:tcW w:w="1056" w:type="pct"/>
            <w:shd w:val="clear" w:color="auto" w:fill="auto"/>
            <w:vAlign w:val="center"/>
            <w:hideMark/>
          </w:tcPr>
          <w:p w14:paraId="012434B6"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w:t>
            </w:r>
          </w:p>
        </w:tc>
        <w:tc>
          <w:tcPr>
            <w:tcW w:w="923" w:type="pct"/>
            <w:shd w:val="clear" w:color="auto" w:fill="auto"/>
            <w:vAlign w:val="center"/>
            <w:hideMark/>
          </w:tcPr>
          <w:p w14:paraId="6506EE26"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3 850</w:t>
            </w:r>
          </w:p>
        </w:tc>
        <w:tc>
          <w:tcPr>
            <w:tcW w:w="924" w:type="pct"/>
            <w:shd w:val="clear" w:color="auto" w:fill="auto"/>
            <w:vAlign w:val="center"/>
            <w:hideMark/>
          </w:tcPr>
          <w:p w14:paraId="55EB254F"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33</w:t>
            </w:r>
          </w:p>
        </w:tc>
        <w:tc>
          <w:tcPr>
            <w:tcW w:w="884" w:type="pct"/>
            <w:shd w:val="clear" w:color="auto" w:fill="auto"/>
            <w:vAlign w:val="center"/>
            <w:hideMark/>
          </w:tcPr>
          <w:p w14:paraId="39033685"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41</w:t>
            </w:r>
          </w:p>
        </w:tc>
      </w:tr>
      <w:tr w:rsidR="00E8617E" w:rsidRPr="00BC513A" w14:paraId="76B0A644" w14:textId="77777777" w:rsidTr="00922731">
        <w:trPr>
          <w:trHeight w:val="315"/>
          <w:jc w:val="center"/>
        </w:trPr>
        <w:tc>
          <w:tcPr>
            <w:tcW w:w="1213" w:type="pct"/>
            <w:shd w:val="clear" w:color="auto" w:fill="auto"/>
            <w:vAlign w:val="center"/>
            <w:hideMark/>
          </w:tcPr>
          <w:p w14:paraId="3E06959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Мляко</w:t>
            </w:r>
          </w:p>
        </w:tc>
        <w:tc>
          <w:tcPr>
            <w:tcW w:w="1056" w:type="pct"/>
            <w:shd w:val="clear" w:color="auto" w:fill="auto"/>
            <w:vAlign w:val="center"/>
            <w:hideMark/>
          </w:tcPr>
          <w:p w14:paraId="1DA66C13"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w:t>
            </w:r>
          </w:p>
        </w:tc>
        <w:tc>
          <w:tcPr>
            <w:tcW w:w="923" w:type="pct"/>
            <w:shd w:val="clear" w:color="auto" w:fill="auto"/>
            <w:vAlign w:val="center"/>
            <w:hideMark/>
          </w:tcPr>
          <w:p w14:paraId="148CC5AF"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10 445</w:t>
            </w:r>
          </w:p>
        </w:tc>
        <w:tc>
          <w:tcPr>
            <w:tcW w:w="924" w:type="pct"/>
            <w:shd w:val="clear" w:color="auto" w:fill="auto"/>
            <w:vAlign w:val="center"/>
            <w:hideMark/>
          </w:tcPr>
          <w:p w14:paraId="77888790"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27</w:t>
            </w:r>
          </w:p>
        </w:tc>
        <w:tc>
          <w:tcPr>
            <w:tcW w:w="884" w:type="pct"/>
            <w:shd w:val="clear" w:color="auto" w:fill="auto"/>
            <w:vAlign w:val="center"/>
            <w:hideMark/>
          </w:tcPr>
          <w:p w14:paraId="4BC599F8"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34</w:t>
            </w:r>
          </w:p>
        </w:tc>
      </w:tr>
      <w:tr w:rsidR="00E8617E" w:rsidRPr="00BC513A" w14:paraId="3F391348" w14:textId="77777777" w:rsidTr="00AE71CA">
        <w:trPr>
          <w:trHeight w:val="361"/>
          <w:jc w:val="center"/>
        </w:trPr>
        <w:tc>
          <w:tcPr>
            <w:tcW w:w="1213" w:type="pct"/>
            <w:shd w:val="clear" w:color="auto" w:fill="DEEAF6" w:themeFill="accent1" w:themeFillTint="33"/>
            <w:vAlign w:val="center"/>
            <w:hideMark/>
          </w:tcPr>
          <w:p w14:paraId="71E78379" w14:textId="77777777" w:rsidR="00E8617E" w:rsidRPr="00BC513A" w:rsidRDefault="00E8617E" w:rsidP="00922731">
            <w:pPr>
              <w:spacing w:after="0" w:line="240" w:lineRule="auto"/>
              <w:jc w:val="center"/>
              <w:rPr>
                <w:rFonts w:ascii="Arial" w:eastAsia="Times New Roman" w:hAnsi="Arial" w:cs="Arial"/>
                <w:b/>
                <w:sz w:val="20"/>
                <w:szCs w:val="20"/>
                <w:lang w:eastAsia="bg-BG"/>
              </w:rPr>
            </w:pPr>
            <w:r w:rsidRPr="00BC513A">
              <w:rPr>
                <w:rFonts w:ascii="Arial" w:eastAsia="Times New Roman" w:hAnsi="Arial" w:cs="Arial"/>
                <w:b/>
                <w:sz w:val="20"/>
                <w:szCs w:val="20"/>
                <w:lang w:eastAsia="bg-BG"/>
              </w:rPr>
              <w:t>Общо</w:t>
            </w:r>
          </w:p>
        </w:tc>
        <w:tc>
          <w:tcPr>
            <w:tcW w:w="1056" w:type="pct"/>
            <w:shd w:val="clear" w:color="auto" w:fill="DEEAF6" w:themeFill="accent1" w:themeFillTint="33"/>
            <w:vAlign w:val="center"/>
            <w:hideMark/>
          </w:tcPr>
          <w:p w14:paraId="59ABB410"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0</w:t>
            </w:r>
          </w:p>
        </w:tc>
        <w:tc>
          <w:tcPr>
            <w:tcW w:w="923" w:type="pct"/>
            <w:shd w:val="clear" w:color="auto" w:fill="DEEAF6" w:themeFill="accent1" w:themeFillTint="33"/>
            <w:vAlign w:val="center"/>
            <w:hideMark/>
          </w:tcPr>
          <w:p w14:paraId="2B27B470"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19 642</w:t>
            </w:r>
          </w:p>
        </w:tc>
        <w:tc>
          <w:tcPr>
            <w:tcW w:w="924" w:type="pct"/>
            <w:shd w:val="clear" w:color="auto" w:fill="DEEAF6" w:themeFill="accent1" w:themeFillTint="33"/>
            <w:vAlign w:val="center"/>
            <w:hideMark/>
          </w:tcPr>
          <w:p w14:paraId="2D41F25F"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95</w:t>
            </w:r>
          </w:p>
        </w:tc>
        <w:tc>
          <w:tcPr>
            <w:tcW w:w="884" w:type="pct"/>
            <w:shd w:val="clear" w:color="auto" w:fill="DEEAF6" w:themeFill="accent1" w:themeFillTint="33"/>
            <w:vAlign w:val="center"/>
            <w:hideMark/>
          </w:tcPr>
          <w:p w14:paraId="55FBFD81"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119</w:t>
            </w:r>
          </w:p>
        </w:tc>
      </w:tr>
    </w:tbl>
    <w:p w14:paraId="0BA58DB2" w14:textId="77777777" w:rsidR="00E8617E" w:rsidRPr="00AE71CA" w:rsidRDefault="00E8617E" w:rsidP="00E8617E">
      <w:pPr>
        <w:spacing w:after="0" w:line="300" w:lineRule="atLeast"/>
        <w:jc w:val="both"/>
        <w:rPr>
          <w:rFonts w:ascii="Arial" w:hAnsi="Arial" w:cs="Arial"/>
          <w:sz w:val="18"/>
          <w:szCs w:val="18"/>
          <w:lang w:eastAsia="ja-JP"/>
        </w:rPr>
      </w:pPr>
      <w:r w:rsidRPr="00AE71CA">
        <w:rPr>
          <w:rFonts w:ascii="Arial" w:hAnsi="Arial" w:cs="Arial"/>
          <w:sz w:val="18"/>
          <w:szCs w:val="18"/>
        </w:rPr>
        <w:t>Източник: МЗХГ</w:t>
      </w:r>
    </w:p>
    <w:p w14:paraId="6939A5A7" w14:textId="77777777" w:rsidR="00E8617E" w:rsidRPr="00BC513A" w:rsidRDefault="00E8617E" w:rsidP="00E8617E">
      <w:pPr>
        <w:spacing w:after="0" w:line="300" w:lineRule="atLeast"/>
        <w:ind w:firstLine="709"/>
        <w:jc w:val="both"/>
        <w:rPr>
          <w:rFonts w:ascii="Arial" w:hAnsi="Arial" w:cs="Arial"/>
          <w:lang w:eastAsia="ja-JP"/>
        </w:rPr>
      </w:pPr>
    </w:p>
    <w:p w14:paraId="6394D627" w14:textId="77777777" w:rsidR="00E8617E" w:rsidRPr="00BC513A" w:rsidRDefault="00E8617E" w:rsidP="00E8617E">
      <w:pPr>
        <w:spacing w:after="0" w:line="300" w:lineRule="atLeast"/>
        <w:ind w:firstLine="709"/>
        <w:jc w:val="both"/>
        <w:rPr>
          <w:rFonts w:ascii="Arial" w:hAnsi="Arial" w:cs="Arial"/>
          <w:lang w:eastAsia="ja-JP"/>
        </w:rPr>
      </w:pPr>
      <w:r w:rsidRPr="00BC513A">
        <w:rPr>
          <w:rFonts w:ascii="Arial" w:hAnsi="Arial" w:cs="Arial"/>
          <w:lang w:eastAsia="ja-JP"/>
        </w:rPr>
        <w:t xml:space="preserve">Тези проблеми са точно констатирани в почти всички правени оценки по </w:t>
      </w:r>
      <w:r w:rsidR="000F57E9">
        <w:rPr>
          <w:rFonts w:ascii="Arial" w:hAnsi="Arial" w:cs="Arial"/>
          <w:lang w:eastAsia="ja-JP"/>
        </w:rPr>
        <w:t>п</w:t>
      </w:r>
      <w:r w:rsidRPr="00BC513A">
        <w:rPr>
          <w:rFonts w:ascii="Arial" w:hAnsi="Arial" w:cs="Arial"/>
          <w:lang w:eastAsia="ja-JP"/>
        </w:rPr>
        <w:t>рограмата (текущата оценка 2011-2013, годишните доклади), където ясно е идентифицирано, че слабият интерес се дължи на проблеми пред коопериране на дребните земеделски стопанства, предизвикано от липса на доверие, както и от липса на управленски умения на маркетингова организация от тяхна страна (воденето на счетоводство, управление на търговско дружество/кооперация и др.), както и набавянето на собствени средства за посрещане на задължителните разходи за функциониране на организация на производители, което възпрепятства процеса на организиране и кандидатстване. Освен обаче хоризонталното коопериране в практиката съществуват и други форми, като вертикалните кооперативни структури могат да се окажат добро решение за българското земеделие. Ето защо в бъдеще трябва да се помисли и в посока на насочване подкрепата и към такива интегрални структури, където има водещ обединител, работещ със земеделски стопанства.</w:t>
      </w:r>
    </w:p>
    <w:p w14:paraId="5FE871E1"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 xml:space="preserve">Оценката на въздействие по мярка 142 за подпомагане създаването на организации на производителите се извършва по индикатора за създаване на брутна добавена стойност на ГРЕ. Заложената цел по мярката е създаване на допълнителна добавена стойност в подпомогнатите стопанства в размер на 680 евро/ГРЕ. В системата за следене на постигнатото по мярката за създадена добавена стойност от подпомогнатите организации на производителите, които са одобрени и са получили финансиране по мярката няма събирана информация и оценката е правена на база икономически показатели за стопанствата между 2007 и 2013 година. </w:t>
      </w:r>
    </w:p>
    <w:p w14:paraId="7365AB2A" w14:textId="24DAD272"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 xml:space="preserve">От анализа се вижда, че възвращаемостта на труда нараства чувствително през целия програмен период. Одобрените организации на производителите успяват да формират финансов оборот от 19,6 млн. евро, което показва, че в тях попадат основно стопанства, които по класификатора за </w:t>
      </w:r>
      <w:r w:rsidR="00B84654">
        <w:rPr>
          <w:sz w:val="22"/>
          <w:szCs w:val="22"/>
          <w:lang w:val="bg-BG"/>
        </w:rPr>
        <w:t>с</w:t>
      </w:r>
      <w:r w:rsidRPr="00BC513A">
        <w:rPr>
          <w:sz w:val="22"/>
          <w:szCs w:val="22"/>
          <w:lang w:val="bg-BG"/>
        </w:rPr>
        <w:t>тандартен производствен обем са в групата стопанства между 100-250 хил.евро. На база на тези допускания се оценява, че новосъздадената брутна продукция на 1 ГРЕ в тези стопанства е 3 214 евро, което е постигнато ниво от 473% от поставената цел. Това красноречиво показва силно изпълнение на заложените по отношение възвращаемостта на труда цели и независимо, че има вероятно, като цяло подценяване на заложените предварителни цели, постигнатото е много положително.</w:t>
      </w:r>
    </w:p>
    <w:p w14:paraId="1E644FB7" w14:textId="77777777" w:rsidR="00E8617E" w:rsidRPr="00BC513A" w:rsidRDefault="00E8617E" w:rsidP="00E8617E">
      <w:pPr>
        <w:pStyle w:val="DefaultText"/>
        <w:keepNext/>
        <w:spacing w:before="240"/>
        <w:rPr>
          <w:b/>
          <w:szCs w:val="22"/>
          <w:lang w:val="bg-BG"/>
        </w:rPr>
      </w:pPr>
      <w:bookmarkStart w:id="128" w:name="_Toc504136214"/>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42</w:t>
      </w:r>
      <w:r w:rsidRPr="00BC513A">
        <w:rPr>
          <w:rFonts w:cs="Arial"/>
          <w:b/>
          <w:color w:val="0070C0"/>
          <w:sz w:val="20"/>
          <w:szCs w:val="20"/>
          <w:lang w:val="bg-BG"/>
        </w:rPr>
        <w:fldChar w:fldCharType="end"/>
      </w:r>
      <w:r w:rsidR="00047E2D">
        <w:rPr>
          <w:rFonts w:cs="Arial"/>
          <w:b/>
          <w:color w:val="0070C0"/>
          <w:sz w:val="20"/>
          <w:szCs w:val="20"/>
          <w:lang w:val="bg-BG"/>
        </w:rPr>
        <w:t>.</w:t>
      </w:r>
      <w:r w:rsidRPr="00BC513A">
        <w:rPr>
          <w:rFonts w:cs="Arial"/>
          <w:b/>
          <w:color w:val="0070C0"/>
          <w:sz w:val="20"/>
          <w:szCs w:val="20"/>
          <w:lang w:val="bg-BG"/>
        </w:rPr>
        <w:t xml:space="preserve"> Изпълнение на индикаторите за въздействие по мярка 142</w:t>
      </w:r>
      <w:bookmarkEnd w:id="128"/>
    </w:p>
    <w:tbl>
      <w:tblPr>
        <w:tblW w:w="4925" w:type="pct"/>
        <w:tblInd w:w="70" w:type="dxa"/>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1560"/>
        <w:gridCol w:w="3259"/>
        <w:gridCol w:w="1276"/>
        <w:gridCol w:w="1417"/>
        <w:gridCol w:w="1561"/>
      </w:tblGrid>
      <w:tr w:rsidR="00E8617E" w:rsidRPr="00BC513A" w14:paraId="7E4BDC70" w14:textId="77777777" w:rsidTr="00922731">
        <w:trPr>
          <w:trHeight w:val="686"/>
        </w:trPr>
        <w:tc>
          <w:tcPr>
            <w:tcW w:w="860" w:type="pct"/>
            <w:shd w:val="clear" w:color="auto" w:fill="1F4E79" w:themeFill="accent1" w:themeFillShade="80"/>
            <w:noWrap/>
            <w:vAlign w:val="center"/>
            <w:hideMark/>
          </w:tcPr>
          <w:p w14:paraId="0952D0D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796" w:type="pct"/>
            <w:shd w:val="clear" w:color="auto" w:fill="1F4E79" w:themeFill="accent1" w:themeFillShade="80"/>
            <w:vAlign w:val="center"/>
            <w:hideMark/>
          </w:tcPr>
          <w:p w14:paraId="4923564C"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703" w:type="pct"/>
            <w:shd w:val="clear" w:color="auto" w:fill="1F4E79" w:themeFill="accent1" w:themeFillShade="80"/>
            <w:noWrap/>
            <w:vAlign w:val="center"/>
            <w:hideMark/>
          </w:tcPr>
          <w:p w14:paraId="6BB27B4C"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81" w:type="pct"/>
            <w:shd w:val="clear" w:color="auto" w:fill="1F4E79" w:themeFill="accent1" w:themeFillShade="80"/>
            <w:vAlign w:val="center"/>
            <w:hideMark/>
          </w:tcPr>
          <w:p w14:paraId="3930FCB5"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60" w:type="pct"/>
            <w:shd w:val="clear" w:color="auto" w:fill="1F4E79" w:themeFill="accent1" w:themeFillShade="80"/>
            <w:vAlign w:val="center"/>
          </w:tcPr>
          <w:p w14:paraId="275B8D63"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7BAB223E" w14:textId="77777777" w:rsidTr="00922731">
        <w:trPr>
          <w:trHeight w:val="698"/>
        </w:trPr>
        <w:tc>
          <w:tcPr>
            <w:tcW w:w="860" w:type="pct"/>
            <w:shd w:val="clear" w:color="auto" w:fill="auto"/>
            <w:vAlign w:val="center"/>
            <w:hideMark/>
          </w:tcPr>
          <w:p w14:paraId="3F54ADD9"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Въздействие</w:t>
            </w:r>
          </w:p>
        </w:tc>
        <w:tc>
          <w:tcPr>
            <w:tcW w:w="1796" w:type="pct"/>
            <w:shd w:val="clear" w:color="auto" w:fill="auto"/>
            <w:vAlign w:val="center"/>
            <w:hideMark/>
          </w:tcPr>
          <w:p w14:paraId="2E9E2CB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Производителност на труда (</w:t>
            </w:r>
            <w:r w:rsidRPr="00BC513A">
              <w:rPr>
                <w:rFonts w:ascii="Arial" w:hAnsi="Arial" w:cs="Arial"/>
                <w:sz w:val="20"/>
                <w:szCs w:val="20"/>
              </w:rPr>
              <w:t>∆БДС/ГРЕ в евро)</w:t>
            </w:r>
          </w:p>
        </w:tc>
        <w:tc>
          <w:tcPr>
            <w:tcW w:w="703" w:type="pct"/>
            <w:shd w:val="clear" w:color="auto" w:fill="auto"/>
            <w:noWrap/>
            <w:vAlign w:val="center"/>
            <w:hideMark/>
          </w:tcPr>
          <w:p w14:paraId="0526E60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680</w:t>
            </w:r>
          </w:p>
        </w:tc>
        <w:tc>
          <w:tcPr>
            <w:tcW w:w="781" w:type="pct"/>
            <w:shd w:val="clear" w:color="auto" w:fill="auto"/>
            <w:vAlign w:val="center"/>
            <w:hideMark/>
          </w:tcPr>
          <w:p w14:paraId="4053DAE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3 214</w:t>
            </w:r>
          </w:p>
        </w:tc>
        <w:tc>
          <w:tcPr>
            <w:tcW w:w="860" w:type="pct"/>
            <w:shd w:val="clear" w:color="auto" w:fill="auto"/>
            <w:vAlign w:val="center"/>
            <w:hideMark/>
          </w:tcPr>
          <w:p w14:paraId="6C00F45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473%</w:t>
            </w:r>
          </w:p>
        </w:tc>
      </w:tr>
    </w:tbl>
    <w:p w14:paraId="6F4DA6F9" w14:textId="77777777" w:rsidR="00E8617E" w:rsidRPr="00AE71CA" w:rsidRDefault="00E8617E" w:rsidP="00E8617E">
      <w:pPr>
        <w:pStyle w:val="DefaultText"/>
        <w:rPr>
          <w:b/>
          <w:szCs w:val="18"/>
          <w:lang w:val="bg-BG"/>
        </w:rPr>
      </w:pPr>
      <w:r w:rsidRPr="00AE71CA">
        <w:rPr>
          <w:rFonts w:cs="Arial"/>
          <w:szCs w:val="18"/>
          <w:lang w:val="bg-BG"/>
        </w:rPr>
        <w:t>Източник: МЗХГ и собствени изчисления</w:t>
      </w:r>
    </w:p>
    <w:p w14:paraId="110B8171" w14:textId="14EE186A"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Цялостната оценка на изпълнение на мярката е</w:t>
      </w:r>
      <w:r w:rsidR="00B84654">
        <w:rPr>
          <w:sz w:val="22"/>
          <w:szCs w:val="22"/>
          <w:lang w:val="bg-BG"/>
        </w:rPr>
        <w:t>,</w:t>
      </w:r>
      <w:r w:rsidRPr="00BC513A">
        <w:rPr>
          <w:sz w:val="22"/>
          <w:szCs w:val="22"/>
          <w:lang w:val="bg-BG"/>
        </w:rPr>
        <w:t xml:space="preserve"> че тя не успява да допринесе и да насърчи сама по себе си необходимото сдружаване и обединяване на земеделските производители. В страната се отчита сериозно изоставане в тази посока, като причините са до голяма степен извън условията и прилагането на мярката. Основната цел на сдружаването трябва да бъдат средните стопанства, с икономически размер между </w:t>
      </w:r>
      <w:r w:rsidR="00B84654">
        <w:rPr>
          <w:sz w:val="22"/>
          <w:szCs w:val="22"/>
          <w:lang w:val="bg-BG"/>
        </w:rPr>
        <w:t xml:space="preserve">                     </w:t>
      </w:r>
      <w:r w:rsidRPr="00BC513A">
        <w:rPr>
          <w:sz w:val="22"/>
          <w:szCs w:val="22"/>
          <w:lang w:val="bg-BG"/>
        </w:rPr>
        <w:t xml:space="preserve">8 </w:t>
      </w:r>
      <w:r w:rsidR="000E5143">
        <w:rPr>
          <w:sz w:val="22"/>
          <w:szCs w:val="22"/>
          <w:lang w:val="bg-BG"/>
        </w:rPr>
        <w:t xml:space="preserve">хил. </w:t>
      </w:r>
      <w:r w:rsidRPr="00BC513A">
        <w:rPr>
          <w:sz w:val="22"/>
          <w:szCs w:val="22"/>
          <w:lang w:val="bg-BG"/>
        </w:rPr>
        <w:t xml:space="preserve">и 250 хил. </w:t>
      </w:r>
      <w:r w:rsidR="003C003E">
        <w:rPr>
          <w:sz w:val="22"/>
          <w:szCs w:val="22"/>
          <w:lang w:val="bg-BG"/>
        </w:rPr>
        <w:t>евро</w:t>
      </w:r>
      <w:r w:rsidR="003C003E" w:rsidRPr="00BC513A">
        <w:rPr>
          <w:sz w:val="22"/>
          <w:szCs w:val="22"/>
          <w:lang w:val="bg-BG"/>
        </w:rPr>
        <w:t xml:space="preserve"> </w:t>
      </w:r>
      <w:r w:rsidR="003C003E">
        <w:rPr>
          <w:sz w:val="22"/>
          <w:szCs w:val="22"/>
          <w:lang w:val="bg-BG"/>
        </w:rPr>
        <w:t>стандартен</w:t>
      </w:r>
      <w:r w:rsidR="003C003E" w:rsidRPr="00BC513A">
        <w:rPr>
          <w:sz w:val="22"/>
          <w:szCs w:val="22"/>
          <w:lang w:val="bg-BG"/>
        </w:rPr>
        <w:t xml:space="preserve"> </w:t>
      </w:r>
      <w:r w:rsidRPr="00BC513A">
        <w:rPr>
          <w:sz w:val="22"/>
          <w:szCs w:val="22"/>
          <w:lang w:val="bg-BG"/>
        </w:rPr>
        <w:t>производствен обем (СПО), които през 2013 г</w:t>
      </w:r>
      <w:r w:rsidR="00B84654">
        <w:rPr>
          <w:sz w:val="22"/>
          <w:szCs w:val="22"/>
          <w:lang w:val="bg-BG"/>
        </w:rPr>
        <w:t>.</w:t>
      </w:r>
      <w:r w:rsidRPr="00BC513A">
        <w:rPr>
          <w:sz w:val="22"/>
          <w:szCs w:val="22"/>
          <w:lang w:val="bg-BG"/>
        </w:rPr>
        <w:t xml:space="preserve"> са около 32,</w:t>
      </w:r>
      <w:r w:rsidR="000E5143">
        <w:rPr>
          <w:sz w:val="22"/>
          <w:szCs w:val="22"/>
          <w:lang w:val="bg-BG"/>
        </w:rPr>
        <w:t>5</w:t>
      </w:r>
      <w:r w:rsidRPr="00BC513A">
        <w:rPr>
          <w:sz w:val="22"/>
          <w:szCs w:val="22"/>
          <w:lang w:val="bg-BG"/>
        </w:rPr>
        <w:t xml:space="preserve"> хил. стопанства. В тези стопанства към 2013 г се създава около 960 млн. евро брутна земеделска продукция. За да се случи това</w:t>
      </w:r>
      <w:r w:rsidR="000E5143">
        <w:rPr>
          <w:sz w:val="22"/>
          <w:szCs w:val="22"/>
          <w:lang w:val="bg-BG"/>
        </w:rPr>
        <w:t>,</w:t>
      </w:r>
      <w:r w:rsidRPr="00BC513A">
        <w:rPr>
          <w:sz w:val="22"/>
          <w:szCs w:val="22"/>
          <w:lang w:val="bg-BG"/>
        </w:rPr>
        <w:t xml:space="preserve"> е хубаво да се помисли за разширяване на модела на коопериране, като наред с хоризонталния модел се предвиди и включване на вертикално интегриране. Заради важността на въпроса с кооперирането сред производителите е необходимо да се помисли за създаване структура посредник, която да подпомага сдружаването и която евентуално да извършва дейностите, които са обект на подпомагане по мярка 142. Оказва се, че самите членове на тези обединения, заради една или друга причина не могат сами да организират този процес и за да сработи както кооперирането, така и работата на подобни мерки</w:t>
      </w:r>
      <w:r w:rsidR="00B84654">
        <w:rPr>
          <w:sz w:val="22"/>
          <w:szCs w:val="22"/>
          <w:lang w:val="bg-BG"/>
        </w:rPr>
        <w:t>,</w:t>
      </w:r>
      <w:r w:rsidRPr="00BC513A">
        <w:rPr>
          <w:sz w:val="22"/>
          <w:szCs w:val="22"/>
          <w:lang w:val="bg-BG"/>
        </w:rPr>
        <w:t xml:space="preserve"> има нужда от структури посредници.</w:t>
      </w:r>
    </w:p>
    <w:p w14:paraId="01717D95"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143.Предоставяне на съвети и консултиране в земеделието в България и Румъния</w:t>
      </w:r>
    </w:p>
    <w:p w14:paraId="79EB7313" w14:textId="54696B0B" w:rsidR="00E8617E" w:rsidRPr="00BC513A" w:rsidRDefault="00E8617E" w:rsidP="00E8617E">
      <w:pPr>
        <w:autoSpaceDE w:val="0"/>
        <w:autoSpaceDN w:val="0"/>
        <w:adjustRightInd w:val="0"/>
        <w:spacing w:after="120" w:line="300" w:lineRule="atLeast"/>
        <w:ind w:firstLine="709"/>
        <w:jc w:val="both"/>
        <w:rPr>
          <w:rFonts w:ascii="Arial" w:hAnsi="Arial" w:cs="Arial"/>
          <w:lang w:eastAsia="ja-JP"/>
        </w:rPr>
      </w:pPr>
      <w:r w:rsidRPr="00BC513A">
        <w:rPr>
          <w:rFonts w:ascii="Arial" w:hAnsi="Arial" w:cs="Arial"/>
          <w:lang w:eastAsia="ja-JP"/>
        </w:rPr>
        <w:t xml:space="preserve">Осъзнатата нужда от създаване и провеждане на публична съветническа и консултантска дейност, която да достигне до мнозинството малки и полупазарни стопанства в България намира своето проявление в изготвянето и стартирането на мярка 143. Тя цели да подпомогне фермерите за повишаване информираността и тяхната компетентност за работа в новата сложна институционална среда произтичаща от членството на страната в ЕС и прилагането на ОСП. Като обхват на приложение на мярката е предвидено </w:t>
      </w:r>
      <w:r w:rsidRPr="00BC513A">
        <w:rPr>
          <w:rFonts w:ascii="Arial" w:hAnsi="Arial" w:cs="Arial"/>
        </w:rPr>
        <w:t>осигуряване на пълен комплект от съветнически услуги на лицата по определени мерки.</w:t>
      </w:r>
      <w:r w:rsidRPr="00BC513A">
        <w:rPr>
          <w:rFonts w:ascii="Arial" w:hAnsi="Arial" w:cs="Arial"/>
          <w:lang w:eastAsia="ja-JP"/>
        </w:rPr>
        <w:t xml:space="preserve"> НССЗ е избрана за единствен бенефициент по мярка 143 и предоставя пълен комплект от съветнически услуги на лицата, допустими за кандидатстване по следните мерки от ПРСР </w:t>
      </w:r>
      <w:r w:rsidR="00B84654">
        <w:rPr>
          <w:rFonts w:ascii="Arial" w:hAnsi="Arial" w:cs="Arial"/>
          <w:lang w:eastAsia="ja-JP"/>
        </w:rPr>
        <w:t>–</w:t>
      </w:r>
      <w:r w:rsidRPr="00BC513A">
        <w:rPr>
          <w:rFonts w:ascii="Arial" w:hAnsi="Arial" w:cs="Arial"/>
          <w:lang w:eastAsia="ja-JP"/>
        </w:rPr>
        <w:t xml:space="preserve"> мярка 141 "Подпомагане на полупазарни стопанства в процес на преструктуриране", мярка 112 "Създаване на стопанства на млади фермери", мярка 142 "Създаване на организации на производители", мярка 214 "Агроекологични плащания". Мярката започва да се прилага от 03.04.2008 г</w:t>
      </w:r>
      <w:r w:rsidR="00B84654">
        <w:rPr>
          <w:rFonts w:ascii="Arial" w:hAnsi="Arial" w:cs="Arial"/>
          <w:lang w:eastAsia="ja-JP"/>
        </w:rPr>
        <w:t>.</w:t>
      </w:r>
      <w:r w:rsidRPr="00BC513A">
        <w:rPr>
          <w:rFonts w:ascii="Arial" w:hAnsi="Arial" w:cs="Arial"/>
          <w:lang w:eastAsia="ja-JP"/>
        </w:rPr>
        <w:t>, което е напълно навреме с оглед стартирането и на посочените по-горе мерки, по които мярка 143 трябва да окаже ключово съдействие.</w:t>
      </w:r>
    </w:p>
    <w:p w14:paraId="58AA97B6" w14:textId="6B3C55FE" w:rsidR="00E8617E" w:rsidRPr="00BC513A" w:rsidRDefault="00E8617E" w:rsidP="00E8617E">
      <w:pPr>
        <w:spacing w:after="120" w:line="300" w:lineRule="atLeast"/>
        <w:ind w:firstLine="709"/>
        <w:jc w:val="both"/>
        <w:rPr>
          <w:rFonts w:ascii="Arial" w:hAnsi="Arial" w:cs="Arial"/>
          <w:lang w:eastAsia="ja-JP"/>
        </w:rPr>
      </w:pPr>
      <w:r w:rsidRPr="00BC513A">
        <w:rPr>
          <w:rFonts w:ascii="Arial" w:hAnsi="Arial" w:cs="Arial"/>
          <w:lang w:eastAsia="ja-JP"/>
        </w:rPr>
        <w:t>Това е единствената мярка по ос 1, където първоначално делегирания</w:t>
      </w:r>
      <w:r w:rsidR="00B84654">
        <w:rPr>
          <w:rFonts w:ascii="Arial" w:hAnsi="Arial" w:cs="Arial"/>
          <w:lang w:eastAsia="ja-JP"/>
        </w:rPr>
        <w:t>т</w:t>
      </w:r>
      <w:r w:rsidRPr="00BC513A">
        <w:rPr>
          <w:rFonts w:ascii="Arial" w:hAnsi="Arial" w:cs="Arial"/>
          <w:lang w:eastAsia="ja-JP"/>
        </w:rPr>
        <w:t xml:space="preserve"> бюджет (4 милиона евро) се запазва и по време на изпълнение на мярката не се налага както преструктуриране, така и отписване на средства. Финансовото изпълнение на мярката е на 100%. </w:t>
      </w:r>
    </w:p>
    <w:p w14:paraId="238B1795" w14:textId="357431CD" w:rsidR="00E8617E" w:rsidRPr="00BC513A" w:rsidRDefault="00E8617E" w:rsidP="00E8617E">
      <w:pPr>
        <w:spacing w:after="120" w:line="300" w:lineRule="atLeast"/>
        <w:ind w:firstLine="709"/>
        <w:jc w:val="both"/>
        <w:rPr>
          <w:rFonts w:ascii="Arial" w:hAnsi="Arial" w:cs="Arial"/>
          <w:lang w:eastAsia="ja-JP"/>
        </w:rPr>
      </w:pPr>
      <w:r w:rsidRPr="00BC513A">
        <w:rPr>
          <w:rFonts w:ascii="Arial" w:hAnsi="Arial" w:cs="Arial"/>
          <w:lang w:eastAsia="ja-JP"/>
        </w:rPr>
        <w:t>Изпълнението на мярката се измерва по брой на предоставените комплексни съветнически услуги (КСУ), което включва предоставяне на всичко, което е необходимо, проект</w:t>
      </w:r>
      <w:r w:rsidR="00B84654">
        <w:rPr>
          <w:rFonts w:ascii="Arial" w:hAnsi="Arial" w:cs="Arial"/>
          <w:lang w:eastAsia="ja-JP"/>
        </w:rPr>
        <w:t>ът</w:t>
      </w:r>
      <w:r w:rsidRPr="00BC513A">
        <w:rPr>
          <w:rFonts w:ascii="Arial" w:hAnsi="Arial" w:cs="Arial"/>
          <w:lang w:eastAsia="ja-JP"/>
        </w:rPr>
        <w:t xml:space="preserve"> на един кандидат д</w:t>
      </w:r>
      <w:r w:rsidR="00B84654">
        <w:rPr>
          <w:rFonts w:ascii="Arial" w:hAnsi="Arial" w:cs="Arial"/>
          <w:lang w:eastAsia="ja-JP"/>
        </w:rPr>
        <w:t>а</w:t>
      </w:r>
      <w:r w:rsidRPr="00BC513A">
        <w:rPr>
          <w:rFonts w:ascii="Arial" w:hAnsi="Arial" w:cs="Arial"/>
          <w:lang w:eastAsia="ja-JP"/>
        </w:rPr>
        <w:t xml:space="preserve"> достигне до ДФ „Земеделие”. Основната цел в индикатора е да се подпомогнат общо 19 450 бенефициенти по 4 обхванати мерки. Изпълнението на този индикатор е на 86%, което показва сравнително добро достижение. При предоставените съветнически услуги, най-голям е броя</w:t>
      </w:r>
      <w:r w:rsidR="00B84654">
        <w:rPr>
          <w:rFonts w:ascii="Arial" w:hAnsi="Arial" w:cs="Arial"/>
          <w:lang w:eastAsia="ja-JP"/>
        </w:rPr>
        <w:t>т</w:t>
      </w:r>
      <w:r w:rsidRPr="00BC513A">
        <w:rPr>
          <w:rFonts w:ascii="Arial" w:hAnsi="Arial" w:cs="Arial"/>
          <w:lang w:eastAsia="ja-JP"/>
        </w:rPr>
        <w:t xml:space="preserve"> на подпомогнати фермери по мярка 141. Заложената цел по мярката е да бъде оказана помощ на 12 300 такива стопанства, а реално са консултирани 9 341, което е 76% от предвидената цел. Това е удовлетворително ниво на успеваемост, като по този начин над 97% от кандидатите по мярка 141, които са одобрени и финансирани по </w:t>
      </w:r>
      <w:r w:rsidR="000F57E9">
        <w:rPr>
          <w:rFonts w:ascii="Arial" w:hAnsi="Arial" w:cs="Arial"/>
          <w:lang w:eastAsia="ja-JP"/>
        </w:rPr>
        <w:t>п</w:t>
      </w:r>
      <w:r w:rsidRPr="00BC513A">
        <w:rPr>
          <w:rFonts w:ascii="Arial" w:hAnsi="Arial" w:cs="Arial"/>
          <w:lang w:eastAsia="ja-JP"/>
        </w:rPr>
        <w:t>рограмата</w:t>
      </w:r>
      <w:r w:rsidR="00B84654">
        <w:rPr>
          <w:rFonts w:ascii="Arial" w:hAnsi="Arial" w:cs="Arial"/>
          <w:lang w:eastAsia="ja-JP"/>
        </w:rPr>
        <w:t>,</w:t>
      </w:r>
      <w:r w:rsidRPr="00BC513A">
        <w:rPr>
          <w:rFonts w:ascii="Arial" w:hAnsi="Arial" w:cs="Arial"/>
          <w:lang w:eastAsia="ja-JP"/>
        </w:rPr>
        <w:t xml:space="preserve"> са с изготвени </w:t>
      </w:r>
      <w:r w:rsidR="00B84654">
        <w:rPr>
          <w:rFonts w:ascii="Arial" w:hAnsi="Arial" w:cs="Arial"/>
          <w:lang w:eastAsia="ja-JP"/>
        </w:rPr>
        <w:t xml:space="preserve">проекти </w:t>
      </w:r>
      <w:r w:rsidRPr="00BC513A">
        <w:rPr>
          <w:rFonts w:ascii="Arial" w:hAnsi="Arial" w:cs="Arial"/>
          <w:lang w:eastAsia="ja-JP"/>
        </w:rPr>
        <w:t xml:space="preserve">от НССЗ. Най-високо изпълнение на целите има при изготвените проекти по мярка 112, където от заложената цел </w:t>
      </w:r>
      <w:r w:rsidR="00B84654">
        <w:rPr>
          <w:rFonts w:ascii="Arial" w:hAnsi="Arial" w:cs="Arial"/>
          <w:lang w:eastAsia="ja-JP"/>
        </w:rPr>
        <w:t xml:space="preserve">за </w:t>
      </w:r>
      <w:r w:rsidRPr="00BC513A">
        <w:rPr>
          <w:rFonts w:ascii="Arial" w:hAnsi="Arial" w:cs="Arial"/>
          <w:lang w:eastAsia="ja-JP"/>
        </w:rPr>
        <w:t>4 000 проекта от НССЗ са изготвени 4 406. Около 58% от всички одобрени по мярка 112 млади фермери са с изготвени проекти по марка 143. Това говори за сериозен принос на мярка 143 в подготовката и подкрепата на млади фермери. Сравнително добра оценка трябва да се даде и на успеваемостта на подпомогнатите проекти, като около 83% от проектите, които са изготвени от НССЗ са били финансирани и реализирани.</w:t>
      </w:r>
    </w:p>
    <w:p w14:paraId="2A146946" w14:textId="59EBAB98" w:rsidR="00E8617E" w:rsidRPr="00BC513A" w:rsidRDefault="00E8617E" w:rsidP="00E8617E">
      <w:pPr>
        <w:keepNext/>
        <w:spacing w:before="240" w:after="0" w:line="300" w:lineRule="atLeast"/>
        <w:jc w:val="both"/>
        <w:rPr>
          <w:rFonts w:ascii="Arial" w:hAnsi="Arial" w:cs="Arial"/>
          <w:b/>
          <w:color w:val="0070C0"/>
          <w:sz w:val="20"/>
          <w:szCs w:val="20"/>
        </w:rPr>
      </w:pPr>
      <w:bookmarkStart w:id="129" w:name="_Toc504136215"/>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43</w:t>
      </w:r>
      <w:r w:rsidRPr="00BC513A">
        <w:rPr>
          <w:rFonts w:ascii="Arial" w:hAnsi="Arial" w:cs="Arial"/>
          <w:b/>
          <w:color w:val="0070C0"/>
          <w:sz w:val="20"/>
          <w:szCs w:val="20"/>
        </w:rPr>
        <w:fldChar w:fldCharType="end"/>
      </w:r>
      <w:r w:rsidR="00047E2D">
        <w:rPr>
          <w:rFonts w:ascii="Arial" w:hAnsi="Arial" w:cs="Arial"/>
          <w:b/>
          <w:color w:val="0070C0"/>
          <w:sz w:val="20"/>
          <w:szCs w:val="20"/>
        </w:rPr>
        <w:t>.</w:t>
      </w:r>
      <w:r w:rsidRPr="00BC513A">
        <w:rPr>
          <w:rFonts w:ascii="Arial" w:hAnsi="Arial" w:cs="Arial"/>
          <w:b/>
          <w:color w:val="0070C0"/>
          <w:sz w:val="20"/>
          <w:szCs w:val="20"/>
        </w:rPr>
        <w:t xml:space="preserve"> Изпълнение на индикаторните цели по мярка 143</w:t>
      </w:r>
      <w:bookmarkEnd w:id="129"/>
    </w:p>
    <w:tbl>
      <w:tblPr>
        <w:tblW w:w="4913" w:type="pct"/>
        <w:jc w:val="center"/>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3536"/>
        <w:gridCol w:w="1133"/>
        <w:gridCol w:w="1560"/>
        <w:gridCol w:w="1276"/>
        <w:gridCol w:w="1546"/>
      </w:tblGrid>
      <w:tr w:rsidR="00E8617E" w:rsidRPr="00BC513A" w14:paraId="67450788" w14:textId="77777777" w:rsidTr="00922731">
        <w:trPr>
          <w:trHeight w:val="733"/>
          <w:jc w:val="center"/>
        </w:trPr>
        <w:tc>
          <w:tcPr>
            <w:tcW w:w="1953" w:type="pct"/>
            <w:shd w:val="clear" w:color="auto" w:fill="1F4E79" w:themeFill="accent1" w:themeFillShade="80"/>
            <w:vAlign w:val="center"/>
            <w:hideMark/>
          </w:tcPr>
          <w:p w14:paraId="6C177A78"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Брой подпомогнати кандидати по определените мерки</w:t>
            </w:r>
          </w:p>
        </w:tc>
        <w:tc>
          <w:tcPr>
            <w:tcW w:w="626" w:type="pct"/>
            <w:shd w:val="clear" w:color="auto" w:fill="1F4E79" w:themeFill="accent1" w:themeFillShade="80"/>
            <w:vAlign w:val="center"/>
            <w:hideMark/>
          </w:tcPr>
          <w:p w14:paraId="5BC237D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в ПРСР</w:t>
            </w:r>
          </w:p>
        </w:tc>
        <w:tc>
          <w:tcPr>
            <w:tcW w:w="862" w:type="pct"/>
            <w:shd w:val="clear" w:color="auto" w:fill="1F4E79" w:themeFill="accent1" w:themeFillShade="80"/>
            <w:vAlign w:val="center"/>
            <w:hideMark/>
          </w:tcPr>
          <w:p w14:paraId="44E522D3"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Брой предоставени КСУ</w:t>
            </w:r>
          </w:p>
        </w:tc>
        <w:tc>
          <w:tcPr>
            <w:tcW w:w="705" w:type="pct"/>
            <w:shd w:val="clear" w:color="auto" w:fill="1F4E79" w:themeFill="accent1" w:themeFillShade="80"/>
            <w:vAlign w:val="center"/>
            <w:hideMark/>
          </w:tcPr>
          <w:p w14:paraId="2575CBD3"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Брой одобрени заявления</w:t>
            </w:r>
          </w:p>
        </w:tc>
        <w:tc>
          <w:tcPr>
            <w:tcW w:w="854" w:type="pct"/>
            <w:shd w:val="clear" w:color="auto" w:fill="1F4E79" w:themeFill="accent1" w:themeFillShade="80"/>
            <w:vAlign w:val="center"/>
          </w:tcPr>
          <w:p w14:paraId="331928F5"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постигане</w:t>
            </w:r>
          </w:p>
        </w:tc>
      </w:tr>
      <w:tr w:rsidR="00E8617E" w:rsidRPr="00BC513A" w14:paraId="5E4091A8" w14:textId="77777777" w:rsidTr="00922731">
        <w:trPr>
          <w:trHeight w:val="300"/>
          <w:jc w:val="center"/>
        </w:trPr>
        <w:tc>
          <w:tcPr>
            <w:tcW w:w="1953" w:type="pct"/>
            <w:shd w:val="clear" w:color="auto" w:fill="auto"/>
            <w:noWrap/>
            <w:vAlign w:val="center"/>
            <w:hideMark/>
          </w:tcPr>
          <w:p w14:paraId="5E3EE603" w14:textId="083F2935"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Брой подпомогнати фермери</w:t>
            </w:r>
          </w:p>
        </w:tc>
        <w:tc>
          <w:tcPr>
            <w:tcW w:w="626" w:type="pct"/>
            <w:shd w:val="clear" w:color="auto" w:fill="auto"/>
            <w:vAlign w:val="center"/>
            <w:hideMark/>
          </w:tcPr>
          <w:p w14:paraId="2E0AF9BA"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19 450</w:t>
            </w:r>
          </w:p>
        </w:tc>
        <w:tc>
          <w:tcPr>
            <w:tcW w:w="862" w:type="pct"/>
            <w:shd w:val="clear" w:color="auto" w:fill="auto"/>
            <w:vAlign w:val="center"/>
            <w:hideMark/>
          </w:tcPr>
          <w:p w14:paraId="761B18FA"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16 799</w:t>
            </w:r>
          </w:p>
        </w:tc>
        <w:tc>
          <w:tcPr>
            <w:tcW w:w="705" w:type="pct"/>
            <w:shd w:val="clear" w:color="auto" w:fill="auto"/>
            <w:vAlign w:val="center"/>
            <w:hideMark/>
          </w:tcPr>
          <w:p w14:paraId="089A28CF"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14 044</w:t>
            </w:r>
          </w:p>
        </w:tc>
        <w:tc>
          <w:tcPr>
            <w:tcW w:w="854" w:type="pct"/>
            <w:vAlign w:val="center"/>
          </w:tcPr>
          <w:p w14:paraId="1D1C359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86%</w:t>
            </w:r>
          </w:p>
        </w:tc>
      </w:tr>
      <w:tr w:rsidR="00E8617E" w:rsidRPr="00BC513A" w14:paraId="09ED4FDF" w14:textId="77777777" w:rsidTr="00922731">
        <w:trPr>
          <w:trHeight w:val="300"/>
          <w:jc w:val="center"/>
        </w:trPr>
        <w:tc>
          <w:tcPr>
            <w:tcW w:w="1953" w:type="pct"/>
            <w:shd w:val="clear" w:color="auto" w:fill="auto"/>
            <w:noWrap/>
            <w:vAlign w:val="center"/>
            <w:hideMark/>
          </w:tcPr>
          <w:p w14:paraId="6E20D5E3"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Брой подпомогнати млади фермери</w:t>
            </w:r>
          </w:p>
        </w:tc>
        <w:tc>
          <w:tcPr>
            <w:tcW w:w="626" w:type="pct"/>
            <w:shd w:val="clear" w:color="auto" w:fill="auto"/>
            <w:vAlign w:val="center"/>
            <w:hideMark/>
          </w:tcPr>
          <w:p w14:paraId="7CBA48F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4 000</w:t>
            </w:r>
          </w:p>
        </w:tc>
        <w:tc>
          <w:tcPr>
            <w:tcW w:w="862" w:type="pct"/>
            <w:shd w:val="clear" w:color="auto" w:fill="auto"/>
            <w:vAlign w:val="center"/>
            <w:hideMark/>
          </w:tcPr>
          <w:p w14:paraId="118E3454"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4 406</w:t>
            </w:r>
          </w:p>
        </w:tc>
        <w:tc>
          <w:tcPr>
            <w:tcW w:w="705" w:type="pct"/>
            <w:shd w:val="clear" w:color="auto" w:fill="auto"/>
            <w:vAlign w:val="center"/>
            <w:hideMark/>
          </w:tcPr>
          <w:p w14:paraId="177A331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3 428</w:t>
            </w:r>
          </w:p>
        </w:tc>
        <w:tc>
          <w:tcPr>
            <w:tcW w:w="854" w:type="pct"/>
            <w:vAlign w:val="center"/>
          </w:tcPr>
          <w:p w14:paraId="4606B22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110%</w:t>
            </w:r>
          </w:p>
        </w:tc>
      </w:tr>
      <w:tr w:rsidR="00E8617E" w:rsidRPr="00BC513A" w14:paraId="03F75BA0" w14:textId="77777777" w:rsidTr="00922731">
        <w:trPr>
          <w:trHeight w:val="300"/>
          <w:jc w:val="center"/>
        </w:trPr>
        <w:tc>
          <w:tcPr>
            <w:tcW w:w="1953" w:type="pct"/>
            <w:shd w:val="clear" w:color="auto" w:fill="auto"/>
            <w:noWrap/>
            <w:vAlign w:val="center"/>
            <w:hideMark/>
          </w:tcPr>
          <w:p w14:paraId="701DDF59"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Брой подпомогнати полупазарни стопанства</w:t>
            </w:r>
          </w:p>
        </w:tc>
        <w:tc>
          <w:tcPr>
            <w:tcW w:w="626" w:type="pct"/>
            <w:shd w:val="clear" w:color="auto" w:fill="auto"/>
            <w:vAlign w:val="center"/>
            <w:hideMark/>
          </w:tcPr>
          <w:p w14:paraId="450E422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12 300</w:t>
            </w:r>
          </w:p>
        </w:tc>
        <w:tc>
          <w:tcPr>
            <w:tcW w:w="862" w:type="pct"/>
            <w:shd w:val="clear" w:color="auto" w:fill="auto"/>
            <w:vAlign w:val="center"/>
            <w:hideMark/>
          </w:tcPr>
          <w:p w14:paraId="4F0CD6D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9 341</w:t>
            </w:r>
          </w:p>
        </w:tc>
        <w:tc>
          <w:tcPr>
            <w:tcW w:w="705" w:type="pct"/>
            <w:shd w:val="clear" w:color="auto" w:fill="auto"/>
            <w:vAlign w:val="center"/>
            <w:hideMark/>
          </w:tcPr>
          <w:p w14:paraId="3A9BD06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8 424</w:t>
            </w:r>
          </w:p>
        </w:tc>
        <w:tc>
          <w:tcPr>
            <w:tcW w:w="854" w:type="pct"/>
            <w:vAlign w:val="center"/>
          </w:tcPr>
          <w:p w14:paraId="0697ADE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76%</w:t>
            </w:r>
          </w:p>
        </w:tc>
      </w:tr>
      <w:tr w:rsidR="00E8617E" w:rsidRPr="00BC513A" w14:paraId="44226196" w14:textId="77777777" w:rsidTr="00922731">
        <w:trPr>
          <w:trHeight w:val="300"/>
          <w:jc w:val="center"/>
        </w:trPr>
        <w:tc>
          <w:tcPr>
            <w:tcW w:w="1953" w:type="pct"/>
            <w:shd w:val="clear" w:color="auto" w:fill="auto"/>
            <w:noWrap/>
            <w:vAlign w:val="center"/>
            <w:hideMark/>
          </w:tcPr>
          <w:p w14:paraId="4382C165"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Брой подпомогнати организации на производителите</w:t>
            </w:r>
          </w:p>
        </w:tc>
        <w:tc>
          <w:tcPr>
            <w:tcW w:w="626" w:type="pct"/>
            <w:shd w:val="clear" w:color="auto" w:fill="auto"/>
            <w:vAlign w:val="center"/>
            <w:hideMark/>
          </w:tcPr>
          <w:p w14:paraId="0A42295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150</w:t>
            </w:r>
          </w:p>
        </w:tc>
        <w:tc>
          <w:tcPr>
            <w:tcW w:w="862" w:type="pct"/>
            <w:shd w:val="clear" w:color="auto" w:fill="auto"/>
            <w:vAlign w:val="center"/>
            <w:hideMark/>
          </w:tcPr>
          <w:p w14:paraId="2738CCC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705" w:type="pct"/>
            <w:shd w:val="clear" w:color="auto" w:fill="auto"/>
            <w:vAlign w:val="center"/>
            <w:hideMark/>
          </w:tcPr>
          <w:p w14:paraId="4915479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854" w:type="pct"/>
            <w:vAlign w:val="center"/>
          </w:tcPr>
          <w:p w14:paraId="5068160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r>
      <w:tr w:rsidR="00E8617E" w:rsidRPr="00BC513A" w14:paraId="6E54AD4E" w14:textId="77777777" w:rsidTr="00922731">
        <w:trPr>
          <w:trHeight w:val="300"/>
          <w:jc w:val="center"/>
        </w:trPr>
        <w:tc>
          <w:tcPr>
            <w:tcW w:w="1953" w:type="pct"/>
            <w:shd w:val="clear" w:color="auto" w:fill="auto"/>
            <w:noWrap/>
            <w:vAlign w:val="center"/>
            <w:hideMark/>
          </w:tcPr>
          <w:p w14:paraId="76069D2B"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Брой подпомогнати стопани по мярка 214</w:t>
            </w:r>
          </w:p>
        </w:tc>
        <w:tc>
          <w:tcPr>
            <w:tcW w:w="626" w:type="pct"/>
            <w:shd w:val="clear" w:color="auto" w:fill="auto"/>
            <w:vAlign w:val="center"/>
            <w:hideMark/>
          </w:tcPr>
          <w:p w14:paraId="76C8671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3 000</w:t>
            </w:r>
          </w:p>
        </w:tc>
        <w:tc>
          <w:tcPr>
            <w:tcW w:w="862" w:type="pct"/>
            <w:shd w:val="clear" w:color="auto" w:fill="auto"/>
            <w:vAlign w:val="center"/>
            <w:hideMark/>
          </w:tcPr>
          <w:p w14:paraId="0128C45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2 841</w:t>
            </w:r>
          </w:p>
        </w:tc>
        <w:tc>
          <w:tcPr>
            <w:tcW w:w="705" w:type="pct"/>
            <w:shd w:val="clear" w:color="auto" w:fill="auto"/>
            <w:vAlign w:val="center"/>
            <w:hideMark/>
          </w:tcPr>
          <w:p w14:paraId="1400FA6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2 102</w:t>
            </w:r>
          </w:p>
        </w:tc>
        <w:tc>
          <w:tcPr>
            <w:tcW w:w="854" w:type="pct"/>
            <w:vAlign w:val="center"/>
          </w:tcPr>
          <w:p w14:paraId="0491F44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95%</w:t>
            </w:r>
          </w:p>
        </w:tc>
      </w:tr>
    </w:tbl>
    <w:p w14:paraId="41896E4D" w14:textId="77777777" w:rsidR="00E8617E" w:rsidRPr="00F07F15" w:rsidRDefault="00E8617E" w:rsidP="00E8617E">
      <w:pPr>
        <w:spacing w:after="0" w:line="300" w:lineRule="atLeast"/>
        <w:jc w:val="both"/>
        <w:rPr>
          <w:rFonts w:ascii="Arial" w:hAnsi="Arial" w:cs="Arial"/>
          <w:sz w:val="18"/>
          <w:szCs w:val="18"/>
          <w:lang w:eastAsia="ja-JP"/>
        </w:rPr>
      </w:pPr>
      <w:r w:rsidRPr="00F07F15">
        <w:rPr>
          <w:rFonts w:ascii="Arial" w:hAnsi="Arial" w:cs="Arial"/>
          <w:sz w:val="18"/>
          <w:szCs w:val="18"/>
        </w:rPr>
        <w:t xml:space="preserve">Източник: Годишен </w:t>
      </w:r>
      <w:r w:rsidR="00F07F15" w:rsidRPr="00F07F15">
        <w:rPr>
          <w:rFonts w:ascii="Arial" w:hAnsi="Arial" w:cs="Arial"/>
          <w:sz w:val="18"/>
          <w:szCs w:val="18"/>
        </w:rPr>
        <w:t>д</w:t>
      </w:r>
      <w:r w:rsidRPr="00F07F15">
        <w:rPr>
          <w:rFonts w:ascii="Arial" w:hAnsi="Arial" w:cs="Arial"/>
          <w:sz w:val="18"/>
          <w:szCs w:val="18"/>
        </w:rPr>
        <w:t xml:space="preserve">оклад за </w:t>
      </w:r>
      <w:r w:rsidR="00F07F15" w:rsidRPr="00F07F15">
        <w:rPr>
          <w:rFonts w:ascii="Arial" w:hAnsi="Arial" w:cs="Arial"/>
          <w:sz w:val="18"/>
          <w:szCs w:val="18"/>
        </w:rPr>
        <w:t>и</w:t>
      </w:r>
      <w:r w:rsidRPr="00F07F15">
        <w:rPr>
          <w:rFonts w:ascii="Arial" w:hAnsi="Arial" w:cs="Arial"/>
          <w:sz w:val="18"/>
          <w:szCs w:val="18"/>
        </w:rPr>
        <w:t xml:space="preserve">зпълнение на ПРСР </w:t>
      </w:r>
      <w:r w:rsidR="00F07F15" w:rsidRPr="00F07F15">
        <w:rPr>
          <w:rFonts w:ascii="Arial" w:hAnsi="Arial" w:cs="Arial"/>
          <w:sz w:val="18"/>
          <w:szCs w:val="18"/>
        </w:rPr>
        <w:t>2007-2013 за 2015 г.</w:t>
      </w:r>
    </w:p>
    <w:p w14:paraId="505963DA" w14:textId="77777777" w:rsidR="00E8617E" w:rsidRPr="00BC513A" w:rsidRDefault="00E8617E" w:rsidP="00E8617E">
      <w:pPr>
        <w:spacing w:after="0" w:line="300" w:lineRule="atLeast"/>
        <w:ind w:firstLine="709"/>
        <w:jc w:val="both"/>
        <w:rPr>
          <w:rFonts w:ascii="Arial" w:hAnsi="Arial" w:cs="Arial"/>
          <w:lang w:eastAsia="ja-JP"/>
        </w:rPr>
      </w:pPr>
    </w:p>
    <w:p w14:paraId="105880E8" w14:textId="77777777" w:rsidR="00E8617E" w:rsidRPr="00BC513A" w:rsidRDefault="00E8617E" w:rsidP="00E8617E">
      <w:pPr>
        <w:spacing w:after="120" w:line="300" w:lineRule="atLeast"/>
        <w:ind w:firstLine="709"/>
        <w:jc w:val="both"/>
        <w:rPr>
          <w:rFonts w:ascii="Arial" w:hAnsi="Arial" w:cs="Arial"/>
          <w:lang w:eastAsia="ja-JP"/>
        </w:rPr>
      </w:pPr>
      <w:r w:rsidRPr="00BC513A">
        <w:rPr>
          <w:rFonts w:ascii="Arial" w:hAnsi="Arial" w:cs="Arial"/>
        </w:rPr>
        <w:t xml:space="preserve">След 2013 г. няма нови приеми по мерки 112, 141 и 142, а единствено проектни предложения се подават по агроекологичната мярка. Работата на НССЗ през последните две години от прилагане на </w:t>
      </w:r>
      <w:r w:rsidR="000F57E9">
        <w:rPr>
          <w:rFonts w:ascii="Arial" w:hAnsi="Arial" w:cs="Arial"/>
        </w:rPr>
        <w:t>п</w:t>
      </w:r>
      <w:r w:rsidRPr="00BC513A">
        <w:rPr>
          <w:rFonts w:ascii="Arial" w:hAnsi="Arial" w:cs="Arial"/>
        </w:rPr>
        <w:t xml:space="preserve">рограмата са насочени основно към </w:t>
      </w:r>
      <w:r w:rsidRPr="00BC513A">
        <w:rPr>
          <w:rFonts w:ascii="Arial" w:hAnsi="Arial" w:cs="Arial"/>
          <w:lang w:eastAsia="ja-JP"/>
        </w:rPr>
        <w:t>предоставяне на консултации за оценка на стопанството и установяване на подобрения във връзка със законоустановените изисквания за управление и поддържане на земята в добро земеделско и екологично състояние и специфични консултации в областта на растениевъдството и/или животновъдството. Тези консултантски услуги могат да се предоставят максимум два пъти за едно полупазарно стопанство по време на петгодишния период на подпомагане по мярка 141.</w:t>
      </w:r>
    </w:p>
    <w:p w14:paraId="2E560E89" w14:textId="7A1C7D5D" w:rsidR="00E8617E" w:rsidRPr="00BC513A" w:rsidRDefault="00E8617E" w:rsidP="00E8617E">
      <w:pPr>
        <w:spacing w:after="120" w:line="300" w:lineRule="atLeast"/>
        <w:ind w:firstLine="709"/>
        <w:jc w:val="both"/>
        <w:rPr>
          <w:rFonts w:ascii="Arial" w:hAnsi="Arial" w:cs="Arial"/>
          <w:lang w:eastAsia="ja-JP"/>
        </w:rPr>
      </w:pPr>
      <w:r w:rsidRPr="00BC513A">
        <w:rPr>
          <w:rFonts w:ascii="Arial" w:hAnsi="Arial" w:cs="Arial"/>
          <w:lang w:eastAsia="ja-JP"/>
        </w:rPr>
        <w:t xml:space="preserve">Бюджетът по мярката е усвоен в пълна степен, докато индикаторната цел за подкрепени кандидати е изпълнена на 86%. Вероятната причина за това е трудността да се планира предварително с голяма прецизност точната обезпеченост за изпълнение на дейностите. След липсата на нови приеми след 2013 г. по основните мерки на </w:t>
      </w:r>
      <w:r w:rsidR="000F57E9">
        <w:rPr>
          <w:rFonts w:ascii="Arial" w:hAnsi="Arial" w:cs="Arial"/>
          <w:lang w:eastAsia="ja-JP"/>
        </w:rPr>
        <w:t>п</w:t>
      </w:r>
      <w:r w:rsidRPr="00BC513A">
        <w:rPr>
          <w:rFonts w:ascii="Arial" w:hAnsi="Arial" w:cs="Arial"/>
          <w:lang w:eastAsia="ja-JP"/>
        </w:rPr>
        <w:t xml:space="preserve">рограмата усилията на НССЗ по мярката са насочени към допълнителните консултантски услуги по мярка 141. Общо за периода 2012-2015 година са предоставени 10 950 броя различни видове съветнически услуги към одобрените бенефициенти по мярка 141. </w:t>
      </w:r>
    </w:p>
    <w:p w14:paraId="367877D6" w14:textId="77777777" w:rsidR="00E8617E" w:rsidRPr="00BC513A" w:rsidRDefault="00E8617E" w:rsidP="00E8617E">
      <w:pPr>
        <w:spacing w:after="120" w:line="300" w:lineRule="atLeast"/>
        <w:ind w:firstLine="709"/>
        <w:jc w:val="both"/>
        <w:rPr>
          <w:rFonts w:ascii="Arial" w:hAnsi="Arial" w:cs="Arial"/>
        </w:rPr>
      </w:pPr>
      <w:r w:rsidRPr="00BC513A">
        <w:rPr>
          <w:rFonts w:ascii="Arial" w:hAnsi="Arial" w:cs="Arial"/>
          <w:lang w:eastAsia="ja-JP"/>
        </w:rPr>
        <w:t>От гледна точка на очакванията и на търсените ефекти, постигането на първичните цели по мярката относно разработване и по-голям брой подпомогнати проекти на фермерите за кандидатстване е по-важно</w:t>
      </w:r>
      <w:r w:rsidR="00B84654">
        <w:rPr>
          <w:rFonts w:ascii="Arial" w:hAnsi="Arial" w:cs="Arial"/>
          <w:lang w:eastAsia="ja-JP"/>
        </w:rPr>
        <w:t>,</w:t>
      </w:r>
      <w:r w:rsidRPr="00BC513A">
        <w:rPr>
          <w:rFonts w:ascii="Arial" w:hAnsi="Arial" w:cs="Arial"/>
          <w:lang w:eastAsia="ja-JP"/>
        </w:rPr>
        <w:t xml:space="preserve"> отколкото извършването на допълнителни услуги. Това особено важи за мярка 141, където по време на прилагане на </w:t>
      </w:r>
      <w:r w:rsidR="000F57E9">
        <w:rPr>
          <w:rFonts w:ascii="Arial" w:hAnsi="Arial" w:cs="Arial"/>
          <w:lang w:eastAsia="ja-JP"/>
        </w:rPr>
        <w:t>п</w:t>
      </w:r>
      <w:r w:rsidRPr="00BC513A">
        <w:rPr>
          <w:rFonts w:ascii="Arial" w:hAnsi="Arial" w:cs="Arial"/>
          <w:lang w:eastAsia="ja-JP"/>
        </w:rPr>
        <w:t>рограмата се срещат сериозни трудности. Преобладаващата част от проектите по същата мярка или около 71% са изготвени в периода 2011-2012 г. Това показва част от проблемите по изпълнение на мярката за полупазарни стопанства</w:t>
      </w:r>
      <w:bookmarkStart w:id="130" w:name="_Toc391899926"/>
      <w:r w:rsidRPr="00BC513A">
        <w:rPr>
          <w:rFonts w:ascii="Arial" w:hAnsi="Arial" w:cs="Arial"/>
          <w:lang w:eastAsia="ja-JP"/>
        </w:rPr>
        <w:t xml:space="preserve"> и необходимостта от интервенция, тогава когато моделът на свободно кандидатстване не върви, да се търси допълнително насърчаване.</w:t>
      </w:r>
    </w:p>
    <w:p w14:paraId="469A0CF5" w14:textId="725C6FF8" w:rsidR="00E8617E" w:rsidRPr="00BC513A" w:rsidRDefault="00E8617E" w:rsidP="00E8617E">
      <w:pPr>
        <w:keepNext/>
        <w:spacing w:before="240" w:after="0" w:line="300" w:lineRule="atLeast"/>
        <w:jc w:val="both"/>
        <w:rPr>
          <w:rFonts w:ascii="Arial" w:hAnsi="Arial" w:cs="Arial"/>
          <w:b/>
          <w:color w:val="0070C0"/>
          <w:sz w:val="20"/>
          <w:szCs w:val="20"/>
        </w:rPr>
      </w:pPr>
      <w:bookmarkStart w:id="131" w:name="_Toc391899927"/>
      <w:bookmarkStart w:id="132" w:name="_Toc504136216"/>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44</w:t>
      </w:r>
      <w:r w:rsidRPr="00BC513A">
        <w:rPr>
          <w:rFonts w:ascii="Arial" w:hAnsi="Arial" w:cs="Arial"/>
          <w:b/>
          <w:color w:val="0070C0"/>
          <w:sz w:val="20"/>
          <w:szCs w:val="20"/>
        </w:rPr>
        <w:fldChar w:fldCharType="end"/>
      </w:r>
      <w:r w:rsidR="00047E2D">
        <w:rPr>
          <w:rFonts w:ascii="Arial" w:hAnsi="Arial" w:cs="Arial"/>
          <w:b/>
          <w:color w:val="0070C0"/>
          <w:sz w:val="20"/>
          <w:szCs w:val="20"/>
        </w:rPr>
        <w:t>.</w:t>
      </w:r>
      <w:r w:rsidRPr="00BC513A">
        <w:rPr>
          <w:rFonts w:ascii="Arial" w:hAnsi="Arial" w:cs="Arial"/>
          <w:b/>
          <w:color w:val="0070C0"/>
          <w:sz w:val="20"/>
          <w:szCs w:val="20"/>
        </w:rPr>
        <w:t xml:space="preserve"> Предоставени допълнителни консултации на фермери по Мярка 141</w:t>
      </w:r>
      <w:bookmarkEnd w:id="131"/>
      <w:bookmarkEnd w:id="132"/>
    </w:p>
    <w:tbl>
      <w:tblPr>
        <w:tblW w:w="5000" w:type="pct"/>
        <w:jc w:val="center"/>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CellMar>
          <w:left w:w="70" w:type="dxa"/>
          <w:right w:w="70" w:type="dxa"/>
        </w:tblCellMar>
        <w:tblLook w:val="04A0" w:firstRow="1" w:lastRow="0" w:firstColumn="1" w:lastColumn="0" w:noHBand="0" w:noVBand="1"/>
      </w:tblPr>
      <w:tblGrid>
        <w:gridCol w:w="4485"/>
        <w:gridCol w:w="884"/>
        <w:gridCol w:w="984"/>
        <w:gridCol w:w="866"/>
        <w:gridCol w:w="960"/>
        <w:gridCol w:w="1032"/>
      </w:tblGrid>
      <w:tr w:rsidR="00E8617E" w:rsidRPr="00BC513A" w14:paraId="1DA4EF56" w14:textId="77777777" w:rsidTr="00535876">
        <w:trPr>
          <w:trHeight w:val="630"/>
          <w:tblHeader/>
          <w:jc w:val="center"/>
        </w:trPr>
        <w:tc>
          <w:tcPr>
            <w:tcW w:w="2435" w:type="pct"/>
            <w:shd w:val="clear" w:color="auto" w:fill="1F4E79" w:themeFill="accent1" w:themeFillShade="80"/>
            <w:vAlign w:val="center"/>
            <w:hideMark/>
          </w:tcPr>
          <w:p w14:paraId="1EEFE008"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Допълнителни съветнически услуги</w:t>
            </w:r>
          </w:p>
        </w:tc>
        <w:tc>
          <w:tcPr>
            <w:tcW w:w="480" w:type="pct"/>
            <w:shd w:val="clear" w:color="auto" w:fill="1F4E79" w:themeFill="accent1" w:themeFillShade="80"/>
            <w:vAlign w:val="center"/>
            <w:hideMark/>
          </w:tcPr>
          <w:p w14:paraId="73726241"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2012 г.</w:t>
            </w:r>
          </w:p>
        </w:tc>
        <w:tc>
          <w:tcPr>
            <w:tcW w:w="534" w:type="pct"/>
            <w:shd w:val="clear" w:color="auto" w:fill="1F4E79" w:themeFill="accent1" w:themeFillShade="80"/>
            <w:vAlign w:val="center"/>
            <w:hideMark/>
          </w:tcPr>
          <w:p w14:paraId="06303F2B"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2013 г.</w:t>
            </w:r>
          </w:p>
        </w:tc>
        <w:tc>
          <w:tcPr>
            <w:tcW w:w="470" w:type="pct"/>
            <w:shd w:val="clear" w:color="auto" w:fill="1F4E79" w:themeFill="accent1" w:themeFillShade="80"/>
            <w:vAlign w:val="center"/>
            <w:hideMark/>
          </w:tcPr>
          <w:p w14:paraId="03F4094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2014 г.</w:t>
            </w:r>
          </w:p>
        </w:tc>
        <w:tc>
          <w:tcPr>
            <w:tcW w:w="521" w:type="pct"/>
            <w:shd w:val="clear" w:color="auto" w:fill="1F4E79" w:themeFill="accent1" w:themeFillShade="80"/>
            <w:vAlign w:val="center"/>
            <w:hideMark/>
          </w:tcPr>
          <w:p w14:paraId="441576A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2015 г.</w:t>
            </w:r>
          </w:p>
        </w:tc>
        <w:tc>
          <w:tcPr>
            <w:tcW w:w="560" w:type="pct"/>
            <w:shd w:val="clear" w:color="auto" w:fill="1F4E79" w:themeFill="accent1" w:themeFillShade="80"/>
            <w:vAlign w:val="center"/>
            <w:hideMark/>
          </w:tcPr>
          <w:p w14:paraId="0676FBC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Общо</w:t>
            </w:r>
          </w:p>
        </w:tc>
      </w:tr>
      <w:tr w:rsidR="00E8617E" w:rsidRPr="00BC513A" w14:paraId="4077E830" w14:textId="77777777" w:rsidTr="00922731">
        <w:trPr>
          <w:trHeight w:val="547"/>
          <w:jc w:val="center"/>
        </w:trPr>
        <w:tc>
          <w:tcPr>
            <w:tcW w:w="2435" w:type="pct"/>
            <w:shd w:val="clear" w:color="auto" w:fill="auto"/>
            <w:vAlign w:val="center"/>
            <w:hideMark/>
          </w:tcPr>
          <w:p w14:paraId="5B7E700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Оценка на стопанството и подобрения във връзка със законоустановените изисквания</w:t>
            </w:r>
          </w:p>
        </w:tc>
        <w:tc>
          <w:tcPr>
            <w:tcW w:w="480" w:type="pct"/>
            <w:shd w:val="clear" w:color="auto" w:fill="auto"/>
            <w:vAlign w:val="center"/>
            <w:hideMark/>
          </w:tcPr>
          <w:p w14:paraId="1C9BFEA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62</w:t>
            </w:r>
          </w:p>
        </w:tc>
        <w:tc>
          <w:tcPr>
            <w:tcW w:w="534" w:type="pct"/>
            <w:shd w:val="clear" w:color="auto" w:fill="auto"/>
            <w:vAlign w:val="center"/>
            <w:hideMark/>
          </w:tcPr>
          <w:p w14:paraId="2785252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2 131</w:t>
            </w:r>
          </w:p>
        </w:tc>
        <w:tc>
          <w:tcPr>
            <w:tcW w:w="470" w:type="pct"/>
            <w:shd w:val="clear" w:color="auto" w:fill="auto"/>
            <w:vAlign w:val="center"/>
            <w:hideMark/>
          </w:tcPr>
          <w:p w14:paraId="39EF5D3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2 173</w:t>
            </w:r>
          </w:p>
        </w:tc>
        <w:tc>
          <w:tcPr>
            <w:tcW w:w="521" w:type="pct"/>
            <w:shd w:val="clear" w:color="auto" w:fill="auto"/>
            <w:vAlign w:val="center"/>
            <w:hideMark/>
          </w:tcPr>
          <w:p w14:paraId="2ED850E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1 024</w:t>
            </w:r>
          </w:p>
        </w:tc>
        <w:tc>
          <w:tcPr>
            <w:tcW w:w="560" w:type="pct"/>
            <w:shd w:val="clear" w:color="auto" w:fill="DEEAF6" w:themeFill="accent1" w:themeFillTint="33"/>
            <w:vAlign w:val="center"/>
            <w:hideMark/>
          </w:tcPr>
          <w:p w14:paraId="3BA4E87D"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5 390</w:t>
            </w:r>
          </w:p>
        </w:tc>
      </w:tr>
      <w:tr w:rsidR="00E8617E" w:rsidRPr="00BC513A" w14:paraId="3E431C52" w14:textId="77777777" w:rsidTr="00922731">
        <w:trPr>
          <w:trHeight w:val="968"/>
          <w:jc w:val="center"/>
        </w:trPr>
        <w:tc>
          <w:tcPr>
            <w:tcW w:w="2435" w:type="pct"/>
            <w:shd w:val="clear" w:color="auto" w:fill="auto"/>
            <w:vAlign w:val="center"/>
            <w:hideMark/>
          </w:tcPr>
          <w:p w14:paraId="53135F0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Управление на земеделското стопанство и специфични съвети в областта на растениевъдството и/или животновъдството</w:t>
            </w:r>
          </w:p>
        </w:tc>
        <w:tc>
          <w:tcPr>
            <w:tcW w:w="480" w:type="pct"/>
            <w:shd w:val="clear" w:color="auto" w:fill="auto"/>
            <w:vAlign w:val="center"/>
            <w:hideMark/>
          </w:tcPr>
          <w:p w14:paraId="2931E82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41</w:t>
            </w:r>
          </w:p>
        </w:tc>
        <w:tc>
          <w:tcPr>
            <w:tcW w:w="534" w:type="pct"/>
            <w:shd w:val="clear" w:color="auto" w:fill="auto"/>
            <w:vAlign w:val="center"/>
            <w:hideMark/>
          </w:tcPr>
          <w:p w14:paraId="7AA44B7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2 096</w:t>
            </w:r>
          </w:p>
        </w:tc>
        <w:tc>
          <w:tcPr>
            <w:tcW w:w="470" w:type="pct"/>
            <w:shd w:val="clear" w:color="auto" w:fill="auto"/>
            <w:vAlign w:val="center"/>
            <w:hideMark/>
          </w:tcPr>
          <w:p w14:paraId="0BEF83D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2 255</w:t>
            </w:r>
          </w:p>
        </w:tc>
        <w:tc>
          <w:tcPr>
            <w:tcW w:w="521" w:type="pct"/>
            <w:shd w:val="clear" w:color="auto" w:fill="auto"/>
            <w:vAlign w:val="center"/>
            <w:hideMark/>
          </w:tcPr>
          <w:p w14:paraId="7EA0F1AB"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1 168</w:t>
            </w:r>
          </w:p>
        </w:tc>
        <w:tc>
          <w:tcPr>
            <w:tcW w:w="560" w:type="pct"/>
            <w:shd w:val="clear" w:color="auto" w:fill="DEEAF6" w:themeFill="accent1" w:themeFillTint="33"/>
            <w:vAlign w:val="center"/>
            <w:hideMark/>
          </w:tcPr>
          <w:p w14:paraId="7F6419EA"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5 560</w:t>
            </w:r>
          </w:p>
        </w:tc>
      </w:tr>
      <w:tr w:rsidR="00E8617E" w:rsidRPr="00BC513A" w14:paraId="3988E058" w14:textId="77777777" w:rsidTr="00922731">
        <w:trPr>
          <w:trHeight w:val="315"/>
          <w:jc w:val="center"/>
        </w:trPr>
        <w:tc>
          <w:tcPr>
            <w:tcW w:w="2435" w:type="pct"/>
            <w:shd w:val="clear" w:color="auto" w:fill="DEEAF6" w:themeFill="accent1" w:themeFillTint="33"/>
            <w:vAlign w:val="center"/>
            <w:hideMark/>
          </w:tcPr>
          <w:p w14:paraId="2FA24870"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Общо</w:t>
            </w:r>
          </w:p>
        </w:tc>
        <w:tc>
          <w:tcPr>
            <w:tcW w:w="480" w:type="pct"/>
            <w:shd w:val="clear" w:color="auto" w:fill="DEEAF6" w:themeFill="accent1" w:themeFillTint="33"/>
            <w:vAlign w:val="center"/>
            <w:hideMark/>
          </w:tcPr>
          <w:p w14:paraId="7FC1B192"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103</w:t>
            </w:r>
          </w:p>
        </w:tc>
        <w:tc>
          <w:tcPr>
            <w:tcW w:w="534" w:type="pct"/>
            <w:shd w:val="clear" w:color="auto" w:fill="DEEAF6" w:themeFill="accent1" w:themeFillTint="33"/>
            <w:vAlign w:val="center"/>
            <w:hideMark/>
          </w:tcPr>
          <w:p w14:paraId="44C639C8"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4 227</w:t>
            </w:r>
          </w:p>
        </w:tc>
        <w:tc>
          <w:tcPr>
            <w:tcW w:w="470" w:type="pct"/>
            <w:shd w:val="clear" w:color="auto" w:fill="DEEAF6" w:themeFill="accent1" w:themeFillTint="33"/>
            <w:vAlign w:val="center"/>
            <w:hideMark/>
          </w:tcPr>
          <w:p w14:paraId="03A37E5C"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4 428</w:t>
            </w:r>
          </w:p>
        </w:tc>
        <w:tc>
          <w:tcPr>
            <w:tcW w:w="521" w:type="pct"/>
            <w:shd w:val="clear" w:color="auto" w:fill="DEEAF6" w:themeFill="accent1" w:themeFillTint="33"/>
            <w:vAlign w:val="center"/>
            <w:hideMark/>
          </w:tcPr>
          <w:p w14:paraId="32333496"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2 192</w:t>
            </w:r>
          </w:p>
        </w:tc>
        <w:tc>
          <w:tcPr>
            <w:tcW w:w="560" w:type="pct"/>
            <w:shd w:val="clear" w:color="auto" w:fill="DEEAF6" w:themeFill="accent1" w:themeFillTint="33"/>
            <w:vAlign w:val="center"/>
            <w:hideMark/>
          </w:tcPr>
          <w:p w14:paraId="71753BED"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10 950</w:t>
            </w:r>
          </w:p>
        </w:tc>
      </w:tr>
    </w:tbl>
    <w:p w14:paraId="53136383" w14:textId="46F9EB08" w:rsidR="00E8617E" w:rsidRPr="00F07F15" w:rsidRDefault="00E8617E" w:rsidP="00E8617E">
      <w:pPr>
        <w:rPr>
          <w:sz w:val="18"/>
          <w:szCs w:val="18"/>
        </w:rPr>
      </w:pPr>
      <w:r w:rsidRPr="00F07F15">
        <w:rPr>
          <w:rFonts w:ascii="Arial" w:hAnsi="Arial" w:cs="Arial"/>
          <w:sz w:val="18"/>
          <w:szCs w:val="18"/>
        </w:rPr>
        <w:t xml:space="preserve">Източник: Годишен </w:t>
      </w:r>
      <w:r w:rsidR="00B84654">
        <w:rPr>
          <w:rFonts w:ascii="Arial" w:hAnsi="Arial" w:cs="Arial"/>
          <w:sz w:val="18"/>
          <w:szCs w:val="18"/>
        </w:rPr>
        <w:t>д</w:t>
      </w:r>
      <w:r w:rsidRPr="00F07F15">
        <w:rPr>
          <w:rFonts w:ascii="Arial" w:hAnsi="Arial" w:cs="Arial"/>
          <w:sz w:val="18"/>
          <w:szCs w:val="18"/>
        </w:rPr>
        <w:t xml:space="preserve">оклад за </w:t>
      </w:r>
      <w:r w:rsidR="00B84654">
        <w:rPr>
          <w:rFonts w:ascii="Arial" w:hAnsi="Arial" w:cs="Arial"/>
          <w:sz w:val="18"/>
          <w:szCs w:val="18"/>
        </w:rPr>
        <w:t>и</w:t>
      </w:r>
      <w:r w:rsidRPr="00F07F15">
        <w:rPr>
          <w:rFonts w:ascii="Arial" w:hAnsi="Arial" w:cs="Arial"/>
          <w:sz w:val="18"/>
          <w:szCs w:val="18"/>
        </w:rPr>
        <w:t>зпълнение на ПРСР от юни, 2016 г.</w:t>
      </w:r>
    </w:p>
    <w:bookmarkEnd w:id="130"/>
    <w:p w14:paraId="29DD86BC"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Изчисляване на проектните разходи за съветнически услуги на консултираните бенефициенти по мярка 143 показва, че за всеки одобрен и изпълнен проект по мярката са изразходвани около 430 евро, а средно за консултираните, но по-различни причини одобрени или неодобрени бенефициенти е калкулирано на 360 евро за всяко заявление. В същото време по мярката има неизпълнение на целите по отношение на привлечени кандидати за участие по споменатите мерки. Делегирането на дейностите по мярката на НССЗ, като единствената организация, която може да изпълнява тази функция не е дало възможност да се потърси по-висока изпълняемост на мярката и евентуално да се постигне по-ниска цена на изпълнената услуга. Макар, посочените разходи за изготвяне на пълния комплект от съветнически услуги е сравнително разумен, би било също добре, да се даде възможност да се включат и други организации, които да участват при изпълнение на тези услуги и да получават определеното за това възнаграждение. Това би дало по-голям избор и възможност на земеделските производители, би насърчило конкуренцията и би повишило резултатите.</w:t>
      </w:r>
    </w:p>
    <w:p w14:paraId="3286B496" w14:textId="2D39DEC6" w:rsidR="00E8617E" w:rsidRPr="00BC513A" w:rsidRDefault="00E8617E" w:rsidP="00E8617E">
      <w:pPr>
        <w:pStyle w:val="DefaultText"/>
        <w:spacing w:before="120" w:line="300" w:lineRule="atLeast"/>
        <w:ind w:firstLine="709"/>
        <w:rPr>
          <w:b/>
          <w:sz w:val="22"/>
          <w:szCs w:val="22"/>
          <w:lang w:val="bg-BG"/>
        </w:rPr>
      </w:pPr>
      <w:r w:rsidRPr="00BC513A">
        <w:rPr>
          <w:sz w:val="22"/>
          <w:szCs w:val="22"/>
          <w:lang w:val="bg-BG"/>
        </w:rPr>
        <w:t>Общата оценка на изпълнение на мярката и на нейното въздействие е, че мярката прави осезаем принос в подкрепата на полупазарните стопанства и на тези ръководени от млади фермери и на кандидатстващите по мярката за агроекология да изготвят и изпълнят успешно своите проекти. Резултатите, постигнати по подкрепените по тези мерки земеделски производители, насочени към увеличаване на добавената стойност и повишаване на производителността на труда</w:t>
      </w:r>
      <w:r w:rsidR="005A51E8">
        <w:rPr>
          <w:sz w:val="22"/>
          <w:szCs w:val="22"/>
          <w:lang w:val="bg-BG"/>
        </w:rPr>
        <w:t>,</w:t>
      </w:r>
      <w:r w:rsidRPr="00BC513A">
        <w:rPr>
          <w:sz w:val="22"/>
          <w:szCs w:val="22"/>
          <w:lang w:val="bg-BG"/>
        </w:rPr>
        <w:t xml:space="preserve"> са много високи, преизпълняващи нееднократно поставените цели, което е и непряка заслуга на мярка 143. Именно, достъп</w:t>
      </w:r>
      <w:r w:rsidR="005A51E8">
        <w:rPr>
          <w:sz w:val="22"/>
          <w:szCs w:val="22"/>
          <w:lang w:val="bg-BG"/>
        </w:rPr>
        <w:t>ът</w:t>
      </w:r>
      <w:r w:rsidRPr="00BC513A">
        <w:rPr>
          <w:sz w:val="22"/>
          <w:szCs w:val="22"/>
          <w:lang w:val="bg-BG"/>
        </w:rPr>
        <w:t xml:space="preserve"> до безплатни, комплексни консултантски услуги към този тип земеделски производители е правилният подход за преодоляване на слабата пазарна ориентация на болшинството ферми в страната и за създаване на здраво ядро от средни, пазарно насочени стопанства.</w:t>
      </w:r>
    </w:p>
    <w:p w14:paraId="74CAB39C" w14:textId="77777777" w:rsidR="00E8617E" w:rsidRPr="00BC513A" w:rsidRDefault="00E8617E" w:rsidP="00E8617E">
      <w:pPr>
        <w:pStyle w:val="DefaultText"/>
        <w:spacing w:after="120" w:line="300" w:lineRule="atLeast"/>
        <w:ind w:firstLine="708"/>
        <w:rPr>
          <w:sz w:val="22"/>
          <w:szCs w:val="22"/>
          <w:lang w:val="bg-BG"/>
        </w:rPr>
      </w:pPr>
    </w:p>
    <w:p w14:paraId="1F594EB3" w14:textId="77777777" w:rsidR="00E8617E" w:rsidRPr="00BC513A" w:rsidRDefault="00E8617E" w:rsidP="00E8617E">
      <w:pPr>
        <w:numPr>
          <w:ilvl w:val="0"/>
          <w:numId w:val="18"/>
        </w:numPr>
        <w:jc w:val="both"/>
        <w:rPr>
          <w:rFonts w:ascii="Arial" w:hAnsi="Arial" w:cs="Arial"/>
          <w:color w:val="0070C0"/>
        </w:rPr>
      </w:pPr>
      <w:r w:rsidRPr="00BC513A">
        <w:rPr>
          <w:rFonts w:ascii="Arial" w:hAnsi="Arial" w:cs="Arial"/>
          <w:color w:val="0070C0"/>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 (например екологични ползи от инвестициите в съхранение на оборски тор);</w:t>
      </w:r>
    </w:p>
    <w:p w14:paraId="402CF993"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111. Професионално обучение, информационни дейности и разпространение на научни знания"</w:t>
      </w:r>
    </w:p>
    <w:p w14:paraId="186F605C" w14:textId="690D0EC1"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Въздействието по мярката не трябва да се търси само по икономически показатели, където вероятно нейният ефект не е най-голям и не е най-търсен. Трябва да се отбележи, че 43% от обхванатите участници в обученията и информационни кампании са в областта на устойчивото управление на природните ресурси. През периода на приложение на </w:t>
      </w:r>
      <w:r w:rsidR="000F57E9">
        <w:rPr>
          <w:sz w:val="22"/>
          <w:szCs w:val="22"/>
          <w:lang w:val="bg-BG"/>
        </w:rPr>
        <w:t>п</w:t>
      </w:r>
      <w:r w:rsidRPr="00BC513A">
        <w:rPr>
          <w:sz w:val="22"/>
          <w:szCs w:val="22"/>
          <w:lang w:val="bg-BG"/>
        </w:rPr>
        <w:t>рограмата е постигнат осезаем напредък по отношение активиране на земеделски дейности</w:t>
      </w:r>
      <w:r w:rsidR="005A51E8">
        <w:rPr>
          <w:sz w:val="22"/>
          <w:szCs w:val="22"/>
          <w:lang w:val="bg-BG"/>
        </w:rPr>
        <w:t>,</w:t>
      </w:r>
      <w:r w:rsidRPr="00BC513A">
        <w:rPr>
          <w:sz w:val="22"/>
          <w:szCs w:val="22"/>
          <w:lang w:val="bg-BG"/>
        </w:rPr>
        <w:t xml:space="preserve"> създаващи публични блага в различните защитени зони – НАТУРА 2000, </w:t>
      </w:r>
      <w:r w:rsidR="005A51E8">
        <w:rPr>
          <w:sz w:val="22"/>
          <w:szCs w:val="22"/>
          <w:lang w:val="bg-BG"/>
        </w:rPr>
        <w:t>в</w:t>
      </w:r>
      <w:r w:rsidRPr="00BC513A">
        <w:rPr>
          <w:sz w:val="22"/>
          <w:szCs w:val="22"/>
          <w:lang w:val="bg-BG"/>
        </w:rPr>
        <w:t xml:space="preserve">исока природна стойност (ВПС), биологично земеделие и др. Между 20-23% от </w:t>
      </w:r>
      <w:r w:rsidR="005A51E8">
        <w:rPr>
          <w:sz w:val="22"/>
          <w:szCs w:val="22"/>
          <w:lang w:val="bg-BG"/>
        </w:rPr>
        <w:t>и</w:t>
      </w:r>
      <w:r w:rsidRPr="00BC513A">
        <w:rPr>
          <w:sz w:val="22"/>
          <w:szCs w:val="22"/>
          <w:lang w:val="bg-BG"/>
        </w:rPr>
        <w:t>зползва</w:t>
      </w:r>
      <w:r w:rsidR="005A51E8">
        <w:rPr>
          <w:sz w:val="22"/>
          <w:szCs w:val="22"/>
          <w:lang w:val="bg-BG"/>
        </w:rPr>
        <w:t>н</w:t>
      </w:r>
      <w:r w:rsidRPr="00BC513A">
        <w:rPr>
          <w:sz w:val="22"/>
          <w:szCs w:val="22"/>
          <w:lang w:val="bg-BG"/>
        </w:rPr>
        <w:t>ата земеделска площ в периода 2007-2013 г. е включена в дейностите по мерки 213 и 214, като болшинството от бенефициентите по тези мерки са участвали в обученията, което е важна заслуга на мярката.</w:t>
      </w:r>
    </w:p>
    <w:p w14:paraId="03D068BE"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112. Създаване на стопанства на млади фермери</w:t>
      </w:r>
    </w:p>
    <w:p w14:paraId="6D4EE0CA" w14:textId="44EC14F2"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Мярката допринася значително за задържане и привличане на млади хора в земеделието, които съставляват 13% от всички управители на </w:t>
      </w:r>
      <w:r w:rsidR="005A51E8">
        <w:rPr>
          <w:sz w:val="22"/>
          <w:szCs w:val="22"/>
          <w:lang w:val="bg-BG"/>
        </w:rPr>
        <w:t>стопанства</w:t>
      </w:r>
      <w:r w:rsidR="005A51E8" w:rsidRPr="00BC513A">
        <w:rPr>
          <w:sz w:val="22"/>
          <w:szCs w:val="22"/>
          <w:lang w:val="bg-BG"/>
        </w:rPr>
        <w:t xml:space="preserve"> </w:t>
      </w:r>
      <w:r w:rsidRPr="00BC513A">
        <w:rPr>
          <w:sz w:val="22"/>
          <w:szCs w:val="22"/>
          <w:lang w:val="bg-BG"/>
        </w:rPr>
        <w:t>през 2013 г. В периода 2006/2007 г</w:t>
      </w:r>
      <w:r w:rsidR="005A51E8">
        <w:rPr>
          <w:sz w:val="22"/>
          <w:szCs w:val="22"/>
          <w:lang w:val="bg-BG"/>
        </w:rPr>
        <w:t>.</w:t>
      </w:r>
      <w:r w:rsidRPr="00BC513A">
        <w:rPr>
          <w:sz w:val="22"/>
          <w:szCs w:val="22"/>
          <w:lang w:val="bg-BG"/>
        </w:rPr>
        <w:t xml:space="preserve">, младите фермери като процент са били само 7% от всички управители на ферми. </w:t>
      </w:r>
    </w:p>
    <w:p w14:paraId="0612A630"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114. Използване на консултантски услуги от фермери и собственици на гори</w:t>
      </w:r>
    </w:p>
    <w:p w14:paraId="147E3C35"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Въздействието на мярката е видно в косвено повишаване на добавената стойност чрез по-добро управление и придобиване на ново знание в областта на животновъдството и растениевъдството, наред с подобряване опазването на околната среда, изпълнение на стандартите за качество и безопасност на производството на храни и спазване изискванията за кръстосано съответствие.</w:t>
      </w:r>
    </w:p>
    <w:p w14:paraId="49D87CA5"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121. Модернизиране на земеделските стопанства</w:t>
      </w:r>
    </w:p>
    <w:p w14:paraId="1132930C" w14:textId="7258517C"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 xml:space="preserve">Мярката има съществен принос </w:t>
      </w:r>
      <w:r w:rsidR="005A51E8">
        <w:rPr>
          <w:sz w:val="22"/>
          <w:szCs w:val="22"/>
          <w:lang w:val="bg-BG"/>
        </w:rPr>
        <w:t>з</w:t>
      </w:r>
      <w:r w:rsidRPr="00BC513A">
        <w:rPr>
          <w:sz w:val="22"/>
          <w:szCs w:val="22"/>
          <w:lang w:val="bg-BG"/>
        </w:rPr>
        <w:t>а увеличаване на добавената стойност в подпомогнатите земеделски стопанства за увеличаване на конкурентоспособността им. В същото време, тя води до засилване на диспропорциите в земеделието. По оценки на данните през 2006 г. подкрепените по мярката 4 560 стопанства са създавали 69% от добавената стойност. През 2015 година тези стопанства са създавали 82%. Тези стопанства към 2013 г. са съставлявали около 2% от всички стопанства в България.</w:t>
      </w:r>
    </w:p>
    <w:p w14:paraId="5C3FE350" w14:textId="77777777" w:rsidR="00E8617E" w:rsidRPr="00BC513A" w:rsidRDefault="00E8617E" w:rsidP="00E8617E">
      <w:pPr>
        <w:pStyle w:val="DefaultText"/>
        <w:rPr>
          <w:b/>
          <w:szCs w:val="22"/>
          <w:lang w:val="bg-BG"/>
        </w:rPr>
      </w:pPr>
    </w:p>
    <w:p w14:paraId="1A00577F" w14:textId="00D6E218" w:rsidR="00E8617E" w:rsidRPr="00F07F15" w:rsidRDefault="00535876" w:rsidP="00E8617E">
      <w:pPr>
        <w:pStyle w:val="DefaultText"/>
        <w:rPr>
          <w:rFonts w:cs="Arial"/>
          <w:i/>
          <w:szCs w:val="18"/>
          <w:lang w:val="bg-BG"/>
        </w:rPr>
      </w:pPr>
      <w:r w:rsidRPr="00F07F15">
        <w:rPr>
          <w:szCs w:val="18"/>
          <w:lang w:val="bg-BG"/>
        </w:rPr>
        <w:object w:dxaOrig="9482" w:dyaOrig="4772" w14:anchorId="3B16C680">
          <v:shape id="_x0000_i1033" type="#_x0000_t75" style="width:453.4pt;height:201.7pt" o:ole="">
            <v:imagedata r:id="rId51" o:title=""/>
          </v:shape>
          <o:OLEObject Type="Embed" ProgID="Excel.Sheet.12" ShapeID="_x0000_i1033" DrawAspect="Content" ObjectID="_1585652224" r:id="rId52"/>
        </w:object>
      </w:r>
      <w:r w:rsidR="00E8617E" w:rsidRPr="00F07F15">
        <w:rPr>
          <w:rFonts w:cs="Arial"/>
          <w:szCs w:val="18"/>
          <w:lang w:val="bg-BG"/>
        </w:rPr>
        <w:t>Източник: МЗХГ, НСИ и собствени изчисления</w:t>
      </w:r>
    </w:p>
    <w:p w14:paraId="1A29580A" w14:textId="77777777" w:rsidR="00E8617E" w:rsidRPr="00BC513A" w:rsidRDefault="00E8617E" w:rsidP="00535876">
      <w:pPr>
        <w:pStyle w:val="Caption"/>
        <w:spacing w:before="240" w:after="60"/>
        <w:jc w:val="center"/>
        <w:rPr>
          <w:rFonts w:ascii="Arial" w:hAnsi="Arial" w:cs="Arial"/>
          <w:b/>
          <w:i w:val="0"/>
          <w:color w:val="0070C0"/>
          <w:sz w:val="20"/>
          <w:szCs w:val="20"/>
        </w:rPr>
      </w:pPr>
      <w:bookmarkStart w:id="133" w:name="_Toc506984720"/>
      <w:r w:rsidRPr="00BC513A">
        <w:rPr>
          <w:rFonts w:ascii="Arial" w:hAnsi="Arial" w:cs="Arial"/>
          <w:b/>
          <w:i w:val="0"/>
          <w:color w:val="0070C0"/>
          <w:sz w:val="20"/>
          <w:szCs w:val="20"/>
        </w:rPr>
        <w:t xml:space="preserve">Фигура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Фигура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14</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Брутна добавена стойност общо в отрасъла и по мярка 121</w:t>
      </w:r>
      <w:bookmarkEnd w:id="133"/>
    </w:p>
    <w:p w14:paraId="3F233440" w14:textId="77468B4D" w:rsidR="00E8617E" w:rsidRPr="00BC513A" w:rsidRDefault="00E8617E" w:rsidP="00E8617E">
      <w:pPr>
        <w:spacing w:before="120" w:after="0" w:line="300" w:lineRule="atLeast"/>
        <w:ind w:firstLine="709"/>
        <w:jc w:val="both"/>
        <w:rPr>
          <w:rFonts w:ascii="Arial" w:hAnsi="Arial" w:cs="Arial"/>
        </w:rPr>
      </w:pPr>
      <w:r w:rsidRPr="00BC513A">
        <w:rPr>
          <w:rFonts w:ascii="Arial" w:hAnsi="Arial" w:cs="Arial"/>
        </w:rPr>
        <w:t xml:space="preserve">По мярката са определени приоритетни области, които са задължение на страната за допринасяне към общите цели на Европейската общност в земеделието и които са разписани като гарантирани бюджети и присъстват в допълнителните (специфични) индикатори. Гарантираните бюджети (ГБ) по мярката са 4 и са свързани с насочване на постигане на определено равнище на инвестициите в: ГБ1 </w:t>
      </w:r>
      <w:r w:rsidR="005A51E8">
        <w:rPr>
          <w:rFonts w:ascii="Arial" w:hAnsi="Arial" w:cs="Arial"/>
        </w:rPr>
        <w:t>–</w:t>
      </w:r>
      <w:r w:rsidRPr="00BC513A">
        <w:rPr>
          <w:rFonts w:ascii="Arial" w:hAnsi="Arial" w:cs="Arial"/>
        </w:rPr>
        <w:t xml:space="preserve"> постигане целите на директива 91/676</w:t>
      </w:r>
      <w:r w:rsidR="005A51E8">
        <w:rPr>
          <w:rFonts w:ascii="Arial" w:hAnsi="Arial" w:cs="Arial"/>
        </w:rPr>
        <w:t>,</w:t>
      </w:r>
      <w:r w:rsidRPr="00BC513A">
        <w:rPr>
          <w:rFonts w:ascii="Arial" w:hAnsi="Arial" w:cs="Arial"/>
        </w:rPr>
        <w:t xml:space="preserve"> свързани с опазване на водите от замърсяване със селскостопански източник (15% от всички инвестициите по мярката); ГБ2 – преструктуриране на млечния сектор и отговаряне на европейските стандарти (15% от общите инвестиции); ГБ3 – постигане на стандартите на европейското законодателство в останалите животновъдни сектори (15% от общите инвестиции) и ГД4 – инвестиции в биологично земеделие (5% от направените инвестиции). Само при постигнатите инвестиции, свързани с биологичното производство</w:t>
      </w:r>
      <w:r w:rsidR="005A51E8">
        <w:rPr>
          <w:rFonts w:ascii="Arial" w:hAnsi="Arial" w:cs="Arial"/>
        </w:rPr>
        <w:t>,</w:t>
      </w:r>
      <w:r w:rsidRPr="00BC513A">
        <w:rPr>
          <w:rFonts w:ascii="Arial" w:hAnsi="Arial" w:cs="Arial"/>
        </w:rPr>
        <w:t xml:space="preserve"> подкрепени по мярката</w:t>
      </w:r>
      <w:r w:rsidR="005A51E8">
        <w:rPr>
          <w:rFonts w:ascii="Arial" w:hAnsi="Arial" w:cs="Arial"/>
        </w:rPr>
        <w:t>,</w:t>
      </w:r>
      <w:r w:rsidRPr="00BC513A">
        <w:rPr>
          <w:rFonts w:ascii="Arial" w:hAnsi="Arial" w:cs="Arial"/>
        </w:rPr>
        <w:t xml:space="preserve"> се отчита сравнително задоволително равнище, като 3% от всички инвестиции по мярката са свързани с такова производство.</w:t>
      </w:r>
    </w:p>
    <w:p w14:paraId="44985311" w14:textId="685B09FF"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Неизпълнение се наблюдава при постигане на приоритетите</w:t>
      </w:r>
      <w:r w:rsidR="005A51E8">
        <w:rPr>
          <w:sz w:val="22"/>
          <w:szCs w:val="22"/>
          <w:lang w:val="bg-BG"/>
        </w:rPr>
        <w:t>,</w:t>
      </w:r>
      <w:r w:rsidRPr="00BC513A">
        <w:rPr>
          <w:sz w:val="22"/>
          <w:szCs w:val="22"/>
          <w:lang w:val="bg-BG"/>
        </w:rPr>
        <w:t xml:space="preserve"> свързани с инвестиции</w:t>
      </w:r>
      <w:r w:rsidR="005A51E8">
        <w:rPr>
          <w:sz w:val="22"/>
          <w:szCs w:val="22"/>
          <w:lang w:val="bg-BG"/>
        </w:rPr>
        <w:t>,</w:t>
      </w:r>
      <w:r w:rsidRPr="00BC513A">
        <w:rPr>
          <w:sz w:val="22"/>
          <w:szCs w:val="22"/>
          <w:lang w:val="bg-BG"/>
        </w:rPr>
        <w:t xml:space="preserve"> подпомагащи изпълнение на Директива 91/676, касаеща опазване на водите от земеделско замърсяване и инвестициите в сектор „Мляко”, в подкрепа на стопанства за преструктуриране и достигане стандартите на Общността. От заложените гарантирани бюджети по 15% са постигнати съответно 0,1% при ГБ1 и 1,3% при ГБ2. Основната причина за това е липсата на достатъчен интерес на бенефициентите за кандидатстване по тези направления. Именно това е една от причините за създаване на Гаранционен </w:t>
      </w:r>
      <w:r w:rsidR="005A51E8">
        <w:rPr>
          <w:sz w:val="22"/>
          <w:szCs w:val="22"/>
          <w:lang w:val="bg-BG"/>
        </w:rPr>
        <w:t>ф</w:t>
      </w:r>
      <w:r w:rsidRPr="00BC513A">
        <w:rPr>
          <w:sz w:val="22"/>
          <w:szCs w:val="22"/>
          <w:lang w:val="bg-BG"/>
        </w:rPr>
        <w:t>онд, който след 2012 г. е трябвало да подпомогне земеделските производители от тези критични области, чрез получаване на по-добър достъп до банкови кредити. Въпреки, че има подадени и финансирани проекти, те не успяват да дадат необходимия резултат.</w:t>
      </w:r>
    </w:p>
    <w:p w14:paraId="22B78885" w14:textId="079B73C0"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 xml:space="preserve">Преобладаващата част от постигнатото по тези приоритети е направено през 2012 и 2013 г. и много малка част от инвестициите в тези приоритетни области са направени през 2014 и 2015 г., когато пък са сключени договори за 30% от средствата по мярката с не голям ефект върху приоритетните области. </w:t>
      </w:r>
    </w:p>
    <w:p w14:paraId="75FD2BE2" w14:textId="77777777" w:rsidR="00E8617E" w:rsidRPr="00BC513A" w:rsidRDefault="00E8617E" w:rsidP="00E8617E">
      <w:pPr>
        <w:pStyle w:val="DefaultText"/>
        <w:keepNext/>
        <w:spacing w:before="240"/>
        <w:rPr>
          <w:rFonts w:cs="Arial"/>
          <w:b/>
          <w:color w:val="0070C0"/>
          <w:sz w:val="20"/>
          <w:szCs w:val="20"/>
          <w:lang w:val="bg-BG"/>
        </w:rPr>
      </w:pPr>
      <w:bookmarkStart w:id="134" w:name="_Toc504136217"/>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45</w:t>
      </w:r>
      <w:r w:rsidRPr="00BC513A">
        <w:rPr>
          <w:rFonts w:cs="Arial"/>
          <w:b/>
          <w:color w:val="0070C0"/>
          <w:sz w:val="20"/>
          <w:szCs w:val="20"/>
          <w:lang w:val="bg-BG"/>
        </w:rPr>
        <w:fldChar w:fldCharType="end"/>
      </w:r>
      <w:r w:rsidRPr="00BC513A">
        <w:rPr>
          <w:rFonts w:cs="Arial"/>
          <w:b/>
          <w:color w:val="0070C0"/>
          <w:sz w:val="20"/>
          <w:szCs w:val="20"/>
          <w:lang w:val="bg-BG"/>
        </w:rPr>
        <w:t>. Постигане на целите по специфични за мярката индикатори</w:t>
      </w:r>
      <w:bookmarkEnd w:id="134"/>
    </w:p>
    <w:tbl>
      <w:tblPr>
        <w:tblW w:w="5000" w:type="pct"/>
        <w:tblLayout w:type="fixed"/>
        <w:tblCellMar>
          <w:left w:w="70" w:type="dxa"/>
          <w:right w:w="70" w:type="dxa"/>
        </w:tblCellMar>
        <w:tblLook w:val="04A0" w:firstRow="1" w:lastRow="0" w:firstColumn="1" w:lastColumn="0" w:noHBand="0" w:noVBand="1"/>
      </w:tblPr>
      <w:tblGrid>
        <w:gridCol w:w="4639"/>
        <w:gridCol w:w="818"/>
        <w:gridCol w:w="1216"/>
        <w:gridCol w:w="1523"/>
        <w:gridCol w:w="1015"/>
      </w:tblGrid>
      <w:tr w:rsidR="00E8617E" w:rsidRPr="00BC513A" w14:paraId="6C774AB7" w14:textId="77777777" w:rsidTr="00922731">
        <w:trPr>
          <w:trHeight w:val="765"/>
        </w:trPr>
        <w:tc>
          <w:tcPr>
            <w:tcW w:w="2518" w:type="pc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0C89679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444" w:type="pct"/>
            <w:tcBorders>
              <w:top w:val="single" w:sz="4" w:space="0" w:color="auto"/>
              <w:left w:val="nil"/>
              <w:bottom w:val="single" w:sz="4" w:space="0" w:color="auto"/>
              <w:right w:val="single" w:sz="4" w:space="0" w:color="auto"/>
            </w:tcBorders>
            <w:shd w:val="clear" w:color="auto" w:fill="1F4E79" w:themeFill="accent1" w:themeFillShade="80"/>
          </w:tcPr>
          <w:p w14:paraId="0E57509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Мерна единица</w:t>
            </w:r>
          </w:p>
        </w:tc>
        <w:tc>
          <w:tcPr>
            <w:tcW w:w="660" w:type="pc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46BB70B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ПРСР 2007-2013</w:t>
            </w:r>
          </w:p>
        </w:tc>
        <w:tc>
          <w:tcPr>
            <w:tcW w:w="827" w:type="pct"/>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1FDF2D3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 на база платени проекти</w:t>
            </w:r>
          </w:p>
        </w:tc>
        <w:tc>
          <w:tcPr>
            <w:tcW w:w="551" w:type="pct"/>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FD6549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изпълнение</w:t>
            </w:r>
          </w:p>
        </w:tc>
      </w:tr>
      <w:tr w:rsidR="00E8617E" w:rsidRPr="00BC513A" w14:paraId="144294A0" w14:textId="77777777" w:rsidTr="00922731">
        <w:trPr>
          <w:trHeight w:val="825"/>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7A3AFA" w14:textId="77777777" w:rsidR="00E8617E" w:rsidRPr="00BC513A" w:rsidRDefault="00E8617E" w:rsidP="00922731">
            <w:pPr>
              <w:spacing w:after="0" w:line="240" w:lineRule="auto"/>
              <w:jc w:val="both"/>
              <w:rPr>
                <w:rFonts w:ascii="Arial" w:eastAsia="Times New Roman" w:hAnsi="Arial" w:cs="Arial"/>
                <w:sz w:val="20"/>
                <w:szCs w:val="20"/>
                <w:lang w:eastAsia="bg-BG"/>
              </w:rPr>
            </w:pPr>
            <w:r w:rsidRPr="00BC513A">
              <w:rPr>
                <w:rFonts w:ascii="Arial" w:eastAsia="Times New Roman" w:hAnsi="Arial" w:cs="Arial"/>
                <w:sz w:val="20"/>
                <w:szCs w:val="20"/>
                <w:lang w:eastAsia="bg-BG"/>
              </w:rPr>
              <w:t xml:space="preserve">Брой на стопанствата подкрепени за прилагане на Директива (ЕС) 676/1991 свързана с опазване на водните ресурси от замърсяване с нитрати причинено от земеделски източници </w:t>
            </w:r>
          </w:p>
        </w:tc>
        <w:tc>
          <w:tcPr>
            <w:tcW w:w="444" w:type="pct"/>
            <w:tcBorders>
              <w:top w:val="single" w:sz="4" w:space="0" w:color="auto"/>
              <w:left w:val="nil"/>
              <w:bottom w:val="single" w:sz="4" w:space="0" w:color="auto"/>
              <w:right w:val="single" w:sz="4" w:space="0" w:color="auto"/>
            </w:tcBorders>
            <w:vAlign w:val="center"/>
          </w:tcPr>
          <w:p w14:paraId="67356342"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62DBE09"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2 000</w:t>
            </w:r>
          </w:p>
        </w:tc>
        <w:tc>
          <w:tcPr>
            <w:tcW w:w="827" w:type="pct"/>
            <w:tcBorders>
              <w:top w:val="nil"/>
              <w:left w:val="nil"/>
              <w:bottom w:val="single" w:sz="4" w:space="0" w:color="auto"/>
              <w:right w:val="single" w:sz="4" w:space="0" w:color="auto"/>
            </w:tcBorders>
            <w:shd w:val="clear" w:color="auto" w:fill="auto"/>
            <w:vAlign w:val="center"/>
            <w:hideMark/>
          </w:tcPr>
          <w:p w14:paraId="23E017B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11</w:t>
            </w:r>
          </w:p>
        </w:tc>
        <w:tc>
          <w:tcPr>
            <w:tcW w:w="551" w:type="pct"/>
            <w:tcBorders>
              <w:top w:val="nil"/>
              <w:left w:val="nil"/>
              <w:bottom w:val="single" w:sz="4" w:space="0" w:color="auto"/>
              <w:right w:val="single" w:sz="4" w:space="0" w:color="auto"/>
            </w:tcBorders>
            <w:shd w:val="clear" w:color="auto" w:fill="auto"/>
            <w:vAlign w:val="center"/>
            <w:hideMark/>
          </w:tcPr>
          <w:p w14:paraId="66F9B28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w:t>
            </w:r>
          </w:p>
        </w:tc>
      </w:tr>
      <w:tr w:rsidR="00E8617E" w:rsidRPr="00BC513A" w14:paraId="7B21F533" w14:textId="77777777" w:rsidTr="00922731">
        <w:trPr>
          <w:trHeight w:val="465"/>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94C7EB6" w14:textId="77777777" w:rsidR="00E8617E" w:rsidRPr="00BC513A" w:rsidRDefault="00E8617E" w:rsidP="00922731">
            <w:pPr>
              <w:spacing w:after="0" w:line="240" w:lineRule="auto"/>
              <w:jc w:val="both"/>
              <w:rPr>
                <w:rFonts w:ascii="Arial" w:eastAsia="Times New Roman" w:hAnsi="Arial" w:cs="Arial"/>
                <w:sz w:val="20"/>
                <w:szCs w:val="20"/>
                <w:lang w:eastAsia="bg-BG"/>
              </w:rPr>
            </w:pPr>
            <w:r w:rsidRPr="00BC513A">
              <w:rPr>
                <w:rFonts w:ascii="Arial" w:eastAsia="Times New Roman" w:hAnsi="Arial" w:cs="Arial"/>
                <w:sz w:val="20"/>
                <w:szCs w:val="20"/>
                <w:lang w:eastAsia="bg-BG"/>
              </w:rPr>
              <w:t>Брой подкрепени стопанства от животновъдния сектор.</w:t>
            </w:r>
          </w:p>
        </w:tc>
        <w:tc>
          <w:tcPr>
            <w:tcW w:w="444" w:type="pct"/>
            <w:tcBorders>
              <w:top w:val="single" w:sz="4" w:space="0" w:color="auto"/>
              <w:left w:val="nil"/>
              <w:bottom w:val="single" w:sz="4" w:space="0" w:color="auto"/>
              <w:right w:val="single" w:sz="4" w:space="0" w:color="auto"/>
            </w:tcBorders>
            <w:vAlign w:val="center"/>
          </w:tcPr>
          <w:p w14:paraId="66A5FBFC"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C0D3A8"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3 392</w:t>
            </w:r>
          </w:p>
        </w:tc>
        <w:tc>
          <w:tcPr>
            <w:tcW w:w="827" w:type="pct"/>
            <w:tcBorders>
              <w:top w:val="nil"/>
              <w:left w:val="nil"/>
              <w:bottom w:val="single" w:sz="4" w:space="0" w:color="auto"/>
              <w:right w:val="single" w:sz="4" w:space="0" w:color="auto"/>
            </w:tcBorders>
            <w:shd w:val="clear" w:color="auto" w:fill="auto"/>
            <w:vAlign w:val="center"/>
            <w:hideMark/>
          </w:tcPr>
          <w:p w14:paraId="6884971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1 178</w:t>
            </w:r>
          </w:p>
        </w:tc>
        <w:tc>
          <w:tcPr>
            <w:tcW w:w="551" w:type="pct"/>
            <w:tcBorders>
              <w:top w:val="nil"/>
              <w:left w:val="nil"/>
              <w:bottom w:val="single" w:sz="4" w:space="0" w:color="auto"/>
              <w:right w:val="single" w:sz="4" w:space="0" w:color="auto"/>
            </w:tcBorders>
            <w:shd w:val="clear" w:color="auto" w:fill="auto"/>
            <w:vAlign w:val="center"/>
            <w:hideMark/>
          </w:tcPr>
          <w:p w14:paraId="41A53D0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35%</w:t>
            </w:r>
          </w:p>
        </w:tc>
      </w:tr>
      <w:tr w:rsidR="00E8617E" w:rsidRPr="00BC513A" w14:paraId="21666322" w14:textId="77777777" w:rsidTr="00922731">
        <w:trPr>
          <w:trHeight w:val="1065"/>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C89B50" w14:textId="77777777" w:rsidR="00E8617E" w:rsidRPr="00BC513A" w:rsidRDefault="00E8617E" w:rsidP="00922731">
            <w:pPr>
              <w:spacing w:after="0" w:line="240" w:lineRule="auto"/>
              <w:jc w:val="both"/>
              <w:rPr>
                <w:rFonts w:ascii="Arial" w:eastAsia="Times New Roman" w:hAnsi="Arial" w:cs="Arial"/>
                <w:sz w:val="20"/>
                <w:szCs w:val="20"/>
                <w:lang w:eastAsia="bg-BG"/>
              </w:rPr>
            </w:pPr>
            <w:r w:rsidRPr="00BC513A">
              <w:rPr>
                <w:rFonts w:ascii="Arial" w:eastAsia="Times New Roman" w:hAnsi="Arial" w:cs="Arial"/>
                <w:sz w:val="20"/>
                <w:szCs w:val="20"/>
                <w:lang w:eastAsia="bg-BG"/>
              </w:rPr>
              <w:t>Дял на инвестициите директно свързани с прилагането на Директива (ЕС) 676/1991 относно опазване на водните ресурси от замърсяване с нитрати причинено от земеделски източници (%)</w:t>
            </w:r>
          </w:p>
        </w:tc>
        <w:tc>
          <w:tcPr>
            <w:tcW w:w="444" w:type="pct"/>
            <w:tcBorders>
              <w:top w:val="single" w:sz="4" w:space="0" w:color="auto"/>
              <w:left w:val="nil"/>
              <w:bottom w:val="single" w:sz="4" w:space="0" w:color="auto"/>
              <w:right w:val="single" w:sz="4" w:space="0" w:color="auto"/>
            </w:tcBorders>
            <w:vAlign w:val="center"/>
          </w:tcPr>
          <w:p w14:paraId="0AFB3A96"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3033CE5"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15</w:t>
            </w:r>
          </w:p>
        </w:tc>
        <w:tc>
          <w:tcPr>
            <w:tcW w:w="827" w:type="pct"/>
            <w:tcBorders>
              <w:top w:val="nil"/>
              <w:left w:val="nil"/>
              <w:bottom w:val="single" w:sz="4" w:space="0" w:color="auto"/>
              <w:right w:val="single" w:sz="4" w:space="0" w:color="auto"/>
            </w:tcBorders>
            <w:shd w:val="clear" w:color="auto" w:fill="auto"/>
            <w:vAlign w:val="center"/>
            <w:hideMark/>
          </w:tcPr>
          <w:p w14:paraId="0E44041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0,1%</w:t>
            </w:r>
          </w:p>
        </w:tc>
        <w:tc>
          <w:tcPr>
            <w:tcW w:w="551" w:type="pct"/>
            <w:tcBorders>
              <w:top w:val="nil"/>
              <w:left w:val="nil"/>
              <w:bottom w:val="single" w:sz="4" w:space="0" w:color="auto"/>
              <w:right w:val="single" w:sz="4" w:space="0" w:color="auto"/>
            </w:tcBorders>
            <w:shd w:val="clear" w:color="auto" w:fill="auto"/>
            <w:vAlign w:val="center"/>
            <w:hideMark/>
          </w:tcPr>
          <w:p w14:paraId="625CE91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w:t>
            </w:r>
          </w:p>
        </w:tc>
      </w:tr>
      <w:tr w:rsidR="00E8617E" w:rsidRPr="00BC513A" w14:paraId="2B70617B" w14:textId="77777777" w:rsidTr="00922731">
        <w:trPr>
          <w:trHeight w:val="990"/>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F5D209" w14:textId="77777777" w:rsidR="00E8617E" w:rsidRPr="00BC513A" w:rsidRDefault="00E8617E" w:rsidP="00922731">
            <w:pPr>
              <w:spacing w:after="0" w:line="240" w:lineRule="auto"/>
              <w:jc w:val="both"/>
              <w:rPr>
                <w:rFonts w:ascii="Arial" w:eastAsia="Times New Roman" w:hAnsi="Arial" w:cs="Arial"/>
                <w:sz w:val="20"/>
                <w:szCs w:val="20"/>
                <w:lang w:eastAsia="bg-BG"/>
              </w:rPr>
            </w:pPr>
            <w:r w:rsidRPr="00BC513A">
              <w:rPr>
                <w:rFonts w:ascii="Arial" w:eastAsia="Times New Roman" w:hAnsi="Arial" w:cs="Arial"/>
                <w:sz w:val="20"/>
                <w:szCs w:val="20"/>
                <w:lang w:eastAsia="bg-BG"/>
              </w:rPr>
              <w:t>Дял на инвестициите директно свързани със земеделски стопанства от сектор „Мляко” за постигане на съответствие със стандартите на българското и европейско законодателство.</w:t>
            </w:r>
          </w:p>
        </w:tc>
        <w:tc>
          <w:tcPr>
            <w:tcW w:w="444" w:type="pct"/>
            <w:tcBorders>
              <w:top w:val="single" w:sz="4" w:space="0" w:color="auto"/>
              <w:left w:val="nil"/>
              <w:bottom w:val="single" w:sz="4" w:space="0" w:color="auto"/>
              <w:right w:val="single" w:sz="4" w:space="0" w:color="auto"/>
            </w:tcBorders>
            <w:vAlign w:val="center"/>
          </w:tcPr>
          <w:p w14:paraId="4487966F"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A30135"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15</w:t>
            </w:r>
          </w:p>
        </w:tc>
        <w:tc>
          <w:tcPr>
            <w:tcW w:w="827" w:type="pct"/>
            <w:tcBorders>
              <w:top w:val="nil"/>
              <w:left w:val="nil"/>
              <w:bottom w:val="single" w:sz="4" w:space="0" w:color="auto"/>
              <w:right w:val="single" w:sz="4" w:space="0" w:color="auto"/>
            </w:tcBorders>
            <w:shd w:val="clear" w:color="auto" w:fill="auto"/>
            <w:vAlign w:val="center"/>
            <w:hideMark/>
          </w:tcPr>
          <w:p w14:paraId="287222C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1,3%</w:t>
            </w:r>
          </w:p>
        </w:tc>
        <w:tc>
          <w:tcPr>
            <w:tcW w:w="551" w:type="pct"/>
            <w:tcBorders>
              <w:top w:val="nil"/>
              <w:left w:val="nil"/>
              <w:bottom w:val="single" w:sz="4" w:space="0" w:color="auto"/>
              <w:right w:val="single" w:sz="4" w:space="0" w:color="auto"/>
            </w:tcBorders>
            <w:shd w:val="clear" w:color="auto" w:fill="auto"/>
            <w:vAlign w:val="center"/>
            <w:hideMark/>
          </w:tcPr>
          <w:p w14:paraId="3DACDB9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w:t>
            </w:r>
          </w:p>
        </w:tc>
      </w:tr>
      <w:tr w:rsidR="00E8617E" w:rsidRPr="00BC513A" w14:paraId="463E7FDF" w14:textId="77777777" w:rsidTr="00922731">
        <w:trPr>
          <w:trHeight w:val="855"/>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5885AD" w14:textId="77777777" w:rsidR="00E8617E" w:rsidRPr="00BC513A" w:rsidRDefault="00E8617E" w:rsidP="00922731">
            <w:pPr>
              <w:spacing w:after="0" w:line="240" w:lineRule="auto"/>
              <w:jc w:val="both"/>
              <w:rPr>
                <w:rFonts w:ascii="Arial" w:eastAsia="Times New Roman" w:hAnsi="Arial" w:cs="Arial"/>
                <w:sz w:val="20"/>
                <w:szCs w:val="20"/>
                <w:lang w:eastAsia="bg-BG"/>
              </w:rPr>
            </w:pPr>
            <w:r w:rsidRPr="00BC513A">
              <w:rPr>
                <w:rFonts w:ascii="Arial" w:eastAsia="Times New Roman" w:hAnsi="Arial" w:cs="Arial"/>
                <w:sz w:val="20"/>
                <w:szCs w:val="20"/>
                <w:lang w:eastAsia="bg-BG"/>
              </w:rPr>
              <w:t>Дял на инвестициите директно свързани със земеделски стопанства от останалите животновъдни сектори за постигане на съответствие със стандартите на българското и европейско законодателство (%)</w:t>
            </w:r>
          </w:p>
        </w:tc>
        <w:tc>
          <w:tcPr>
            <w:tcW w:w="444" w:type="pct"/>
            <w:tcBorders>
              <w:top w:val="single" w:sz="4" w:space="0" w:color="auto"/>
              <w:left w:val="nil"/>
              <w:bottom w:val="single" w:sz="4" w:space="0" w:color="auto"/>
              <w:right w:val="single" w:sz="4" w:space="0" w:color="auto"/>
            </w:tcBorders>
            <w:vAlign w:val="center"/>
          </w:tcPr>
          <w:p w14:paraId="0C0CF719"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7024DD"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15</w:t>
            </w:r>
          </w:p>
        </w:tc>
        <w:tc>
          <w:tcPr>
            <w:tcW w:w="827" w:type="pct"/>
            <w:tcBorders>
              <w:top w:val="nil"/>
              <w:left w:val="nil"/>
              <w:bottom w:val="single" w:sz="4" w:space="0" w:color="auto"/>
              <w:right w:val="single" w:sz="4" w:space="0" w:color="auto"/>
            </w:tcBorders>
            <w:shd w:val="clear" w:color="auto" w:fill="auto"/>
            <w:vAlign w:val="center"/>
            <w:hideMark/>
          </w:tcPr>
          <w:p w14:paraId="314327A0"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w:t>
            </w:r>
          </w:p>
        </w:tc>
        <w:tc>
          <w:tcPr>
            <w:tcW w:w="551" w:type="pct"/>
            <w:tcBorders>
              <w:top w:val="nil"/>
              <w:left w:val="nil"/>
              <w:bottom w:val="single" w:sz="4" w:space="0" w:color="auto"/>
              <w:right w:val="single" w:sz="4" w:space="0" w:color="auto"/>
            </w:tcBorders>
            <w:shd w:val="clear" w:color="auto" w:fill="auto"/>
            <w:vAlign w:val="center"/>
            <w:hideMark/>
          </w:tcPr>
          <w:p w14:paraId="7853E9D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19%</w:t>
            </w:r>
          </w:p>
        </w:tc>
      </w:tr>
      <w:tr w:rsidR="00E8617E" w:rsidRPr="00BC513A" w14:paraId="7FBDD459" w14:textId="77777777" w:rsidTr="00922731">
        <w:trPr>
          <w:trHeight w:val="705"/>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BC72A3" w14:textId="77777777" w:rsidR="00E8617E" w:rsidRPr="00BC513A" w:rsidRDefault="00E8617E" w:rsidP="00922731">
            <w:pPr>
              <w:spacing w:after="0" w:line="240" w:lineRule="auto"/>
              <w:jc w:val="both"/>
              <w:rPr>
                <w:rFonts w:ascii="Arial" w:eastAsia="Times New Roman" w:hAnsi="Arial" w:cs="Arial"/>
                <w:sz w:val="20"/>
                <w:szCs w:val="20"/>
                <w:lang w:eastAsia="bg-BG"/>
              </w:rPr>
            </w:pPr>
            <w:r w:rsidRPr="00BC513A">
              <w:rPr>
                <w:rFonts w:ascii="Arial" w:eastAsia="Times New Roman" w:hAnsi="Arial" w:cs="Arial"/>
                <w:sz w:val="20"/>
                <w:szCs w:val="20"/>
                <w:lang w:eastAsia="bg-BG"/>
              </w:rPr>
              <w:t>Дял на инвестициите директно свързани със съоръжения и съответно оборудване за органична земеделска продукция (%)</w:t>
            </w:r>
          </w:p>
        </w:tc>
        <w:tc>
          <w:tcPr>
            <w:tcW w:w="444" w:type="pct"/>
            <w:tcBorders>
              <w:top w:val="single" w:sz="4" w:space="0" w:color="auto"/>
              <w:left w:val="nil"/>
              <w:bottom w:val="single" w:sz="4" w:space="0" w:color="auto"/>
              <w:right w:val="single" w:sz="4" w:space="0" w:color="auto"/>
            </w:tcBorders>
            <w:vAlign w:val="center"/>
          </w:tcPr>
          <w:p w14:paraId="6686D53E"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AF994B"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5</w:t>
            </w:r>
          </w:p>
        </w:tc>
        <w:tc>
          <w:tcPr>
            <w:tcW w:w="827" w:type="pct"/>
            <w:tcBorders>
              <w:top w:val="nil"/>
              <w:left w:val="nil"/>
              <w:bottom w:val="single" w:sz="4" w:space="0" w:color="auto"/>
              <w:right w:val="single" w:sz="4" w:space="0" w:color="auto"/>
            </w:tcBorders>
            <w:shd w:val="clear" w:color="auto" w:fill="auto"/>
            <w:vAlign w:val="center"/>
            <w:hideMark/>
          </w:tcPr>
          <w:p w14:paraId="3498B00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3%*</w:t>
            </w:r>
          </w:p>
        </w:tc>
        <w:tc>
          <w:tcPr>
            <w:tcW w:w="551" w:type="pct"/>
            <w:tcBorders>
              <w:top w:val="nil"/>
              <w:left w:val="nil"/>
              <w:bottom w:val="single" w:sz="4" w:space="0" w:color="auto"/>
              <w:right w:val="single" w:sz="4" w:space="0" w:color="auto"/>
            </w:tcBorders>
            <w:shd w:val="clear" w:color="auto" w:fill="auto"/>
            <w:vAlign w:val="center"/>
            <w:hideMark/>
          </w:tcPr>
          <w:p w14:paraId="60A6F2CF"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55%</w:t>
            </w:r>
          </w:p>
        </w:tc>
      </w:tr>
      <w:tr w:rsidR="00E8617E" w:rsidRPr="00BC513A" w14:paraId="62C3F8EA" w14:textId="77777777" w:rsidTr="00922731">
        <w:trPr>
          <w:trHeight w:val="540"/>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8862C7" w14:textId="77777777" w:rsidR="00E8617E" w:rsidRPr="00BC513A" w:rsidRDefault="00E8617E" w:rsidP="00922731">
            <w:pPr>
              <w:spacing w:after="0" w:line="240" w:lineRule="auto"/>
              <w:jc w:val="both"/>
              <w:rPr>
                <w:rFonts w:ascii="Arial" w:eastAsia="Times New Roman" w:hAnsi="Arial" w:cs="Arial"/>
                <w:sz w:val="20"/>
                <w:szCs w:val="20"/>
                <w:lang w:eastAsia="bg-BG"/>
              </w:rPr>
            </w:pPr>
            <w:r w:rsidRPr="00BC513A">
              <w:rPr>
                <w:rFonts w:ascii="Arial" w:eastAsia="Times New Roman" w:hAnsi="Arial" w:cs="Arial"/>
                <w:sz w:val="20"/>
                <w:szCs w:val="20"/>
                <w:lang w:eastAsia="bg-BG"/>
              </w:rPr>
              <w:t>Дял на инвестициите директно свързани с производството на енергия от ВЕИ и производство на енергийни култури (%)</w:t>
            </w:r>
          </w:p>
        </w:tc>
        <w:tc>
          <w:tcPr>
            <w:tcW w:w="444" w:type="pct"/>
            <w:tcBorders>
              <w:top w:val="single" w:sz="4" w:space="0" w:color="auto"/>
              <w:left w:val="nil"/>
              <w:bottom w:val="single" w:sz="4" w:space="0" w:color="auto"/>
              <w:right w:val="single" w:sz="4" w:space="0" w:color="auto"/>
            </w:tcBorders>
            <w:vAlign w:val="center"/>
          </w:tcPr>
          <w:p w14:paraId="7B423D4A"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362749"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5</w:t>
            </w:r>
          </w:p>
        </w:tc>
        <w:tc>
          <w:tcPr>
            <w:tcW w:w="827" w:type="pct"/>
            <w:tcBorders>
              <w:top w:val="nil"/>
              <w:left w:val="nil"/>
              <w:bottom w:val="single" w:sz="4" w:space="0" w:color="auto"/>
              <w:right w:val="single" w:sz="4" w:space="0" w:color="auto"/>
            </w:tcBorders>
            <w:shd w:val="clear" w:color="auto" w:fill="auto"/>
            <w:vAlign w:val="center"/>
            <w:hideMark/>
          </w:tcPr>
          <w:p w14:paraId="338DE87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0.03%</w:t>
            </w:r>
          </w:p>
        </w:tc>
        <w:tc>
          <w:tcPr>
            <w:tcW w:w="551" w:type="pct"/>
            <w:tcBorders>
              <w:top w:val="nil"/>
              <w:left w:val="nil"/>
              <w:bottom w:val="single" w:sz="4" w:space="0" w:color="auto"/>
              <w:right w:val="single" w:sz="4" w:space="0" w:color="auto"/>
            </w:tcBorders>
            <w:shd w:val="clear" w:color="auto" w:fill="auto"/>
            <w:vAlign w:val="center"/>
            <w:hideMark/>
          </w:tcPr>
          <w:p w14:paraId="661C325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w:t>
            </w:r>
          </w:p>
        </w:tc>
      </w:tr>
      <w:tr w:rsidR="00E8617E" w:rsidRPr="00BC513A" w14:paraId="33E94E0F" w14:textId="77777777" w:rsidTr="00922731">
        <w:trPr>
          <w:trHeight w:val="530"/>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310386"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Обем на инвестициите в сектор „плодове и зеленчуци“</w:t>
            </w:r>
          </w:p>
        </w:tc>
        <w:tc>
          <w:tcPr>
            <w:tcW w:w="444" w:type="pct"/>
            <w:tcBorders>
              <w:top w:val="single" w:sz="4" w:space="0" w:color="auto"/>
              <w:left w:val="nil"/>
              <w:bottom w:val="single" w:sz="4" w:space="0" w:color="auto"/>
              <w:right w:val="single" w:sz="4" w:space="0" w:color="auto"/>
            </w:tcBorders>
            <w:vAlign w:val="center"/>
          </w:tcPr>
          <w:p w14:paraId="5A60EF57"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млн.</w:t>
            </w:r>
            <w:r w:rsidR="005A51E8">
              <w:rPr>
                <w:rFonts w:ascii="Arial" w:eastAsia="Times New Roman" w:hAnsi="Arial" w:cs="Arial"/>
                <w:bCs/>
                <w:sz w:val="20"/>
                <w:szCs w:val="20"/>
                <w:lang w:eastAsia="bg-BG"/>
              </w:rPr>
              <w:t xml:space="preserve"> </w:t>
            </w:r>
            <w:r w:rsidRPr="00BC513A">
              <w:rPr>
                <w:rFonts w:ascii="Arial" w:eastAsia="Times New Roman" w:hAnsi="Arial" w:cs="Arial"/>
                <w:bCs/>
                <w:sz w:val="20"/>
                <w:szCs w:val="20"/>
                <w:lang w:eastAsia="bg-BG"/>
              </w:rPr>
              <w:t>евро</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CAB745"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35</w:t>
            </w:r>
          </w:p>
        </w:tc>
        <w:tc>
          <w:tcPr>
            <w:tcW w:w="827" w:type="pct"/>
            <w:tcBorders>
              <w:top w:val="nil"/>
              <w:left w:val="nil"/>
              <w:bottom w:val="single" w:sz="4" w:space="0" w:color="auto"/>
              <w:right w:val="single" w:sz="4" w:space="0" w:color="auto"/>
            </w:tcBorders>
            <w:shd w:val="clear" w:color="auto" w:fill="auto"/>
            <w:vAlign w:val="center"/>
            <w:hideMark/>
          </w:tcPr>
          <w:p w14:paraId="22E5A3A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161,2</w:t>
            </w:r>
          </w:p>
        </w:tc>
        <w:tc>
          <w:tcPr>
            <w:tcW w:w="551" w:type="pct"/>
            <w:tcBorders>
              <w:top w:val="nil"/>
              <w:left w:val="nil"/>
              <w:bottom w:val="single" w:sz="4" w:space="0" w:color="auto"/>
              <w:right w:val="single" w:sz="4" w:space="0" w:color="auto"/>
            </w:tcBorders>
            <w:shd w:val="clear" w:color="auto" w:fill="auto"/>
            <w:vAlign w:val="center"/>
            <w:hideMark/>
          </w:tcPr>
          <w:p w14:paraId="5EC4832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460%</w:t>
            </w:r>
          </w:p>
        </w:tc>
      </w:tr>
      <w:tr w:rsidR="00E8617E" w:rsidRPr="00BC513A" w14:paraId="0D47C385" w14:textId="77777777" w:rsidTr="00922731">
        <w:trPr>
          <w:trHeight w:val="300"/>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6460D4"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Обем на инвестициите директно свързани с подпомагането на млади фермери</w:t>
            </w:r>
          </w:p>
        </w:tc>
        <w:tc>
          <w:tcPr>
            <w:tcW w:w="444" w:type="pct"/>
            <w:tcBorders>
              <w:top w:val="single" w:sz="4" w:space="0" w:color="auto"/>
              <w:left w:val="nil"/>
              <w:bottom w:val="single" w:sz="4" w:space="0" w:color="auto"/>
              <w:right w:val="single" w:sz="4" w:space="0" w:color="auto"/>
            </w:tcBorders>
            <w:vAlign w:val="center"/>
          </w:tcPr>
          <w:p w14:paraId="5DE37483"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млн. евро</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9F9BB13"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32</w:t>
            </w:r>
          </w:p>
        </w:tc>
        <w:tc>
          <w:tcPr>
            <w:tcW w:w="827" w:type="pct"/>
            <w:tcBorders>
              <w:top w:val="nil"/>
              <w:left w:val="nil"/>
              <w:bottom w:val="single" w:sz="4" w:space="0" w:color="auto"/>
              <w:right w:val="single" w:sz="4" w:space="0" w:color="auto"/>
            </w:tcBorders>
            <w:shd w:val="clear" w:color="auto" w:fill="auto"/>
            <w:vAlign w:val="center"/>
            <w:hideMark/>
          </w:tcPr>
          <w:p w14:paraId="7C8AC0E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w:t>
            </w:r>
          </w:p>
        </w:tc>
        <w:tc>
          <w:tcPr>
            <w:tcW w:w="551" w:type="pct"/>
            <w:tcBorders>
              <w:top w:val="nil"/>
              <w:left w:val="nil"/>
              <w:bottom w:val="single" w:sz="4" w:space="0" w:color="auto"/>
              <w:right w:val="single" w:sz="4" w:space="0" w:color="auto"/>
            </w:tcBorders>
            <w:shd w:val="clear" w:color="auto" w:fill="auto"/>
            <w:vAlign w:val="center"/>
            <w:hideMark/>
          </w:tcPr>
          <w:p w14:paraId="721791F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27%</w:t>
            </w:r>
          </w:p>
        </w:tc>
      </w:tr>
      <w:tr w:rsidR="00E8617E" w:rsidRPr="00BC513A" w14:paraId="1C40E8CD" w14:textId="77777777" w:rsidTr="00922731">
        <w:trPr>
          <w:trHeight w:val="300"/>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5247280"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Обем на инвестициите директно свързани с подпомагането на полупазарни стопанства</w:t>
            </w:r>
          </w:p>
        </w:tc>
        <w:tc>
          <w:tcPr>
            <w:tcW w:w="444" w:type="pct"/>
            <w:tcBorders>
              <w:top w:val="single" w:sz="4" w:space="0" w:color="auto"/>
              <w:left w:val="nil"/>
              <w:bottom w:val="single" w:sz="4" w:space="0" w:color="auto"/>
              <w:right w:val="single" w:sz="4" w:space="0" w:color="auto"/>
            </w:tcBorders>
            <w:vAlign w:val="center"/>
          </w:tcPr>
          <w:p w14:paraId="32496048"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млн. евро</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FF8472"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8</w:t>
            </w:r>
          </w:p>
        </w:tc>
        <w:tc>
          <w:tcPr>
            <w:tcW w:w="827" w:type="pct"/>
            <w:tcBorders>
              <w:top w:val="nil"/>
              <w:left w:val="nil"/>
              <w:bottom w:val="single" w:sz="4" w:space="0" w:color="auto"/>
              <w:right w:val="single" w:sz="4" w:space="0" w:color="auto"/>
            </w:tcBorders>
            <w:shd w:val="clear" w:color="auto" w:fill="auto"/>
            <w:vAlign w:val="center"/>
            <w:hideMark/>
          </w:tcPr>
          <w:p w14:paraId="3C88DE8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w:t>
            </w:r>
          </w:p>
        </w:tc>
        <w:tc>
          <w:tcPr>
            <w:tcW w:w="551" w:type="pct"/>
            <w:tcBorders>
              <w:top w:val="nil"/>
              <w:left w:val="nil"/>
              <w:bottom w:val="single" w:sz="4" w:space="0" w:color="auto"/>
              <w:right w:val="single" w:sz="4" w:space="0" w:color="auto"/>
            </w:tcBorders>
            <w:shd w:val="clear" w:color="auto" w:fill="auto"/>
            <w:vAlign w:val="center"/>
            <w:hideMark/>
          </w:tcPr>
          <w:p w14:paraId="69CDEE6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20%</w:t>
            </w:r>
          </w:p>
        </w:tc>
      </w:tr>
      <w:tr w:rsidR="00E8617E" w:rsidRPr="00BC513A" w14:paraId="00D5794C" w14:textId="77777777" w:rsidTr="00922731">
        <w:trPr>
          <w:trHeight w:val="300"/>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12FB719"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Брой подкрепени организации на производители - бр.</w:t>
            </w:r>
          </w:p>
        </w:tc>
        <w:tc>
          <w:tcPr>
            <w:tcW w:w="444" w:type="pct"/>
            <w:tcBorders>
              <w:top w:val="single" w:sz="4" w:space="0" w:color="auto"/>
              <w:left w:val="nil"/>
              <w:bottom w:val="single" w:sz="4" w:space="0" w:color="auto"/>
              <w:right w:val="single" w:sz="4" w:space="0" w:color="auto"/>
            </w:tcBorders>
            <w:vAlign w:val="center"/>
          </w:tcPr>
          <w:p w14:paraId="1E8FFD85"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FD9D14"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10</w:t>
            </w:r>
          </w:p>
        </w:tc>
        <w:tc>
          <w:tcPr>
            <w:tcW w:w="827" w:type="pct"/>
            <w:tcBorders>
              <w:top w:val="nil"/>
              <w:left w:val="nil"/>
              <w:bottom w:val="single" w:sz="4" w:space="0" w:color="auto"/>
              <w:right w:val="single" w:sz="4" w:space="0" w:color="auto"/>
            </w:tcBorders>
            <w:shd w:val="clear" w:color="auto" w:fill="auto"/>
            <w:vAlign w:val="center"/>
            <w:hideMark/>
          </w:tcPr>
          <w:p w14:paraId="607FCB5D"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c>
          <w:tcPr>
            <w:tcW w:w="551" w:type="pct"/>
            <w:tcBorders>
              <w:top w:val="nil"/>
              <w:left w:val="nil"/>
              <w:bottom w:val="single" w:sz="4" w:space="0" w:color="auto"/>
              <w:right w:val="single" w:sz="4" w:space="0" w:color="auto"/>
            </w:tcBorders>
            <w:shd w:val="clear" w:color="auto" w:fill="auto"/>
            <w:vAlign w:val="center"/>
            <w:hideMark/>
          </w:tcPr>
          <w:p w14:paraId="21A98EBC"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w:t>
            </w:r>
          </w:p>
        </w:tc>
      </w:tr>
      <w:tr w:rsidR="00E8617E" w:rsidRPr="00BC513A" w14:paraId="7B4BC6F6" w14:textId="77777777" w:rsidTr="00922731">
        <w:trPr>
          <w:trHeight w:val="300"/>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89B1887"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Брой подпомогнати тютюнопроизводители</w:t>
            </w:r>
          </w:p>
        </w:tc>
        <w:tc>
          <w:tcPr>
            <w:tcW w:w="444" w:type="pct"/>
            <w:tcBorders>
              <w:top w:val="single" w:sz="4" w:space="0" w:color="auto"/>
              <w:left w:val="nil"/>
              <w:bottom w:val="single" w:sz="4" w:space="0" w:color="auto"/>
              <w:right w:val="single" w:sz="4" w:space="0" w:color="auto"/>
            </w:tcBorders>
            <w:vAlign w:val="center"/>
          </w:tcPr>
          <w:p w14:paraId="1108A433"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8FFD80"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200</w:t>
            </w:r>
          </w:p>
        </w:tc>
        <w:tc>
          <w:tcPr>
            <w:tcW w:w="827" w:type="pct"/>
            <w:tcBorders>
              <w:top w:val="nil"/>
              <w:left w:val="nil"/>
              <w:bottom w:val="single" w:sz="4" w:space="0" w:color="auto"/>
              <w:right w:val="single" w:sz="4" w:space="0" w:color="auto"/>
            </w:tcBorders>
            <w:shd w:val="clear" w:color="auto" w:fill="auto"/>
            <w:vAlign w:val="center"/>
            <w:hideMark/>
          </w:tcPr>
          <w:p w14:paraId="15FCE5D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n/a*</w:t>
            </w:r>
          </w:p>
        </w:tc>
        <w:tc>
          <w:tcPr>
            <w:tcW w:w="551" w:type="pct"/>
            <w:tcBorders>
              <w:top w:val="nil"/>
              <w:left w:val="nil"/>
              <w:bottom w:val="single" w:sz="4" w:space="0" w:color="auto"/>
              <w:right w:val="single" w:sz="4" w:space="0" w:color="auto"/>
            </w:tcBorders>
            <w:shd w:val="clear" w:color="auto" w:fill="auto"/>
            <w:vAlign w:val="center"/>
            <w:hideMark/>
          </w:tcPr>
          <w:p w14:paraId="220A2C2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n/a</w:t>
            </w:r>
          </w:p>
        </w:tc>
      </w:tr>
      <w:tr w:rsidR="00E8617E" w:rsidRPr="00BC513A" w14:paraId="0C3C6D3B" w14:textId="77777777" w:rsidTr="00922731">
        <w:trPr>
          <w:trHeight w:val="300"/>
        </w:trPr>
        <w:tc>
          <w:tcPr>
            <w:tcW w:w="25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1CD32D" w14:textId="77777777" w:rsidR="00E8617E" w:rsidRPr="00BC513A" w:rsidRDefault="00E8617E" w:rsidP="00922731">
            <w:pPr>
              <w:spacing w:after="0"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Брой подпомогнати производители на органични продукти</w:t>
            </w:r>
          </w:p>
        </w:tc>
        <w:tc>
          <w:tcPr>
            <w:tcW w:w="444" w:type="pct"/>
            <w:tcBorders>
              <w:top w:val="single" w:sz="4" w:space="0" w:color="auto"/>
              <w:left w:val="nil"/>
              <w:bottom w:val="single" w:sz="4" w:space="0" w:color="auto"/>
              <w:right w:val="single" w:sz="4" w:space="0" w:color="auto"/>
            </w:tcBorders>
            <w:vAlign w:val="center"/>
          </w:tcPr>
          <w:p w14:paraId="5DDE34B2"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бр.</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0987837"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50</w:t>
            </w:r>
          </w:p>
        </w:tc>
        <w:tc>
          <w:tcPr>
            <w:tcW w:w="827" w:type="pct"/>
            <w:tcBorders>
              <w:top w:val="nil"/>
              <w:left w:val="nil"/>
              <w:bottom w:val="single" w:sz="4" w:space="0" w:color="auto"/>
              <w:right w:val="single" w:sz="4" w:space="0" w:color="auto"/>
            </w:tcBorders>
            <w:shd w:val="clear" w:color="000000" w:fill="FFFFFF"/>
            <w:vAlign w:val="center"/>
            <w:hideMark/>
          </w:tcPr>
          <w:p w14:paraId="6448B0D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118</w:t>
            </w:r>
          </w:p>
        </w:tc>
        <w:tc>
          <w:tcPr>
            <w:tcW w:w="551" w:type="pct"/>
            <w:tcBorders>
              <w:top w:val="nil"/>
              <w:left w:val="nil"/>
              <w:bottom w:val="single" w:sz="4" w:space="0" w:color="auto"/>
              <w:right w:val="single" w:sz="4" w:space="0" w:color="auto"/>
            </w:tcBorders>
            <w:shd w:val="clear" w:color="auto" w:fill="auto"/>
            <w:vAlign w:val="center"/>
            <w:hideMark/>
          </w:tcPr>
          <w:p w14:paraId="53B61B26"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236%</w:t>
            </w:r>
          </w:p>
        </w:tc>
      </w:tr>
    </w:tbl>
    <w:p w14:paraId="05371D8B" w14:textId="2C0AD77E" w:rsidR="00E8617E" w:rsidRPr="00F07F15" w:rsidRDefault="00E8617E" w:rsidP="00E8617E">
      <w:pPr>
        <w:rPr>
          <w:sz w:val="18"/>
          <w:szCs w:val="18"/>
        </w:rPr>
      </w:pPr>
      <w:r w:rsidRPr="00F07F15">
        <w:rPr>
          <w:rFonts w:ascii="Arial" w:hAnsi="Arial" w:cs="Arial"/>
          <w:sz w:val="18"/>
          <w:szCs w:val="18"/>
        </w:rPr>
        <w:t xml:space="preserve">Източник: МЗХГ и * Годишен </w:t>
      </w:r>
      <w:r w:rsidR="005A51E8">
        <w:rPr>
          <w:rFonts w:ascii="Arial" w:hAnsi="Arial" w:cs="Arial"/>
          <w:sz w:val="18"/>
          <w:szCs w:val="18"/>
        </w:rPr>
        <w:t>д</w:t>
      </w:r>
      <w:r w:rsidRPr="00F07F15">
        <w:rPr>
          <w:rFonts w:ascii="Arial" w:hAnsi="Arial" w:cs="Arial"/>
          <w:sz w:val="18"/>
          <w:szCs w:val="18"/>
        </w:rPr>
        <w:t xml:space="preserve">оклад за </w:t>
      </w:r>
      <w:r w:rsidR="005A51E8">
        <w:rPr>
          <w:rFonts w:ascii="Arial" w:hAnsi="Arial" w:cs="Arial"/>
          <w:sz w:val="18"/>
          <w:szCs w:val="18"/>
        </w:rPr>
        <w:t>и</w:t>
      </w:r>
      <w:r w:rsidRPr="00F07F15">
        <w:rPr>
          <w:rFonts w:ascii="Arial" w:hAnsi="Arial" w:cs="Arial"/>
          <w:sz w:val="18"/>
          <w:szCs w:val="18"/>
        </w:rPr>
        <w:t>зпълнение на ПРСР за 2015,  юни 2016 г.</w:t>
      </w:r>
    </w:p>
    <w:p w14:paraId="2E751E4F" w14:textId="0E44F1C4"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 xml:space="preserve">За периода на прилагане на програмата и на мярката в страната са изчезнали около 240 хил. земеделски стопанства. Това са в болшинството дребни полупазарни стопанства, които по данни </w:t>
      </w:r>
      <w:r w:rsidR="005A51E8">
        <w:rPr>
          <w:sz w:val="22"/>
          <w:szCs w:val="22"/>
          <w:lang w:val="bg-BG"/>
        </w:rPr>
        <w:t>з</w:t>
      </w:r>
      <w:r w:rsidRPr="00BC513A">
        <w:rPr>
          <w:sz w:val="22"/>
          <w:szCs w:val="22"/>
          <w:lang w:val="bg-BG"/>
        </w:rPr>
        <w:t>а 2013 г. биха произвеждали добавена стойност между 100-110 млн. евро. Реално ръстът на добавената стойност в земеделието между 2006-2015 година е 140 млн. евро, а по мярката е създадена нова добавена стойност, която по оценки прави 296 млн. евро. Оттук следва, че като цяло останалото българско земеделие и другите стопански структури, които не са били подпомогнати по мярката</w:t>
      </w:r>
      <w:r w:rsidR="005A51E8">
        <w:rPr>
          <w:sz w:val="22"/>
          <w:szCs w:val="22"/>
          <w:lang w:val="bg-BG"/>
        </w:rPr>
        <w:t>,</w:t>
      </w:r>
      <w:r w:rsidRPr="00BC513A">
        <w:rPr>
          <w:sz w:val="22"/>
          <w:szCs w:val="22"/>
          <w:lang w:val="bg-BG"/>
        </w:rPr>
        <w:t xml:space="preserve"> не са успели да постигнат растеж в стойностно изражение. Мярката има и пряк ефект върху заетостта, като за периода са отпаднали около 240 хил. стопанства, докато съкращението на работната сила, изразена в </w:t>
      </w:r>
      <w:r w:rsidR="00143EB1">
        <w:rPr>
          <w:sz w:val="22"/>
          <w:szCs w:val="22"/>
          <w:lang w:val="bg-BG"/>
        </w:rPr>
        <w:t>г</w:t>
      </w:r>
      <w:r w:rsidRPr="00BC513A">
        <w:rPr>
          <w:sz w:val="22"/>
          <w:szCs w:val="22"/>
          <w:lang w:val="bg-BG"/>
        </w:rPr>
        <w:t xml:space="preserve">одишни работни единици е около </w:t>
      </w:r>
      <w:r w:rsidR="00143EB1">
        <w:rPr>
          <w:sz w:val="22"/>
          <w:szCs w:val="22"/>
          <w:lang w:val="bg-BG"/>
        </w:rPr>
        <w:t xml:space="preserve">                  </w:t>
      </w:r>
      <w:r w:rsidRPr="00BC513A">
        <w:rPr>
          <w:sz w:val="22"/>
          <w:szCs w:val="22"/>
          <w:lang w:val="bg-BG"/>
        </w:rPr>
        <w:t>1</w:t>
      </w:r>
      <w:r w:rsidR="00672B6B">
        <w:rPr>
          <w:sz w:val="22"/>
          <w:szCs w:val="22"/>
          <w:lang w:val="bg-BG"/>
        </w:rPr>
        <w:t>7</w:t>
      </w:r>
      <w:r w:rsidRPr="00BC513A">
        <w:rPr>
          <w:sz w:val="22"/>
          <w:szCs w:val="22"/>
          <w:lang w:val="bg-BG"/>
        </w:rPr>
        <w:t xml:space="preserve">0 хил., което означава, че приблизително </w:t>
      </w:r>
      <w:r w:rsidR="003A0F89">
        <w:rPr>
          <w:sz w:val="22"/>
          <w:szCs w:val="22"/>
          <w:lang w:val="bg-BG"/>
        </w:rPr>
        <w:t>7</w:t>
      </w:r>
      <w:r w:rsidRPr="00BC513A">
        <w:rPr>
          <w:sz w:val="22"/>
          <w:szCs w:val="22"/>
          <w:lang w:val="bg-BG"/>
        </w:rPr>
        <w:t>0 хил. от затворените стопанства са преминали като заетост в другите стопанства, което недвусмислено показва, че има повишение на производителността на труда, но се усилват социалните проблеми</w:t>
      </w:r>
      <w:r w:rsidR="006619AA">
        <w:rPr>
          <w:sz w:val="22"/>
          <w:szCs w:val="22"/>
          <w:lang w:val="bg-BG"/>
        </w:rPr>
        <w:t>,</w:t>
      </w:r>
      <w:r w:rsidRPr="00BC513A">
        <w:rPr>
          <w:sz w:val="22"/>
          <w:szCs w:val="22"/>
          <w:lang w:val="bg-BG"/>
        </w:rPr>
        <w:t xml:space="preserve"> свързани с безработицата в селските райони.</w:t>
      </w:r>
    </w:p>
    <w:p w14:paraId="5E189B1B" w14:textId="77777777"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 xml:space="preserve">Като цяло, мярката </w:t>
      </w:r>
      <w:r w:rsidR="006619AA">
        <w:rPr>
          <w:sz w:val="22"/>
          <w:szCs w:val="22"/>
          <w:lang w:val="bg-BG"/>
        </w:rPr>
        <w:t xml:space="preserve">до </w:t>
      </w:r>
      <w:r w:rsidRPr="00BC513A">
        <w:rPr>
          <w:sz w:val="22"/>
          <w:szCs w:val="22"/>
          <w:lang w:val="bg-BG"/>
        </w:rPr>
        <w:t>голяма степен благоприятства развитието на подпомогнатите стопанства, допринася за повишаване на тяхната добавена стойност, производителност, ефективност и оттам за конкурентоспособността. В същото време, земеделието за този период показа минимален ръст в стойностно изражение. Подобряването на икономическите показатели в подпомогнатите стопанства контрастира на задържане на резултатите в неподпомогнатите стопански субекти и общата среда на застой в сектора.</w:t>
      </w:r>
    </w:p>
    <w:p w14:paraId="710355EA"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122. Подобряване на икономическата стойност на горите</w:t>
      </w:r>
    </w:p>
    <w:p w14:paraId="2803DC8F" w14:textId="64E33E9F" w:rsidR="00E8617E" w:rsidRPr="00BC513A" w:rsidRDefault="00E8617E" w:rsidP="00E8617E">
      <w:pPr>
        <w:pStyle w:val="DefaultText"/>
        <w:spacing w:before="120" w:after="120" w:line="300" w:lineRule="atLeast"/>
        <w:ind w:firstLine="709"/>
        <w:rPr>
          <w:sz w:val="22"/>
          <w:szCs w:val="22"/>
          <w:lang w:val="bg-BG"/>
        </w:rPr>
      </w:pPr>
      <w:r w:rsidRPr="00BC513A">
        <w:rPr>
          <w:sz w:val="22"/>
          <w:szCs w:val="22"/>
          <w:lang w:val="bg-BG"/>
        </w:rPr>
        <w:t>Мярката има за цел да подобри състоянието, устойчивостта и производителността на горите чрез извършване на отгледни сечи в тях. В това отношени</w:t>
      </w:r>
      <w:r w:rsidR="006619AA">
        <w:rPr>
          <w:sz w:val="22"/>
          <w:szCs w:val="22"/>
          <w:lang w:val="bg-BG"/>
        </w:rPr>
        <w:t>е</w:t>
      </w:r>
      <w:r w:rsidRPr="00BC513A">
        <w:rPr>
          <w:sz w:val="22"/>
          <w:szCs w:val="22"/>
          <w:lang w:val="bg-BG"/>
        </w:rPr>
        <w:t xml:space="preserve"> тя има непряк принос към повишаване и поддържане на висока природна стойност  на горските масиви. Като цяло слабото изпълнение на мярката редуцира очаквания принос. </w:t>
      </w:r>
    </w:p>
    <w:p w14:paraId="373118D1"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123. Добавяне на стойност към земеделски и горски продукти</w:t>
      </w:r>
    </w:p>
    <w:p w14:paraId="7191CC9C" w14:textId="77777777" w:rsidR="00E8617E" w:rsidRPr="00BC513A" w:rsidRDefault="00E8617E" w:rsidP="00E8617E">
      <w:pPr>
        <w:pStyle w:val="DefaultText"/>
        <w:spacing w:after="120" w:line="300" w:lineRule="atLeast"/>
        <w:ind w:firstLine="708"/>
        <w:rPr>
          <w:i/>
          <w:sz w:val="22"/>
          <w:szCs w:val="22"/>
          <w:lang w:val="bg-BG"/>
        </w:rPr>
      </w:pPr>
      <w:r w:rsidRPr="00BC513A">
        <w:rPr>
          <w:rFonts w:cs="Arial"/>
          <w:sz w:val="22"/>
          <w:szCs w:val="22"/>
          <w:lang w:val="bg-BG"/>
        </w:rPr>
        <w:t>По мярката се следят и 3 допълнителни индикатора, които отразяват приоритети</w:t>
      </w:r>
      <w:r w:rsidR="006619AA">
        <w:rPr>
          <w:rFonts w:cs="Arial"/>
          <w:sz w:val="22"/>
          <w:szCs w:val="22"/>
          <w:lang w:val="bg-BG"/>
        </w:rPr>
        <w:t>,</w:t>
      </w:r>
      <w:r w:rsidRPr="00BC513A">
        <w:rPr>
          <w:rFonts w:cs="Arial"/>
          <w:sz w:val="22"/>
          <w:szCs w:val="22"/>
          <w:lang w:val="bg-BG"/>
        </w:rPr>
        <w:t xml:space="preserve"> свързани с общоевропейските цели. Те са свързани с опазване на околната среда, възобновяемите енергийни източници и въвеждането на действащи и нови стандарти. Изпълнението на тези индикаторни цели е много слабо по отношение на опазване на околната среда и ВЕИ, като изпълнението е едва 5% и 11% от предварително заложените по 10% инвестиции. Съответно мярката има незначителен принос в това отношение. </w:t>
      </w:r>
    </w:p>
    <w:p w14:paraId="01636FD7" w14:textId="77777777" w:rsidR="00E8617E" w:rsidRPr="00BC513A" w:rsidRDefault="00E8617E" w:rsidP="00E8617E">
      <w:pPr>
        <w:pStyle w:val="DefaultText"/>
        <w:keepNext/>
        <w:spacing w:before="240"/>
        <w:rPr>
          <w:rFonts w:cs="Arial"/>
          <w:b/>
          <w:color w:val="0070C0"/>
          <w:sz w:val="20"/>
          <w:szCs w:val="20"/>
          <w:lang w:val="bg-BG"/>
        </w:rPr>
      </w:pPr>
      <w:bookmarkStart w:id="135" w:name="_Toc504136218"/>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46</w:t>
      </w:r>
      <w:r w:rsidRPr="00BC513A">
        <w:rPr>
          <w:rFonts w:cs="Arial"/>
          <w:b/>
          <w:color w:val="0070C0"/>
          <w:sz w:val="20"/>
          <w:szCs w:val="20"/>
          <w:lang w:val="bg-BG"/>
        </w:rPr>
        <w:fldChar w:fldCharType="end"/>
      </w:r>
      <w:r w:rsidR="00047E2D">
        <w:rPr>
          <w:rFonts w:cs="Arial"/>
          <w:b/>
          <w:color w:val="0070C0"/>
          <w:sz w:val="20"/>
          <w:szCs w:val="20"/>
          <w:lang w:val="bg-BG"/>
        </w:rPr>
        <w:t>.</w:t>
      </w:r>
      <w:r w:rsidRPr="00BC513A">
        <w:rPr>
          <w:rFonts w:cs="Arial"/>
          <w:b/>
          <w:color w:val="0070C0"/>
          <w:sz w:val="20"/>
          <w:szCs w:val="20"/>
          <w:lang w:val="bg-BG"/>
        </w:rPr>
        <w:t xml:space="preserve"> Изпълнение на специфичните индикаторни цели</w:t>
      </w:r>
      <w:bookmarkEnd w:id="135"/>
    </w:p>
    <w:tbl>
      <w:tblPr>
        <w:tblW w:w="5000" w:type="pct"/>
        <w:tblLayout w:type="fixed"/>
        <w:tblCellMar>
          <w:left w:w="70" w:type="dxa"/>
          <w:right w:w="70" w:type="dxa"/>
        </w:tblCellMar>
        <w:tblLook w:val="04A0" w:firstRow="1" w:lastRow="0" w:firstColumn="1" w:lastColumn="0" w:noHBand="0" w:noVBand="1"/>
      </w:tblPr>
      <w:tblGrid>
        <w:gridCol w:w="4319"/>
        <w:gridCol w:w="1138"/>
        <w:gridCol w:w="1216"/>
        <w:gridCol w:w="1523"/>
        <w:gridCol w:w="1015"/>
      </w:tblGrid>
      <w:tr w:rsidR="00E8617E" w:rsidRPr="00BC513A" w14:paraId="1D47D12D" w14:textId="77777777" w:rsidTr="00922731">
        <w:trPr>
          <w:trHeight w:val="765"/>
        </w:trPr>
        <w:tc>
          <w:tcPr>
            <w:tcW w:w="2344" w:type="pc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5EC6459F"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617" w:type="pct"/>
            <w:tcBorders>
              <w:top w:val="single" w:sz="4" w:space="0" w:color="auto"/>
              <w:left w:val="nil"/>
              <w:bottom w:val="single" w:sz="4" w:space="0" w:color="auto"/>
              <w:right w:val="single" w:sz="4" w:space="0" w:color="auto"/>
            </w:tcBorders>
            <w:shd w:val="clear" w:color="auto" w:fill="1F4E79" w:themeFill="accent1" w:themeFillShade="80"/>
          </w:tcPr>
          <w:p w14:paraId="7769DFA4"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Мерна единица</w:t>
            </w:r>
          </w:p>
        </w:tc>
        <w:tc>
          <w:tcPr>
            <w:tcW w:w="660" w:type="pc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33B59E0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ПРСР 2007-2013</w:t>
            </w:r>
          </w:p>
        </w:tc>
        <w:tc>
          <w:tcPr>
            <w:tcW w:w="827" w:type="pct"/>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597D1BC8"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xml:space="preserve">Изпълнение* </w:t>
            </w:r>
          </w:p>
        </w:tc>
        <w:tc>
          <w:tcPr>
            <w:tcW w:w="551" w:type="pct"/>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2F9FB74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изпълнение</w:t>
            </w:r>
          </w:p>
        </w:tc>
      </w:tr>
      <w:tr w:rsidR="00E8617E" w:rsidRPr="00BC513A" w14:paraId="6E302E72" w14:textId="77777777" w:rsidTr="00922731">
        <w:trPr>
          <w:trHeight w:val="603"/>
        </w:trPr>
        <w:tc>
          <w:tcPr>
            <w:tcW w:w="2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07AC5" w14:textId="77777777" w:rsidR="00E8617E" w:rsidRPr="00BC513A" w:rsidRDefault="00E8617E" w:rsidP="00922731">
            <w:pPr>
              <w:autoSpaceDE w:val="0"/>
              <w:autoSpaceDN w:val="0"/>
              <w:adjustRightInd w:val="0"/>
              <w:spacing w:after="0" w:line="240" w:lineRule="auto"/>
              <w:jc w:val="both"/>
              <w:rPr>
                <w:rFonts w:ascii="Arial" w:eastAsia="Times New Roman" w:hAnsi="Arial" w:cs="Arial"/>
                <w:sz w:val="20"/>
                <w:szCs w:val="20"/>
                <w:lang w:eastAsia="bg-BG"/>
              </w:rPr>
            </w:pPr>
            <w:r w:rsidRPr="00BC513A">
              <w:rPr>
                <w:rFonts w:ascii="Arial" w:hAnsi="Arial" w:cs="Arial"/>
                <w:sz w:val="20"/>
                <w:szCs w:val="20"/>
              </w:rPr>
              <w:t>Дял на инвестициите, пряко свързан с опазване на околната среда</w:t>
            </w:r>
          </w:p>
        </w:tc>
        <w:tc>
          <w:tcPr>
            <w:tcW w:w="617" w:type="pct"/>
            <w:tcBorders>
              <w:top w:val="single" w:sz="4" w:space="0" w:color="auto"/>
              <w:left w:val="nil"/>
              <w:bottom w:val="single" w:sz="4" w:space="0" w:color="auto"/>
              <w:right w:val="single" w:sz="4" w:space="0" w:color="auto"/>
            </w:tcBorders>
            <w:vAlign w:val="center"/>
          </w:tcPr>
          <w:p w14:paraId="49E2C616"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D610C3"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10%</w:t>
            </w:r>
          </w:p>
        </w:tc>
        <w:tc>
          <w:tcPr>
            <w:tcW w:w="827" w:type="pct"/>
            <w:tcBorders>
              <w:top w:val="nil"/>
              <w:left w:val="nil"/>
              <w:bottom w:val="single" w:sz="4" w:space="0" w:color="auto"/>
              <w:right w:val="single" w:sz="4" w:space="0" w:color="auto"/>
            </w:tcBorders>
            <w:shd w:val="clear" w:color="auto" w:fill="auto"/>
            <w:vAlign w:val="center"/>
            <w:hideMark/>
          </w:tcPr>
          <w:p w14:paraId="7E4DC95A"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0,5%</w:t>
            </w:r>
          </w:p>
        </w:tc>
        <w:tc>
          <w:tcPr>
            <w:tcW w:w="551" w:type="pct"/>
            <w:tcBorders>
              <w:top w:val="nil"/>
              <w:left w:val="nil"/>
              <w:bottom w:val="single" w:sz="4" w:space="0" w:color="auto"/>
              <w:right w:val="single" w:sz="4" w:space="0" w:color="auto"/>
            </w:tcBorders>
            <w:shd w:val="clear" w:color="auto" w:fill="auto"/>
            <w:vAlign w:val="center"/>
            <w:hideMark/>
          </w:tcPr>
          <w:p w14:paraId="09326A9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5%</w:t>
            </w:r>
          </w:p>
        </w:tc>
      </w:tr>
      <w:tr w:rsidR="00E8617E" w:rsidRPr="00BC513A" w14:paraId="57616AED" w14:textId="77777777" w:rsidTr="00922731">
        <w:trPr>
          <w:trHeight w:val="465"/>
        </w:trPr>
        <w:tc>
          <w:tcPr>
            <w:tcW w:w="2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72B477" w14:textId="77777777" w:rsidR="00E8617E" w:rsidRPr="00BC513A" w:rsidRDefault="00E8617E" w:rsidP="00922731">
            <w:pPr>
              <w:autoSpaceDE w:val="0"/>
              <w:autoSpaceDN w:val="0"/>
              <w:adjustRightInd w:val="0"/>
              <w:spacing w:after="0" w:line="240" w:lineRule="auto"/>
              <w:jc w:val="both"/>
              <w:rPr>
                <w:rFonts w:ascii="Arial" w:eastAsia="Times New Roman" w:hAnsi="Arial" w:cs="Arial"/>
                <w:sz w:val="20"/>
                <w:szCs w:val="20"/>
                <w:lang w:eastAsia="bg-BG"/>
              </w:rPr>
            </w:pPr>
            <w:r w:rsidRPr="00BC513A">
              <w:rPr>
                <w:rFonts w:ascii="Arial" w:hAnsi="Arial" w:cs="Arial"/>
                <w:sz w:val="20"/>
                <w:szCs w:val="20"/>
              </w:rPr>
              <w:t>Дял на инвестициите, пряко свързан с въвеждане на действащи и нововъведени стандарти на Общността</w:t>
            </w:r>
          </w:p>
        </w:tc>
        <w:tc>
          <w:tcPr>
            <w:tcW w:w="617" w:type="pct"/>
            <w:tcBorders>
              <w:top w:val="single" w:sz="4" w:space="0" w:color="auto"/>
              <w:left w:val="nil"/>
              <w:bottom w:val="single" w:sz="4" w:space="0" w:color="auto"/>
              <w:right w:val="single" w:sz="4" w:space="0" w:color="auto"/>
            </w:tcBorders>
            <w:vAlign w:val="center"/>
          </w:tcPr>
          <w:p w14:paraId="5082062E"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7340175"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10%</w:t>
            </w:r>
          </w:p>
        </w:tc>
        <w:tc>
          <w:tcPr>
            <w:tcW w:w="827" w:type="pct"/>
            <w:tcBorders>
              <w:top w:val="nil"/>
              <w:left w:val="nil"/>
              <w:bottom w:val="single" w:sz="4" w:space="0" w:color="auto"/>
              <w:right w:val="single" w:sz="4" w:space="0" w:color="auto"/>
            </w:tcBorders>
            <w:shd w:val="clear" w:color="auto" w:fill="auto"/>
            <w:vAlign w:val="center"/>
            <w:hideMark/>
          </w:tcPr>
          <w:p w14:paraId="1128AAD1"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9,4%</w:t>
            </w:r>
          </w:p>
        </w:tc>
        <w:tc>
          <w:tcPr>
            <w:tcW w:w="551" w:type="pct"/>
            <w:tcBorders>
              <w:top w:val="nil"/>
              <w:left w:val="nil"/>
              <w:bottom w:val="single" w:sz="4" w:space="0" w:color="auto"/>
              <w:right w:val="single" w:sz="4" w:space="0" w:color="auto"/>
            </w:tcBorders>
            <w:shd w:val="clear" w:color="auto" w:fill="auto"/>
            <w:vAlign w:val="center"/>
            <w:hideMark/>
          </w:tcPr>
          <w:p w14:paraId="602DC81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94%</w:t>
            </w:r>
          </w:p>
        </w:tc>
      </w:tr>
      <w:tr w:rsidR="00E8617E" w:rsidRPr="00BC513A" w14:paraId="3447662A" w14:textId="77777777" w:rsidTr="00922731">
        <w:trPr>
          <w:trHeight w:val="1065"/>
        </w:trPr>
        <w:tc>
          <w:tcPr>
            <w:tcW w:w="23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4FE0C3" w14:textId="77777777" w:rsidR="00E8617E" w:rsidRPr="00BC513A" w:rsidRDefault="00E8617E" w:rsidP="00922731">
            <w:pPr>
              <w:autoSpaceDE w:val="0"/>
              <w:autoSpaceDN w:val="0"/>
              <w:adjustRightInd w:val="0"/>
              <w:spacing w:after="0" w:line="240" w:lineRule="auto"/>
              <w:jc w:val="both"/>
              <w:rPr>
                <w:rFonts w:ascii="Arial" w:eastAsia="Times New Roman" w:hAnsi="Arial" w:cs="Arial"/>
                <w:sz w:val="20"/>
                <w:szCs w:val="20"/>
                <w:lang w:eastAsia="bg-BG"/>
              </w:rPr>
            </w:pPr>
            <w:r w:rsidRPr="00BC513A">
              <w:rPr>
                <w:rFonts w:ascii="Arial" w:hAnsi="Arial" w:cs="Arial"/>
                <w:sz w:val="20"/>
                <w:szCs w:val="20"/>
              </w:rPr>
              <w:t>Дял на инвестициите, пряко свързан с производство на енергия от възобновяеми енергийни източници и чрез преработка на растителна и животинска биомаса</w:t>
            </w:r>
          </w:p>
        </w:tc>
        <w:tc>
          <w:tcPr>
            <w:tcW w:w="617" w:type="pct"/>
            <w:tcBorders>
              <w:top w:val="single" w:sz="4" w:space="0" w:color="auto"/>
              <w:left w:val="nil"/>
              <w:bottom w:val="single" w:sz="4" w:space="0" w:color="auto"/>
              <w:right w:val="single" w:sz="4" w:space="0" w:color="auto"/>
            </w:tcBorders>
            <w:vAlign w:val="center"/>
          </w:tcPr>
          <w:p w14:paraId="466E6A70"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w:t>
            </w:r>
          </w:p>
        </w:tc>
        <w:tc>
          <w:tcPr>
            <w:tcW w:w="66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F61D1D" w14:textId="77777777" w:rsidR="00E8617E" w:rsidRPr="00BC513A" w:rsidRDefault="00E8617E" w:rsidP="00922731">
            <w:pPr>
              <w:spacing w:after="0" w:line="240" w:lineRule="auto"/>
              <w:jc w:val="center"/>
              <w:rPr>
                <w:rFonts w:ascii="Arial" w:eastAsia="Times New Roman" w:hAnsi="Arial" w:cs="Arial"/>
                <w:bCs/>
                <w:sz w:val="20"/>
                <w:szCs w:val="20"/>
                <w:lang w:eastAsia="bg-BG"/>
              </w:rPr>
            </w:pPr>
            <w:r w:rsidRPr="00BC513A">
              <w:rPr>
                <w:rFonts w:ascii="Arial" w:eastAsia="Times New Roman" w:hAnsi="Arial" w:cs="Arial"/>
                <w:bCs/>
                <w:sz w:val="20"/>
                <w:szCs w:val="20"/>
                <w:lang w:eastAsia="bg-BG"/>
              </w:rPr>
              <w:t>10%</w:t>
            </w:r>
          </w:p>
        </w:tc>
        <w:tc>
          <w:tcPr>
            <w:tcW w:w="827" w:type="pct"/>
            <w:tcBorders>
              <w:top w:val="nil"/>
              <w:left w:val="nil"/>
              <w:bottom w:val="single" w:sz="4" w:space="0" w:color="auto"/>
              <w:right w:val="single" w:sz="4" w:space="0" w:color="auto"/>
            </w:tcBorders>
            <w:shd w:val="clear" w:color="auto" w:fill="auto"/>
            <w:vAlign w:val="center"/>
            <w:hideMark/>
          </w:tcPr>
          <w:p w14:paraId="40C78D85"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1,1%</w:t>
            </w:r>
          </w:p>
        </w:tc>
        <w:tc>
          <w:tcPr>
            <w:tcW w:w="551" w:type="pct"/>
            <w:tcBorders>
              <w:top w:val="nil"/>
              <w:left w:val="nil"/>
              <w:bottom w:val="single" w:sz="4" w:space="0" w:color="auto"/>
              <w:right w:val="single" w:sz="4" w:space="0" w:color="auto"/>
            </w:tcBorders>
            <w:shd w:val="clear" w:color="auto" w:fill="auto"/>
            <w:vAlign w:val="center"/>
            <w:hideMark/>
          </w:tcPr>
          <w:p w14:paraId="428CF2B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11%</w:t>
            </w:r>
          </w:p>
        </w:tc>
      </w:tr>
    </w:tbl>
    <w:p w14:paraId="32272862" w14:textId="77777777" w:rsidR="00E8617E" w:rsidRPr="00F07F15" w:rsidRDefault="00E8617E" w:rsidP="00E8617E">
      <w:pPr>
        <w:rPr>
          <w:rFonts w:cs="Arial"/>
          <w:sz w:val="18"/>
          <w:szCs w:val="18"/>
        </w:rPr>
      </w:pPr>
      <w:r w:rsidRPr="00F07F15">
        <w:rPr>
          <w:rFonts w:ascii="Arial" w:hAnsi="Arial" w:cs="Arial"/>
          <w:sz w:val="18"/>
          <w:szCs w:val="18"/>
        </w:rPr>
        <w:t>Източник: МЗХГ *на база платени проекти</w:t>
      </w:r>
    </w:p>
    <w:p w14:paraId="23450A40" w14:textId="77777777" w:rsidR="00E8617E" w:rsidRPr="00BC513A"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Единствено по индикаторната цел за дял на инвестициите, свързани с въвеждането на нови и действащи стандарти може да се отчете високо изпълнение</w:t>
      </w:r>
      <w:r w:rsidR="006619AA">
        <w:rPr>
          <w:rFonts w:cs="Arial"/>
          <w:sz w:val="22"/>
          <w:szCs w:val="22"/>
          <w:lang w:val="bg-BG"/>
        </w:rPr>
        <w:t>,</w:t>
      </w:r>
      <w:r w:rsidRPr="00BC513A">
        <w:rPr>
          <w:rFonts w:cs="Arial"/>
          <w:sz w:val="22"/>
          <w:szCs w:val="22"/>
          <w:lang w:val="bg-BG"/>
        </w:rPr>
        <w:t xml:space="preserve"> достигащо 94% от поставеното 10% равнище. Това по-високо равнище на изпълнение по тази приоритетна област се дължи на преобладаващия дял подпомогнати микро и малки предприятия, които в по-голяма степен изпитват трудности пред внедряването на различните стандарти. В тези предприятия основно се насочва помощта за подкрепа на развитието. В същото време, големите предприятия, които в случая са предприятия с персонал над 250 души и оборот от над 50 млн.</w:t>
      </w:r>
      <w:r w:rsidR="006619AA">
        <w:rPr>
          <w:rFonts w:cs="Arial"/>
          <w:sz w:val="22"/>
          <w:szCs w:val="22"/>
          <w:lang w:val="bg-BG"/>
        </w:rPr>
        <w:t xml:space="preserve"> </w:t>
      </w:r>
      <w:r w:rsidRPr="00BC513A">
        <w:rPr>
          <w:rFonts w:cs="Arial"/>
          <w:sz w:val="22"/>
          <w:szCs w:val="22"/>
          <w:lang w:val="bg-BG"/>
        </w:rPr>
        <w:t>евро годишно</w:t>
      </w:r>
      <w:r w:rsidR="006619AA">
        <w:rPr>
          <w:rFonts w:cs="Arial"/>
          <w:sz w:val="22"/>
          <w:szCs w:val="22"/>
          <w:lang w:val="bg-BG"/>
        </w:rPr>
        <w:t>,</w:t>
      </w:r>
      <w:r w:rsidRPr="00BC513A">
        <w:rPr>
          <w:rFonts w:cs="Arial"/>
          <w:sz w:val="22"/>
          <w:szCs w:val="22"/>
          <w:lang w:val="bg-BG"/>
        </w:rPr>
        <w:t xml:space="preserve"> са едва 8 и средният размер на инвестициите в тях е около 250-300 хил. евро. В класа на големите предприятия се наблюдава същевременно най-високо съотношение на получена обща публична подкрепа и размера на направените инвестиции, като това съотношение е 1:4.</w:t>
      </w:r>
    </w:p>
    <w:p w14:paraId="2AA6FA24" w14:textId="77777777" w:rsidR="00E8617E" w:rsidRPr="00BC513A" w:rsidRDefault="00E8617E" w:rsidP="00E8617E">
      <w:pPr>
        <w:pStyle w:val="DefaultText"/>
        <w:keepNext/>
        <w:spacing w:before="240"/>
        <w:rPr>
          <w:rFonts w:cs="Arial"/>
          <w:b/>
          <w:color w:val="0070C0"/>
          <w:sz w:val="20"/>
          <w:szCs w:val="20"/>
          <w:lang w:val="bg-BG"/>
        </w:rPr>
      </w:pPr>
      <w:bookmarkStart w:id="136" w:name="_Toc504136219"/>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47</w:t>
      </w:r>
      <w:r w:rsidRPr="00BC513A">
        <w:rPr>
          <w:rFonts w:cs="Arial"/>
          <w:b/>
          <w:color w:val="0070C0"/>
          <w:sz w:val="20"/>
          <w:szCs w:val="20"/>
          <w:lang w:val="bg-BG"/>
        </w:rPr>
        <w:fldChar w:fldCharType="end"/>
      </w:r>
      <w:r w:rsidR="00047E2D">
        <w:rPr>
          <w:rFonts w:cs="Arial"/>
          <w:b/>
          <w:color w:val="0070C0"/>
          <w:sz w:val="20"/>
          <w:szCs w:val="20"/>
          <w:lang w:val="bg-BG"/>
        </w:rPr>
        <w:t>.</w:t>
      </w:r>
      <w:r w:rsidRPr="00BC513A">
        <w:rPr>
          <w:rFonts w:cs="Arial"/>
          <w:b/>
          <w:color w:val="0070C0"/>
          <w:sz w:val="20"/>
          <w:szCs w:val="20"/>
          <w:lang w:val="bg-BG"/>
        </w:rPr>
        <w:t xml:space="preserve"> Изпълнение на специфичните индикаторни цели</w:t>
      </w:r>
      <w:bookmarkEnd w:id="136"/>
    </w:p>
    <w:tbl>
      <w:tblPr>
        <w:tblW w:w="4916" w:type="pct"/>
        <w:jc w:val="center"/>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CellMar>
          <w:left w:w="70" w:type="dxa"/>
          <w:right w:w="70" w:type="dxa"/>
        </w:tblCellMar>
        <w:tblLook w:val="04A0" w:firstRow="1" w:lastRow="0" w:firstColumn="1" w:lastColumn="0" w:noHBand="0" w:noVBand="1"/>
      </w:tblPr>
      <w:tblGrid>
        <w:gridCol w:w="2215"/>
        <w:gridCol w:w="2030"/>
        <w:gridCol w:w="2268"/>
        <w:gridCol w:w="2543"/>
      </w:tblGrid>
      <w:tr w:rsidR="00E8617E" w:rsidRPr="00BC513A" w14:paraId="2FAD5D53" w14:textId="77777777" w:rsidTr="00922731">
        <w:trPr>
          <w:trHeight w:val="570"/>
          <w:jc w:val="center"/>
        </w:trPr>
        <w:tc>
          <w:tcPr>
            <w:tcW w:w="1223" w:type="pct"/>
            <w:shd w:val="clear" w:color="auto" w:fill="1F4E79" w:themeFill="accent1" w:themeFillShade="80"/>
            <w:vAlign w:val="center"/>
            <w:hideMark/>
          </w:tcPr>
          <w:p w14:paraId="62D6F61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предприятие</w:t>
            </w:r>
          </w:p>
        </w:tc>
        <w:tc>
          <w:tcPr>
            <w:tcW w:w="1121" w:type="pct"/>
            <w:shd w:val="clear" w:color="auto" w:fill="1F4E79" w:themeFill="accent1" w:themeFillShade="80"/>
            <w:vAlign w:val="center"/>
            <w:hideMark/>
          </w:tcPr>
          <w:p w14:paraId="6BABC75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Брой сключени договори</w:t>
            </w:r>
          </w:p>
        </w:tc>
        <w:tc>
          <w:tcPr>
            <w:tcW w:w="1252" w:type="pct"/>
            <w:shd w:val="clear" w:color="auto" w:fill="1F4E79" w:themeFill="accent1" w:themeFillShade="80"/>
            <w:vAlign w:val="center"/>
            <w:hideMark/>
          </w:tcPr>
          <w:p w14:paraId="380B3F8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Получена обща подкрепа, млн.евро</w:t>
            </w:r>
          </w:p>
        </w:tc>
        <w:tc>
          <w:tcPr>
            <w:tcW w:w="1404" w:type="pct"/>
            <w:shd w:val="clear" w:color="auto" w:fill="1F4E79" w:themeFill="accent1" w:themeFillShade="80"/>
            <w:vAlign w:val="center"/>
            <w:hideMark/>
          </w:tcPr>
          <w:p w14:paraId="2290FFAD"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Общ размер на инвестициите, млн.евро</w:t>
            </w:r>
          </w:p>
        </w:tc>
      </w:tr>
      <w:tr w:rsidR="00E8617E" w:rsidRPr="00BC513A" w14:paraId="363B0475" w14:textId="77777777" w:rsidTr="00922731">
        <w:trPr>
          <w:trHeight w:val="315"/>
          <w:jc w:val="center"/>
        </w:trPr>
        <w:tc>
          <w:tcPr>
            <w:tcW w:w="1223" w:type="pct"/>
            <w:shd w:val="clear" w:color="auto" w:fill="auto"/>
            <w:noWrap/>
            <w:vAlign w:val="bottom"/>
            <w:hideMark/>
          </w:tcPr>
          <w:p w14:paraId="28E20BF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Микро предприятия</w:t>
            </w:r>
          </w:p>
        </w:tc>
        <w:tc>
          <w:tcPr>
            <w:tcW w:w="1121" w:type="pct"/>
            <w:shd w:val="clear" w:color="auto" w:fill="auto"/>
            <w:noWrap/>
            <w:vAlign w:val="center"/>
            <w:hideMark/>
          </w:tcPr>
          <w:p w14:paraId="02F1381B"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200</w:t>
            </w:r>
          </w:p>
        </w:tc>
        <w:tc>
          <w:tcPr>
            <w:tcW w:w="1252" w:type="pct"/>
            <w:shd w:val="clear" w:color="auto" w:fill="auto"/>
            <w:noWrap/>
            <w:vAlign w:val="center"/>
            <w:hideMark/>
          </w:tcPr>
          <w:p w14:paraId="7B021A94"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77</w:t>
            </w:r>
          </w:p>
        </w:tc>
        <w:tc>
          <w:tcPr>
            <w:tcW w:w="1404" w:type="pct"/>
            <w:shd w:val="clear" w:color="auto" w:fill="auto"/>
            <w:noWrap/>
            <w:vAlign w:val="center"/>
            <w:hideMark/>
          </w:tcPr>
          <w:p w14:paraId="1AC29782"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162</w:t>
            </w:r>
          </w:p>
        </w:tc>
      </w:tr>
      <w:tr w:rsidR="00E8617E" w:rsidRPr="00BC513A" w14:paraId="6D85D531" w14:textId="77777777" w:rsidTr="00922731">
        <w:trPr>
          <w:trHeight w:val="315"/>
          <w:jc w:val="center"/>
        </w:trPr>
        <w:tc>
          <w:tcPr>
            <w:tcW w:w="1223" w:type="pct"/>
            <w:shd w:val="clear" w:color="auto" w:fill="auto"/>
            <w:noWrap/>
            <w:vAlign w:val="bottom"/>
            <w:hideMark/>
          </w:tcPr>
          <w:p w14:paraId="1126D91E"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Малки предприятия</w:t>
            </w:r>
          </w:p>
        </w:tc>
        <w:tc>
          <w:tcPr>
            <w:tcW w:w="1121" w:type="pct"/>
            <w:shd w:val="clear" w:color="auto" w:fill="auto"/>
            <w:noWrap/>
            <w:vAlign w:val="center"/>
            <w:hideMark/>
          </w:tcPr>
          <w:p w14:paraId="1A641ADC"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128</w:t>
            </w:r>
          </w:p>
        </w:tc>
        <w:tc>
          <w:tcPr>
            <w:tcW w:w="1252" w:type="pct"/>
            <w:shd w:val="clear" w:color="auto" w:fill="auto"/>
            <w:noWrap/>
            <w:vAlign w:val="center"/>
            <w:hideMark/>
          </w:tcPr>
          <w:p w14:paraId="0D671DED"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52</w:t>
            </w:r>
          </w:p>
        </w:tc>
        <w:tc>
          <w:tcPr>
            <w:tcW w:w="1404" w:type="pct"/>
            <w:shd w:val="clear" w:color="auto" w:fill="auto"/>
            <w:noWrap/>
            <w:vAlign w:val="center"/>
            <w:hideMark/>
          </w:tcPr>
          <w:p w14:paraId="47F3C2D2"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106</w:t>
            </w:r>
          </w:p>
        </w:tc>
      </w:tr>
      <w:tr w:rsidR="00E8617E" w:rsidRPr="00BC513A" w14:paraId="5F321B70" w14:textId="77777777" w:rsidTr="00922731">
        <w:trPr>
          <w:trHeight w:val="315"/>
          <w:jc w:val="center"/>
        </w:trPr>
        <w:tc>
          <w:tcPr>
            <w:tcW w:w="1223" w:type="pct"/>
            <w:shd w:val="clear" w:color="auto" w:fill="auto"/>
            <w:noWrap/>
            <w:vAlign w:val="bottom"/>
            <w:hideMark/>
          </w:tcPr>
          <w:p w14:paraId="4250B003"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Средни</w:t>
            </w:r>
          </w:p>
        </w:tc>
        <w:tc>
          <w:tcPr>
            <w:tcW w:w="1121" w:type="pct"/>
            <w:shd w:val="clear" w:color="auto" w:fill="auto"/>
            <w:noWrap/>
            <w:vAlign w:val="center"/>
            <w:hideMark/>
          </w:tcPr>
          <w:p w14:paraId="2C7D3CA1"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119</w:t>
            </w:r>
          </w:p>
        </w:tc>
        <w:tc>
          <w:tcPr>
            <w:tcW w:w="1252" w:type="pct"/>
            <w:shd w:val="clear" w:color="auto" w:fill="auto"/>
            <w:noWrap/>
            <w:vAlign w:val="center"/>
            <w:hideMark/>
          </w:tcPr>
          <w:p w14:paraId="5B8BC8A6"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79</w:t>
            </w:r>
          </w:p>
        </w:tc>
        <w:tc>
          <w:tcPr>
            <w:tcW w:w="1404" w:type="pct"/>
            <w:shd w:val="clear" w:color="auto" w:fill="auto"/>
            <w:noWrap/>
            <w:vAlign w:val="center"/>
            <w:hideMark/>
          </w:tcPr>
          <w:p w14:paraId="1C9D722E"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158</w:t>
            </w:r>
          </w:p>
        </w:tc>
      </w:tr>
      <w:tr w:rsidR="00E8617E" w:rsidRPr="00BC513A" w14:paraId="33814EEA" w14:textId="77777777" w:rsidTr="00922731">
        <w:trPr>
          <w:trHeight w:val="315"/>
          <w:jc w:val="center"/>
        </w:trPr>
        <w:tc>
          <w:tcPr>
            <w:tcW w:w="1223" w:type="pct"/>
            <w:shd w:val="clear" w:color="auto" w:fill="auto"/>
            <w:noWrap/>
            <w:vAlign w:val="bottom"/>
            <w:hideMark/>
          </w:tcPr>
          <w:p w14:paraId="2053718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Големи</w:t>
            </w:r>
          </w:p>
        </w:tc>
        <w:tc>
          <w:tcPr>
            <w:tcW w:w="1121" w:type="pct"/>
            <w:shd w:val="clear" w:color="auto" w:fill="auto"/>
            <w:noWrap/>
            <w:vAlign w:val="center"/>
            <w:hideMark/>
          </w:tcPr>
          <w:p w14:paraId="3C3719B7"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8</w:t>
            </w:r>
          </w:p>
        </w:tc>
        <w:tc>
          <w:tcPr>
            <w:tcW w:w="1252" w:type="pct"/>
            <w:shd w:val="clear" w:color="auto" w:fill="auto"/>
            <w:noWrap/>
            <w:vAlign w:val="center"/>
            <w:hideMark/>
          </w:tcPr>
          <w:p w14:paraId="28E25ADF"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2</w:t>
            </w:r>
          </w:p>
        </w:tc>
        <w:tc>
          <w:tcPr>
            <w:tcW w:w="1404" w:type="pct"/>
            <w:shd w:val="clear" w:color="auto" w:fill="auto"/>
            <w:noWrap/>
            <w:vAlign w:val="center"/>
            <w:hideMark/>
          </w:tcPr>
          <w:p w14:paraId="0EC4EB3D" w14:textId="77777777" w:rsidR="00E8617E" w:rsidRPr="00BC513A" w:rsidRDefault="00E8617E" w:rsidP="00922731">
            <w:pPr>
              <w:spacing w:after="0" w:line="240" w:lineRule="auto"/>
              <w:jc w:val="center"/>
              <w:rPr>
                <w:rFonts w:ascii="Arial" w:hAnsi="Arial" w:cs="Arial"/>
                <w:color w:val="000000"/>
                <w:sz w:val="20"/>
                <w:szCs w:val="20"/>
              </w:rPr>
            </w:pPr>
            <w:r w:rsidRPr="00BC513A">
              <w:rPr>
                <w:rFonts w:ascii="Arial" w:hAnsi="Arial" w:cs="Arial"/>
                <w:color w:val="000000"/>
                <w:sz w:val="20"/>
                <w:szCs w:val="20"/>
              </w:rPr>
              <w:t>8</w:t>
            </w:r>
          </w:p>
        </w:tc>
      </w:tr>
      <w:tr w:rsidR="00E8617E" w:rsidRPr="00BC513A" w14:paraId="1AC463E5" w14:textId="77777777" w:rsidTr="00922731">
        <w:trPr>
          <w:trHeight w:val="300"/>
          <w:jc w:val="center"/>
        </w:trPr>
        <w:tc>
          <w:tcPr>
            <w:tcW w:w="1223" w:type="pct"/>
            <w:shd w:val="clear" w:color="auto" w:fill="DEEAF6" w:themeFill="accent1" w:themeFillTint="33"/>
            <w:noWrap/>
            <w:vAlign w:val="bottom"/>
            <w:hideMark/>
          </w:tcPr>
          <w:p w14:paraId="02BD32FD"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Общо</w:t>
            </w:r>
          </w:p>
        </w:tc>
        <w:tc>
          <w:tcPr>
            <w:tcW w:w="1121" w:type="pct"/>
            <w:shd w:val="clear" w:color="auto" w:fill="DEEAF6" w:themeFill="accent1" w:themeFillTint="33"/>
            <w:noWrap/>
            <w:vAlign w:val="center"/>
            <w:hideMark/>
          </w:tcPr>
          <w:p w14:paraId="2F59CE6E" w14:textId="77777777" w:rsidR="00E8617E" w:rsidRPr="00BC513A" w:rsidRDefault="00E8617E" w:rsidP="00922731">
            <w:pPr>
              <w:spacing w:after="0" w:line="240" w:lineRule="auto"/>
              <w:jc w:val="center"/>
              <w:rPr>
                <w:rFonts w:ascii="Arial" w:hAnsi="Arial" w:cs="Arial"/>
                <w:b/>
                <w:bCs/>
                <w:color w:val="000000"/>
                <w:sz w:val="20"/>
                <w:szCs w:val="20"/>
              </w:rPr>
            </w:pPr>
            <w:r w:rsidRPr="00BC513A">
              <w:rPr>
                <w:rFonts w:ascii="Arial" w:hAnsi="Arial" w:cs="Arial"/>
                <w:b/>
                <w:bCs/>
                <w:color w:val="000000"/>
                <w:sz w:val="20"/>
                <w:szCs w:val="20"/>
              </w:rPr>
              <w:t>455</w:t>
            </w:r>
          </w:p>
        </w:tc>
        <w:tc>
          <w:tcPr>
            <w:tcW w:w="1252" w:type="pct"/>
            <w:shd w:val="clear" w:color="auto" w:fill="DEEAF6" w:themeFill="accent1" w:themeFillTint="33"/>
            <w:noWrap/>
            <w:vAlign w:val="center"/>
            <w:hideMark/>
          </w:tcPr>
          <w:p w14:paraId="2351267C" w14:textId="77777777" w:rsidR="00E8617E" w:rsidRPr="00BC513A" w:rsidRDefault="00E8617E" w:rsidP="00922731">
            <w:pPr>
              <w:spacing w:after="0" w:line="240" w:lineRule="auto"/>
              <w:jc w:val="center"/>
              <w:rPr>
                <w:rFonts w:ascii="Arial" w:hAnsi="Arial" w:cs="Arial"/>
                <w:b/>
                <w:bCs/>
                <w:color w:val="000000"/>
                <w:sz w:val="20"/>
                <w:szCs w:val="20"/>
              </w:rPr>
            </w:pPr>
            <w:r w:rsidRPr="00BC513A">
              <w:rPr>
                <w:rFonts w:ascii="Arial" w:hAnsi="Arial" w:cs="Arial"/>
                <w:b/>
                <w:bCs/>
                <w:color w:val="000000"/>
                <w:sz w:val="20"/>
                <w:szCs w:val="20"/>
              </w:rPr>
              <w:t>210</w:t>
            </w:r>
          </w:p>
        </w:tc>
        <w:tc>
          <w:tcPr>
            <w:tcW w:w="1404" w:type="pct"/>
            <w:shd w:val="clear" w:color="auto" w:fill="DEEAF6" w:themeFill="accent1" w:themeFillTint="33"/>
            <w:noWrap/>
            <w:vAlign w:val="center"/>
            <w:hideMark/>
          </w:tcPr>
          <w:p w14:paraId="7B3E2954" w14:textId="77777777" w:rsidR="00E8617E" w:rsidRPr="00BC513A" w:rsidRDefault="00E8617E" w:rsidP="00922731">
            <w:pPr>
              <w:spacing w:after="0" w:line="240" w:lineRule="auto"/>
              <w:jc w:val="center"/>
              <w:rPr>
                <w:rFonts w:ascii="Arial" w:hAnsi="Arial" w:cs="Arial"/>
                <w:b/>
                <w:color w:val="000000"/>
                <w:sz w:val="20"/>
                <w:szCs w:val="20"/>
              </w:rPr>
            </w:pPr>
            <w:r w:rsidRPr="00BC513A">
              <w:rPr>
                <w:rFonts w:ascii="Arial" w:hAnsi="Arial" w:cs="Arial"/>
                <w:b/>
                <w:color w:val="000000"/>
                <w:sz w:val="20"/>
                <w:szCs w:val="20"/>
              </w:rPr>
              <w:t>434</w:t>
            </w:r>
          </w:p>
        </w:tc>
      </w:tr>
    </w:tbl>
    <w:p w14:paraId="7B38FCB6" w14:textId="77777777" w:rsidR="00E8617E" w:rsidRPr="00F07F15" w:rsidRDefault="00E8617E" w:rsidP="00E8617E">
      <w:pPr>
        <w:rPr>
          <w:rFonts w:ascii="Arial" w:hAnsi="Arial" w:cs="Arial"/>
          <w:sz w:val="18"/>
          <w:szCs w:val="18"/>
        </w:rPr>
      </w:pPr>
      <w:r w:rsidRPr="00F07F15">
        <w:rPr>
          <w:rFonts w:ascii="Arial" w:hAnsi="Arial" w:cs="Arial"/>
          <w:sz w:val="18"/>
          <w:szCs w:val="18"/>
        </w:rPr>
        <w:t>Източник: МЗХГ</w:t>
      </w:r>
    </w:p>
    <w:p w14:paraId="5443DEFB" w14:textId="77777777" w:rsidR="00E8617E" w:rsidRPr="00BC513A"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Мярка 123 има съществен принос по отношение на създадените и въведени нови продукти, технологии и процеси. Общо са направени 457</w:t>
      </w:r>
      <w:r w:rsidRPr="00BC513A">
        <w:rPr>
          <w:rStyle w:val="FootnoteReference"/>
          <w:rFonts w:cs="Arial"/>
          <w:sz w:val="22"/>
          <w:szCs w:val="22"/>
          <w:lang w:val="bg-BG"/>
        </w:rPr>
        <w:footnoteReference w:id="26"/>
      </w:r>
      <w:r w:rsidRPr="00BC513A">
        <w:rPr>
          <w:rFonts w:cs="Arial"/>
          <w:sz w:val="22"/>
          <w:szCs w:val="22"/>
          <w:lang w:val="bg-BG"/>
        </w:rPr>
        <w:t xml:space="preserve"> нововъведения, на фона на 455 одобрени проекта, което е спомогнало за обновяването, модернизирането, разширяването на технологиите и производствените мощности в подкрепените предприятия. С оглед на широката дефиниция на понятието "иновации", може да се каже, че тези нововъведения са своеобразна иновация за подкрепените предприятия. Ръстът</w:t>
      </w:r>
      <w:r w:rsidR="006619AA">
        <w:rPr>
          <w:rFonts w:cs="Arial"/>
          <w:sz w:val="22"/>
          <w:szCs w:val="22"/>
          <w:lang w:val="bg-BG"/>
        </w:rPr>
        <w:t>,</w:t>
      </w:r>
      <w:r w:rsidRPr="00BC513A">
        <w:rPr>
          <w:rFonts w:cs="Arial"/>
          <w:sz w:val="22"/>
          <w:szCs w:val="22"/>
          <w:lang w:val="bg-BG"/>
        </w:rPr>
        <w:t xml:space="preserve"> отбелязан в програмния период в ХВП, с изключение на винопроизводството, се дължи именно на разширяване на производството, като преобладаващата част от подкрепените предприятия са успели да разширят своето производство и оттам да увеличат заетостта.</w:t>
      </w:r>
    </w:p>
    <w:p w14:paraId="4ACE2F9B" w14:textId="77777777" w:rsidR="00E8617E" w:rsidRPr="00BC513A" w:rsidRDefault="00E8617E" w:rsidP="00E8617E">
      <w:pPr>
        <w:pStyle w:val="DefaultText"/>
        <w:spacing w:before="120" w:line="300" w:lineRule="atLeast"/>
        <w:ind w:firstLine="709"/>
        <w:rPr>
          <w:rFonts w:cs="Arial"/>
          <w:sz w:val="22"/>
          <w:szCs w:val="22"/>
          <w:lang w:val="bg-BG"/>
        </w:rPr>
      </w:pPr>
      <w:r w:rsidRPr="00BC513A">
        <w:rPr>
          <w:rFonts w:cs="Arial"/>
          <w:sz w:val="22"/>
          <w:szCs w:val="22"/>
          <w:lang w:val="bg-BG"/>
        </w:rPr>
        <w:t xml:space="preserve">Може да се каже, че голяма част от големите предприятия в ХВП показват и без да са бенефициенти по </w:t>
      </w:r>
      <w:r w:rsidR="000F57E9">
        <w:rPr>
          <w:rFonts w:cs="Arial"/>
          <w:sz w:val="22"/>
          <w:szCs w:val="22"/>
          <w:lang w:val="bg-BG"/>
        </w:rPr>
        <w:t>п</w:t>
      </w:r>
      <w:r w:rsidRPr="00BC513A">
        <w:rPr>
          <w:rFonts w:cs="Arial"/>
          <w:sz w:val="22"/>
          <w:szCs w:val="22"/>
          <w:lang w:val="bg-BG"/>
        </w:rPr>
        <w:t>рограмата много добри показатели на развитие през този програмен период. Основно помощта е била важна и определяща за средните и малки предприятия, които са останали на пазара и са получили тласък да се развиват благодарение на получената подкрепа. В резултат на подкрепата вероятно са създадени и нови работни места, основно в подкрепените микро и малките предприятия. Този вторичен ефект, обаче не е мерен.</w:t>
      </w:r>
    </w:p>
    <w:p w14:paraId="630520C7"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141. Подпомагане на полупазарни стопанства в процес на преструктуриране</w:t>
      </w:r>
    </w:p>
    <w:p w14:paraId="56C75978" w14:textId="77777777" w:rsidR="00E8617E" w:rsidRPr="00BC513A" w:rsidRDefault="00E8617E" w:rsidP="00E8617E">
      <w:pPr>
        <w:pStyle w:val="DefaultText"/>
        <w:spacing w:before="120" w:after="120" w:line="300" w:lineRule="atLeast"/>
        <w:ind w:firstLine="709"/>
        <w:rPr>
          <w:rFonts w:cs="Arial"/>
          <w:sz w:val="22"/>
          <w:szCs w:val="22"/>
          <w:lang w:val="bg-BG"/>
        </w:rPr>
      </w:pPr>
      <w:r w:rsidRPr="00BC513A">
        <w:rPr>
          <w:rFonts w:cs="Arial"/>
          <w:sz w:val="22"/>
          <w:szCs w:val="22"/>
          <w:lang w:val="bg-BG"/>
        </w:rPr>
        <w:t>Няма наблюдавани други въздействия</w:t>
      </w:r>
    </w:p>
    <w:p w14:paraId="38C02F01"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142. Създаване на организации на производители</w:t>
      </w:r>
    </w:p>
    <w:p w14:paraId="3FD80E1C" w14:textId="77777777" w:rsidR="00E8617E" w:rsidRPr="00BC513A" w:rsidRDefault="00E8617E" w:rsidP="00E8617E">
      <w:pPr>
        <w:pStyle w:val="DefaultText"/>
        <w:spacing w:before="120" w:after="120" w:line="300" w:lineRule="atLeast"/>
        <w:ind w:firstLine="709"/>
        <w:rPr>
          <w:rFonts w:cs="Arial"/>
          <w:sz w:val="22"/>
          <w:szCs w:val="22"/>
          <w:lang w:val="bg-BG"/>
        </w:rPr>
      </w:pPr>
      <w:r w:rsidRPr="00BC513A">
        <w:rPr>
          <w:rFonts w:cs="Arial"/>
          <w:sz w:val="22"/>
          <w:szCs w:val="22"/>
          <w:lang w:val="bg-BG"/>
        </w:rPr>
        <w:t>Няма наблюдавани други въздействия</w:t>
      </w:r>
    </w:p>
    <w:p w14:paraId="5EA20C5B"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143.Предоставяне на съвети и консултиране в земеделието в България и Румъния</w:t>
      </w:r>
    </w:p>
    <w:p w14:paraId="09C0E424"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 xml:space="preserve">Мярка 143 има косвен принос към създаване на брутна добавена стойност на ГРЕ. Заложената цел по мярката е да се повиши добавената стойност в подпомогнатите стопанства чрез комплексни консултантски услуги, което да повиши възвращаемостта на труда в тях с формирането на новообразувана добавена стойност в размер на 225 евро/ГРЕ. Основната част от мярката е насочена към подкрепа на кандидати в мерки 112, 141 и 214. </w:t>
      </w:r>
    </w:p>
    <w:p w14:paraId="47FCEDD4" w14:textId="77777777" w:rsidR="00E8617E" w:rsidRDefault="00E8617E" w:rsidP="00E8617E">
      <w:pPr>
        <w:pStyle w:val="DefaultText"/>
        <w:spacing w:before="120" w:line="300" w:lineRule="atLeast"/>
        <w:ind w:firstLine="709"/>
        <w:rPr>
          <w:sz w:val="22"/>
          <w:szCs w:val="22"/>
          <w:lang w:val="bg-BG"/>
        </w:rPr>
      </w:pPr>
      <w:r w:rsidRPr="00BC513A">
        <w:rPr>
          <w:sz w:val="22"/>
          <w:szCs w:val="22"/>
          <w:lang w:val="bg-BG"/>
        </w:rPr>
        <w:t xml:space="preserve">Оценката на изпълнение на индикатора е направена на база постигнатата претеглена възвращаемост на вложения труд по мерките 112 и 141. И по двете мерки се отчита голямо увеличение на новосъздадената добавена стойност във всички подкрепени стопанства по мерки 112 и 114. Средното изпълнение на нетната добавена стойност на годишна работна единица възлиза на 1 827 евро. Това представлява постигнато равнище от 812%. По цялата ос 1 се измерва значително преизпълнение на този индикатор, следящ за постигнатото в производителността на труда. </w:t>
      </w:r>
    </w:p>
    <w:p w14:paraId="2BFE2549" w14:textId="77777777" w:rsidR="00535876" w:rsidRPr="00BC513A" w:rsidRDefault="00535876" w:rsidP="00E8617E">
      <w:pPr>
        <w:pStyle w:val="DefaultText"/>
        <w:spacing w:before="120" w:line="300" w:lineRule="atLeast"/>
        <w:ind w:firstLine="709"/>
        <w:rPr>
          <w:sz w:val="22"/>
          <w:szCs w:val="22"/>
          <w:lang w:val="bg-BG"/>
        </w:rPr>
      </w:pPr>
    </w:p>
    <w:p w14:paraId="4D3CB30F" w14:textId="77777777" w:rsidR="00E8617E" w:rsidRPr="00BC513A" w:rsidRDefault="00E8617E" w:rsidP="00E8617E">
      <w:pPr>
        <w:pStyle w:val="DefaultText"/>
        <w:keepNext/>
        <w:spacing w:before="240"/>
        <w:rPr>
          <w:rFonts w:cs="Arial"/>
          <w:b/>
          <w:color w:val="0070C0"/>
          <w:sz w:val="20"/>
          <w:szCs w:val="20"/>
          <w:lang w:val="bg-BG"/>
        </w:rPr>
      </w:pPr>
      <w:bookmarkStart w:id="137" w:name="_Toc504136220"/>
      <w:r w:rsidRPr="00BC513A">
        <w:rPr>
          <w:rFonts w:cs="Arial"/>
          <w:b/>
          <w:color w:val="0070C0"/>
          <w:sz w:val="20"/>
          <w:szCs w:val="20"/>
          <w:lang w:val="bg-BG"/>
        </w:rPr>
        <w:t xml:space="preserve">Таблица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Таблица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48</w:t>
      </w:r>
      <w:r w:rsidRPr="00BC513A">
        <w:rPr>
          <w:rFonts w:cs="Arial"/>
          <w:b/>
          <w:color w:val="0070C0"/>
          <w:sz w:val="20"/>
          <w:szCs w:val="20"/>
          <w:lang w:val="bg-BG"/>
        </w:rPr>
        <w:fldChar w:fldCharType="end"/>
      </w:r>
      <w:r w:rsidR="00047E2D">
        <w:rPr>
          <w:rFonts w:cs="Arial"/>
          <w:b/>
          <w:color w:val="0070C0"/>
          <w:sz w:val="20"/>
          <w:szCs w:val="20"/>
          <w:lang w:val="bg-BG"/>
        </w:rPr>
        <w:t>.</w:t>
      </w:r>
      <w:r w:rsidRPr="00BC513A">
        <w:rPr>
          <w:rFonts w:cs="Arial"/>
          <w:b/>
          <w:color w:val="0070C0"/>
          <w:sz w:val="20"/>
          <w:szCs w:val="20"/>
          <w:lang w:val="bg-BG"/>
        </w:rPr>
        <w:t xml:space="preserve"> Изпълнение на индикаторите за въздействие по мярка 143</w:t>
      </w:r>
      <w:bookmarkEnd w:id="137"/>
    </w:p>
    <w:tbl>
      <w:tblPr>
        <w:tblW w:w="4925" w:type="pct"/>
        <w:tblInd w:w="70" w:type="dxa"/>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CellMar>
          <w:left w:w="70" w:type="dxa"/>
          <w:right w:w="70" w:type="dxa"/>
        </w:tblCellMar>
        <w:tblLook w:val="04A0" w:firstRow="1" w:lastRow="0" w:firstColumn="1" w:lastColumn="0" w:noHBand="0" w:noVBand="1"/>
      </w:tblPr>
      <w:tblGrid>
        <w:gridCol w:w="1560"/>
        <w:gridCol w:w="3259"/>
        <w:gridCol w:w="1276"/>
        <w:gridCol w:w="1417"/>
        <w:gridCol w:w="1561"/>
      </w:tblGrid>
      <w:tr w:rsidR="00E8617E" w:rsidRPr="00BC513A" w14:paraId="4FB9E2BF" w14:textId="77777777" w:rsidTr="00922731">
        <w:trPr>
          <w:trHeight w:val="686"/>
        </w:trPr>
        <w:tc>
          <w:tcPr>
            <w:tcW w:w="860" w:type="pct"/>
            <w:shd w:val="clear" w:color="auto" w:fill="1F4E79" w:themeFill="accent1" w:themeFillShade="80"/>
            <w:noWrap/>
            <w:vAlign w:val="center"/>
            <w:hideMark/>
          </w:tcPr>
          <w:p w14:paraId="2CAE268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Вид индикатор</w:t>
            </w:r>
          </w:p>
        </w:tc>
        <w:tc>
          <w:tcPr>
            <w:tcW w:w="1796" w:type="pct"/>
            <w:shd w:val="clear" w:color="auto" w:fill="1F4E79" w:themeFill="accent1" w:themeFillShade="80"/>
            <w:vAlign w:val="center"/>
            <w:hideMark/>
          </w:tcPr>
          <w:p w14:paraId="30081DD2"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703" w:type="pct"/>
            <w:shd w:val="clear" w:color="auto" w:fill="1F4E79" w:themeFill="accent1" w:themeFillShade="80"/>
            <w:noWrap/>
            <w:vAlign w:val="center"/>
            <w:hideMark/>
          </w:tcPr>
          <w:p w14:paraId="426CDDE7"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81" w:type="pct"/>
            <w:shd w:val="clear" w:color="auto" w:fill="1F4E79" w:themeFill="accent1" w:themeFillShade="80"/>
            <w:vAlign w:val="center"/>
            <w:hideMark/>
          </w:tcPr>
          <w:p w14:paraId="6589ADE0"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860" w:type="pct"/>
            <w:shd w:val="clear" w:color="auto" w:fill="1F4E79" w:themeFill="accent1" w:themeFillShade="80"/>
            <w:vAlign w:val="center"/>
          </w:tcPr>
          <w:p w14:paraId="6DE044BC" w14:textId="77777777" w:rsidR="00E8617E" w:rsidRPr="00BC513A" w:rsidRDefault="00E8617E" w:rsidP="00922731">
            <w:pPr>
              <w:spacing w:after="0"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 на изпълнение</w:t>
            </w:r>
          </w:p>
        </w:tc>
      </w:tr>
      <w:tr w:rsidR="00E8617E" w:rsidRPr="00BC513A" w14:paraId="52BC7C07" w14:textId="77777777" w:rsidTr="00922731">
        <w:trPr>
          <w:trHeight w:val="698"/>
        </w:trPr>
        <w:tc>
          <w:tcPr>
            <w:tcW w:w="860" w:type="pct"/>
            <w:shd w:val="clear" w:color="auto" w:fill="auto"/>
            <w:vAlign w:val="center"/>
            <w:hideMark/>
          </w:tcPr>
          <w:p w14:paraId="293C9C5E" w14:textId="77777777" w:rsidR="00E8617E" w:rsidRPr="00BC513A" w:rsidRDefault="00E8617E" w:rsidP="00922731">
            <w:pPr>
              <w:spacing w:after="0" w:line="240" w:lineRule="auto"/>
              <w:jc w:val="center"/>
              <w:rPr>
                <w:rFonts w:ascii="Arial" w:eastAsia="Times New Roman" w:hAnsi="Arial" w:cs="Arial"/>
                <w:b/>
                <w:bCs/>
                <w:sz w:val="20"/>
                <w:szCs w:val="20"/>
                <w:lang w:eastAsia="bg-BG"/>
              </w:rPr>
            </w:pPr>
            <w:r w:rsidRPr="00BC513A">
              <w:rPr>
                <w:rFonts w:ascii="Arial" w:eastAsia="Times New Roman" w:hAnsi="Arial" w:cs="Arial"/>
                <w:b/>
                <w:bCs/>
                <w:sz w:val="20"/>
                <w:szCs w:val="20"/>
                <w:lang w:eastAsia="bg-BG"/>
              </w:rPr>
              <w:t>Въздействие</w:t>
            </w:r>
          </w:p>
        </w:tc>
        <w:tc>
          <w:tcPr>
            <w:tcW w:w="1796" w:type="pct"/>
            <w:shd w:val="clear" w:color="auto" w:fill="auto"/>
            <w:vAlign w:val="center"/>
            <w:hideMark/>
          </w:tcPr>
          <w:p w14:paraId="154799F8"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Производителност на труда (</w:t>
            </w:r>
            <w:r w:rsidRPr="00BC513A">
              <w:rPr>
                <w:rFonts w:ascii="Arial" w:hAnsi="Arial" w:cs="Arial"/>
                <w:sz w:val="20"/>
                <w:szCs w:val="20"/>
              </w:rPr>
              <w:t>∆БДС/ГРЕ в евро)</w:t>
            </w:r>
          </w:p>
        </w:tc>
        <w:tc>
          <w:tcPr>
            <w:tcW w:w="703" w:type="pct"/>
            <w:shd w:val="clear" w:color="auto" w:fill="auto"/>
            <w:noWrap/>
            <w:vAlign w:val="center"/>
            <w:hideMark/>
          </w:tcPr>
          <w:p w14:paraId="76EA6E12"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225</w:t>
            </w:r>
          </w:p>
        </w:tc>
        <w:tc>
          <w:tcPr>
            <w:tcW w:w="781" w:type="pct"/>
            <w:shd w:val="clear" w:color="auto" w:fill="auto"/>
            <w:vAlign w:val="center"/>
            <w:hideMark/>
          </w:tcPr>
          <w:p w14:paraId="1A8DA479"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1 827</w:t>
            </w:r>
          </w:p>
        </w:tc>
        <w:tc>
          <w:tcPr>
            <w:tcW w:w="860" w:type="pct"/>
            <w:shd w:val="clear" w:color="auto" w:fill="auto"/>
            <w:vAlign w:val="center"/>
            <w:hideMark/>
          </w:tcPr>
          <w:p w14:paraId="46EB7A37" w14:textId="77777777" w:rsidR="00E8617E" w:rsidRPr="00BC513A" w:rsidRDefault="00E8617E" w:rsidP="00922731">
            <w:pPr>
              <w:spacing w:after="0"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812%</w:t>
            </w:r>
          </w:p>
        </w:tc>
      </w:tr>
    </w:tbl>
    <w:p w14:paraId="23EEEF89" w14:textId="77777777" w:rsidR="00E8617E" w:rsidRPr="00F07F15" w:rsidRDefault="00E8617E" w:rsidP="00E8617E">
      <w:pPr>
        <w:pStyle w:val="DefaultText"/>
        <w:rPr>
          <w:b/>
          <w:szCs w:val="18"/>
          <w:lang w:val="bg-BG"/>
        </w:rPr>
      </w:pPr>
      <w:r w:rsidRPr="00F07F15">
        <w:rPr>
          <w:rFonts w:cs="Arial"/>
          <w:szCs w:val="18"/>
          <w:lang w:val="bg-BG"/>
        </w:rPr>
        <w:t>Източник: МЗХГ и собствени изчисления</w:t>
      </w:r>
    </w:p>
    <w:p w14:paraId="20683031" w14:textId="08D5E342"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Мярката, макар и косвено</w:t>
      </w:r>
      <w:r w:rsidR="006619AA">
        <w:rPr>
          <w:sz w:val="22"/>
          <w:szCs w:val="22"/>
          <w:lang w:val="bg-BG"/>
        </w:rPr>
        <w:t>,</w:t>
      </w:r>
      <w:r w:rsidRPr="00BC513A">
        <w:rPr>
          <w:sz w:val="22"/>
          <w:szCs w:val="22"/>
          <w:lang w:val="bg-BG"/>
        </w:rPr>
        <w:t xml:space="preserve"> успява в много висока степен да подобри възвращаемостта на труда в подпомогнатите стопанства, като осигуряване достъп на подпомогнатите стопанства до грантово финансиране по </w:t>
      </w:r>
      <w:r w:rsidR="000F57E9">
        <w:rPr>
          <w:sz w:val="22"/>
          <w:szCs w:val="22"/>
          <w:lang w:val="bg-BG"/>
        </w:rPr>
        <w:t>п</w:t>
      </w:r>
      <w:r w:rsidRPr="00BC513A">
        <w:rPr>
          <w:sz w:val="22"/>
          <w:szCs w:val="22"/>
          <w:lang w:val="bg-BG"/>
        </w:rPr>
        <w:t>рограмата се оказва решаващо за подобряване както ефективността на тези стопанства, така и за повишаване на тяхната конкурентоспособност.</w:t>
      </w:r>
    </w:p>
    <w:p w14:paraId="580D7DF9" w14:textId="77777777" w:rsidR="00E8617E" w:rsidRPr="00BC513A" w:rsidRDefault="00E8617E" w:rsidP="00E8617E">
      <w:pPr>
        <w:pStyle w:val="DefaultText"/>
        <w:ind w:firstLine="709"/>
        <w:rPr>
          <w:b/>
          <w:szCs w:val="22"/>
          <w:lang w:val="bg-BG"/>
        </w:rPr>
      </w:pPr>
    </w:p>
    <w:p w14:paraId="18A69FD0" w14:textId="77777777" w:rsidR="00E8617E" w:rsidRPr="00BC513A" w:rsidRDefault="00E8617E" w:rsidP="00E8617E">
      <w:pPr>
        <w:pStyle w:val="DefaultText"/>
        <w:rPr>
          <w:lang w:val="bg-BG"/>
        </w:rPr>
      </w:pPr>
    </w:p>
    <w:tbl>
      <w:tblPr>
        <w:tblW w:w="0" w:type="auto"/>
        <w:tblInd w:w="-5" w:type="dxa"/>
        <w:tblLook w:val="04A0" w:firstRow="1" w:lastRow="0" w:firstColumn="1" w:lastColumn="0" w:noHBand="0" w:noVBand="1"/>
      </w:tblPr>
      <w:tblGrid>
        <w:gridCol w:w="9060"/>
      </w:tblGrid>
      <w:tr w:rsidR="00E8617E" w:rsidRPr="00BC513A" w14:paraId="7D006348" w14:textId="77777777" w:rsidTr="00922731">
        <w:tc>
          <w:tcPr>
            <w:tcW w:w="9060" w:type="dxa"/>
            <w:shd w:val="clear" w:color="auto" w:fill="ECF3FA"/>
          </w:tcPr>
          <w:p w14:paraId="4B4DA6AF" w14:textId="16A7BA49" w:rsidR="00E8617E" w:rsidRPr="00BC513A" w:rsidRDefault="00E8617E" w:rsidP="003A0F89">
            <w:pPr>
              <w:pStyle w:val="Heading3"/>
              <w:numPr>
                <w:ilvl w:val="0"/>
                <w:numId w:val="0"/>
              </w:numPr>
              <w:tabs>
                <w:tab w:val="left" w:pos="709"/>
              </w:tabs>
              <w:spacing w:before="0" w:after="0"/>
              <w:ind w:left="709" w:hanging="812"/>
            </w:pPr>
            <w:bookmarkStart w:id="138" w:name="_Toc504136156"/>
            <w:r w:rsidRPr="00BC513A">
              <w:t>О</w:t>
            </w:r>
            <w:r w:rsidR="003A0F89">
              <w:t>с</w:t>
            </w:r>
            <w:r w:rsidRPr="00BC513A">
              <w:t xml:space="preserve"> 2: Подобряване на околната среда и природата</w:t>
            </w:r>
            <w:bookmarkEnd w:id="138"/>
            <w:r w:rsidRPr="00BC513A">
              <w:t xml:space="preserve"> </w:t>
            </w:r>
          </w:p>
        </w:tc>
      </w:tr>
    </w:tbl>
    <w:p w14:paraId="12EDCDF3" w14:textId="77777777" w:rsidR="00E8617E" w:rsidRPr="00BC513A" w:rsidRDefault="00E8617E" w:rsidP="00E8617E">
      <w:pPr>
        <w:keepNext/>
        <w:numPr>
          <w:ilvl w:val="0"/>
          <w:numId w:val="19"/>
        </w:numPr>
        <w:spacing w:before="240" w:after="120"/>
        <w:ind w:left="714" w:hanging="357"/>
        <w:jc w:val="both"/>
        <w:rPr>
          <w:rFonts w:ascii="Arial" w:hAnsi="Arial" w:cs="Arial"/>
          <w:color w:val="0070C0"/>
        </w:rPr>
      </w:pPr>
      <w:r w:rsidRPr="00BC513A">
        <w:rPr>
          <w:rFonts w:ascii="Arial" w:hAnsi="Arial" w:cs="Arial"/>
          <w:color w:val="0070C0"/>
        </w:rPr>
        <w:t>До каква степен ПРСР е допринесла за защита и увеличаване на природните ресурси и на ландшафта, включително, биологичното разнообразие и ВПС земеделие и горско стопанство? (</w:t>
      </w:r>
      <w:r w:rsidRPr="00BC513A">
        <w:rPr>
          <w:rFonts w:ascii="Arial" w:hAnsi="Arial" w:cs="Arial"/>
          <w:i/>
          <w:color w:val="0070C0"/>
        </w:rPr>
        <w:t>Стратегически приоритет на Общността</w:t>
      </w:r>
      <w:r w:rsidRPr="00BC513A">
        <w:rPr>
          <w:rFonts w:ascii="Arial" w:hAnsi="Arial" w:cs="Arial"/>
          <w:color w:val="0070C0"/>
        </w:rPr>
        <w:t xml:space="preserve">. Биологичното разнообразие също е </w:t>
      </w:r>
      <w:r w:rsidRPr="00BC513A">
        <w:rPr>
          <w:rFonts w:ascii="Arial" w:hAnsi="Arial" w:cs="Arial"/>
          <w:i/>
          <w:color w:val="0070C0"/>
        </w:rPr>
        <w:t>Health Check objective</w:t>
      </w:r>
      <w:r w:rsidRPr="00BC513A">
        <w:rPr>
          <w:rFonts w:ascii="Arial" w:hAnsi="Arial" w:cs="Arial"/>
          <w:color w:val="0070C0"/>
        </w:rPr>
        <w:t>)</w:t>
      </w:r>
    </w:p>
    <w:p w14:paraId="4802A271"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Мерките, включени в ос 2 на ПРСР 2007 – 2013</w:t>
      </w:r>
      <w:r w:rsidR="006619AA">
        <w:rPr>
          <w:sz w:val="22"/>
          <w:szCs w:val="22"/>
          <w:lang w:val="bg-BG"/>
        </w:rPr>
        <w:t>,</w:t>
      </w:r>
      <w:r w:rsidRPr="00BC513A">
        <w:rPr>
          <w:sz w:val="22"/>
          <w:szCs w:val="22"/>
          <w:lang w:val="bg-BG"/>
        </w:rPr>
        <w:t xml:space="preserve"> допринасят значително за защита и увеличаване на природните ресурси и на ландшафта, опазване на биологичното разнообразие и земите с висока природна стойност. Мерките за </w:t>
      </w:r>
      <w:r w:rsidRPr="00BC513A">
        <w:rPr>
          <w:b/>
          <w:sz w:val="22"/>
          <w:szCs w:val="22"/>
          <w:lang w:val="bg-BG"/>
        </w:rPr>
        <w:t>земеделските земи</w:t>
      </w:r>
      <w:r w:rsidRPr="00BC513A">
        <w:rPr>
          <w:sz w:val="22"/>
          <w:szCs w:val="22"/>
          <w:lang w:val="bg-BG"/>
        </w:rPr>
        <w:t xml:space="preserve"> в обхвата на ос 2 – 211, 212, 213 и 214 са в съответствие с идентифицираната потребност на ниво ЕС за опазване на биоразнообразието и въвеждане на практики, благоприятни и опазващи околната среда.</w:t>
      </w:r>
    </w:p>
    <w:p w14:paraId="281EA79D"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Мярка 211 и мярка 212 допринасят за рационално използване, съхранение на биологичното разнообразие и устойчивото развитие на природните ресурси, предпазват земите от изоставяне и почвена ерозия; подпомагат поддържане на привлекателността на ландшафта.</w:t>
      </w:r>
    </w:p>
    <w:p w14:paraId="3B10EE5A"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Мярка 213 допринася за създаването и поддържането на благоприятни условия за видовете и техните местообитания посредством подкрепата за извършване на екологосъобразна земеделска дейност в защитени зони от НАТУРА 2000. Чрез мярката се оказва положително въздействие по отношение съхраняването и поддържането на природните ресурси, ландшафта и екосистемите. Мярката допринася пряко и косвено за предотвратяване загубата на биоразнообразие.</w:t>
      </w:r>
    </w:p>
    <w:p w14:paraId="1394D501"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Мярка 214 води до съхраняване на био-разнообразието чрез насърчаване на опазването на обработваеми земи с висока природна стойност (полу-естествени местообитания, поддържане и възстановяване на традиционния селскостопански ландшафт и характеристики на ландшафта, запазване на почвените и водните ресурси, включително в районите, които са засегнати от силна ерозия или са застрашени от замърсяване с хранителни вещества (напр. в нитратно уязвимите зони) посредством изпълнение на дейностите в отделните подмерки:</w:t>
      </w:r>
    </w:p>
    <w:p w14:paraId="4FBC46D4" w14:textId="5DA031DC" w:rsidR="00E8617E" w:rsidRPr="00BC513A" w:rsidRDefault="00E8617E" w:rsidP="00E8617E">
      <w:pPr>
        <w:pStyle w:val="DefaultText"/>
        <w:numPr>
          <w:ilvl w:val="0"/>
          <w:numId w:val="39"/>
        </w:numPr>
        <w:spacing w:before="120" w:line="300" w:lineRule="atLeast"/>
        <w:rPr>
          <w:sz w:val="22"/>
          <w:szCs w:val="22"/>
          <w:lang w:val="bg-BG"/>
        </w:rPr>
      </w:pPr>
      <w:r w:rsidRPr="00BC513A">
        <w:rPr>
          <w:sz w:val="22"/>
          <w:szCs w:val="22"/>
          <w:lang w:val="bg-BG"/>
        </w:rPr>
        <w:t>Подмярка „</w:t>
      </w:r>
      <w:r w:rsidRPr="00BC513A">
        <w:rPr>
          <w:i/>
          <w:sz w:val="22"/>
          <w:szCs w:val="22"/>
          <w:lang w:val="bg-BG"/>
        </w:rPr>
        <w:t>Биологично земеделие</w:t>
      </w:r>
      <w:r w:rsidRPr="00BC513A">
        <w:rPr>
          <w:sz w:val="22"/>
          <w:szCs w:val="22"/>
          <w:lang w:val="bg-BG"/>
        </w:rPr>
        <w:t xml:space="preserve">“ води до защита и увеличаване на природните ресурси и на ландшафта, включително, биологичното разнообразие. Поради забраната за използване на минерални торове и синтезирани продукти за растителна защита, биологичното земеделие оказва благоприятно въздействие върху опазването на био-разнообразието, съдейства за опазване качеството на водите и на почвите, допринася за постигане на равновесие в системата почва </w:t>
      </w:r>
      <w:r w:rsidR="006619AA">
        <w:rPr>
          <w:sz w:val="22"/>
          <w:szCs w:val="22"/>
          <w:lang w:val="bg-BG"/>
        </w:rPr>
        <w:t>–</w:t>
      </w:r>
      <w:r w:rsidRPr="00BC513A">
        <w:rPr>
          <w:sz w:val="22"/>
          <w:szCs w:val="22"/>
          <w:lang w:val="bg-BG"/>
        </w:rPr>
        <w:t xml:space="preserve"> растения – животни. Биологичното пчеларство подобрява опрашването на дивата флора и допринася за опазването на био-разнообразието. Опрашването на овощните градини повишава добивите без използване на забранените азот съдържащи минерални торове, което допринася и за опазване на почвите. Биологичното растениевъдство стимулира използването и опазването на стари местни сортове растения, имащи по-голяма устойчивост към болести и неприятели и по-добра адаптираност към местните условия.</w:t>
      </w:r>
    </w:p>
    <w:p w14:paraId="04F60717" w14:textId="77777777" w:rsidR="00E8617E" w:rsidRPr="00BC513A" w:rsidRDefault="00E8617E" w:rsidP="00E8617E">
      <w:pPr>
        <w:pStyle w:val="DefaultText"/>
        <w:numPr>
          <w:ilvl w:val="0"/>
          <w:numId w:val="39"/>
        </w:numPr>
        <w:spacing w:before="120" w:line="300" w:lineRule="atLeast"/>
        <w:rPr>
          <w:sz w:val="22"/>
          <w:szCs w:val="22"/>
          <w:lang w:val="bg-BG"/>
        </w:rPr>
      </w:pPr>
      <w:r w:rsidRPr="00BC513A">
        <w:rPr>
          <w:sz w:val="22"/>
          <w:szCs w:val="22"/>
          <w:lang w:val="bg-BG"/>
        </w:rPr>
        <w:t>Подмярка „</w:t>
      </w:r>
      <w:r w:rsidRPr="00BC513A">
        <w:rPr>
          <w:i/>
          <w:sz w:val="22"/>
          <w:szCs w:val="22"/>
          <w:lang w:val="bg-BG"/>
        </w:rPr>
        <w:t>Управление на земеделски земи с висока природна стойност</w:t>
      </w:r>
      <w:r w:rsidRPr="00BC513A">
        <w:rPr>
          <w:sz w:val="22"/>
          <w:szCs w:val="22"/>
          <w:lang w:val="bg-BG"/>
        </w:rPr>
        <w:t xml:space="preserve">“ подпомага защитата и увеличаването на природните ресурси включително, биологичното разнообразие в земеделските и горските земи с ВПС: </w:t>
      </w:r>
    </w:p>
    <w:p w14:paraId="6D7AA930" w14:textId="77777777" w:rsidR="00E8617E" w:rsidRPr="00BC513A" w:rsidRDefault="00E8617E" w:rsidP="00E8617E">
      <w:pPr>
        <w:pStyle w:val="DefaultText"/>
        <w:numPr>
          <w:ilvl w:val="0"/>
          <w:numId w:val="40"/>
        </w:numPr>
        <w:spacing w:before="120" w:line="300" w:lineRule="atLeast"/>
        <w:rPr>
          <w:sz w:val="22"/>
          <w:szCs w:val="22"/>
          <w:lang w:val="bg-BG"/>
        </w:rPr>
      </w:pPr>
      <w:r w:rsidRPr="00BC513A">
        <w:rPr>
          <w:sz w:val="22"/>
          <w:szCs w:val="22"/>
          <w:lang w:val="bg-BG"/>
        </w:rPr>
        <w:t>Включените ВПС1 - ВПС2 - предоставят възможност за запазване и поддържане на затревени площи с висока природна стойност, предотвратяване на бъдещата загуба на съобществата с висока природна стойност в затревените площи, причинено от превръщането им в обработваеми земеделски земи или преизпасването им.</w:t>
      </w:r>
    </w:p>
    <w:p w14:paraId="15B97A3F" w14:textId="666C9853" w:rsidR="00E8617E" w:rsidRPr="00BC513A" w:rsidRDefault="00E8617E" w:rsidP="00E8617E">
      <w:pPr>
        <w:pStyle w:val="DefaultText"/>
        <w:numPr>
          <w:ilvl w:val="0"/>
          <w:numId w:val="40"/>
        </w:numPr>
        <w:spacing w:before="120" w:line="300" w:lineRule="atLeast"/>
        <w:rPr>
          <w:sz w:val="22"/>
          <w:szCs w:val="22"/>
          <w:lang w:val="bg-BG"/>
        </w:rPr>
      </w:pPr>
      <w:r w:rsidRPr="00BC513A">
        <w:rPr>
          <w:sz w:val="22"/>
          <w:szCs w:val="22"/>
          <w:lang w:val="bg-BG"/>
        </w:rPr>
        <w:t xml:space="preserve">Включената ВПС 4 Поддържане на местообитанията на защитени видове в обработваеми земи в орнитологично важни места </w:t>
      </w:r>
      <w:r w:rsidR="006619AA">
        <w:rPr>
          <w:sz w:val="22"/>
          <w:szCs w:val="22"/>
          <w:lang w:val="bg-BG"/>
        </w:rPr>
        <w:t>(</w:t>
      </w:r>
      <w:r w:rsidRPr="00BC513A">
        <w:rPr>
          <w:sz w:val="22"/>
          <w:szCs w:val="22"/>
          <w:lang w:val="bg-BG"/>
        </w:rPr>
        <w:t>ОВМ</w:t>
      </w:r>
      <w:r w:rsidR="006619AA">
        <w:rPr>
          <w:sz w:val="22"/>
          <w:szCs w:val="22"/>
          <w:lang w:val="bg-BG"/>
        </w:rPr>
        <w:t>)</w:t>
      </w:r>
      <w:r w:rsidRPr="00BC513A">
        <w:rPr>
          <w:sz w:val="22"/>
          <w:szCs w:val="22"/>
          <w:lang w:val="bg-BG"/>
        </w:rPr>
        <w:t xml:space="preserve"> води до опазване биологичното разнообразие и осигуряване </w:t>
      </w:r>
      <w:r w:rsidR="006619AA">
        <w:rPr>
          <w:sz w:val="22"/>
          <w:szCs w:val="22"/>
          <w:lang w:val="bg-BG"/>
        </w:rPr>
        <w:t xml:space="preserve">на </w:t>
      </w:r>
      <w:r w:rsidRPr="00BC513A">
        <w:rPr>
          <w:sz w:val="22"/>
          <w:szCs w:val="22"/>
          <w:lang w:val="bg-BG"/>
        </w:rPr>
        <w:t>защита, поддържане и възстановяване на благоприятния статус на местообитанията и на популациите на птиците по време на размножителния им период, зимуването или миграцията им</w:t>
      </w:r>
      <w:r w:rsidR="006619AA">
        <w:rPr>
          <w:sz w:val="22"/>
          <w:szCs w:val="22"/>
          <w:lang w:val="bg-BG"/>
        </w:rPr>
        <w:t>,</w:t>
      </w:r>
      <w:r w:rsidRPr="00BC513A">
        <w:rPr>
          <w:sz w:val="22"/>
          <w:szCs w:val="22"/>
          <w:lang w:val="bg-BG"/>
        </w:rPr>
        <w:t xml:space="preserve"> стабилизиране или увеличаване на популациите на птици в Специалните защитени зони (СЗЗ) и ОВМ, Поддържане на екологичните условия за царския орел, ливадния блатар, големия сокол, червенокракия сокол, червеногърбата сврачка, поддържане или възстановяване на мигриращите и зимуващите популации на диви птици, особено на червеногушата и белочелата гъска.</w:t>
      </w:r>
    </w:p>
    <w:p w14:paraId="07937445" w14:textId="1BF5B47B" w:rsidR="00E8617E" w:rsidRPr="00BC513A" w:rsidRDefault="003A0F89" w:rsidP="00E8617E">
      <w:pPr>
        <w:pStyle w:val="DefaultText"/>
        <w:numPr>
          <w:ilvl w:val="0"/>
          <w:numId w:val="39"/>
        </w:numPr>
        <w:spacing w:before="120" w:line="300" w:lineRule="atLeast"/>
        <w:rPr>
          <w:sz w:val="22"/>
          <w:szCs w:val="22"/>
          <w:lang w:val="bg-BG"/>
        </w:rPr>
      </w:pPr>
      <w:r>
        <w:rPr>
          <w:sz w:val="22"/>
          <w:szCs w:val="22"/>
          <w:lang w:val="bg-BG"/>
        </w:rPr>
        <w:t>Под</w:t>
      </w:r>
      <w:r w:rsidR="00E8617E" w:rsidRPr="00BC513A">
        <w:rPr>
          <w:sz w:val="22"/>
          <w:szCs w:val="22"/>
          <w:lang w:val="bg-BG"/>
        </w:rPr>
        <w:t>мярка „</w:t>
      </w:r>
      <w:r w:rsidR="00E8617E" w:rsidRPr="00BC513A">
        <w:rPr>
          <w:i/>
          <w:sz w:val="22"/>
          <w:szCs w:val="22"/>
          <w:lang w:val="bg-BG"/>
        </w:rPr>
        <w:t>Поддържане на характеристиките на ландшафта</w:t>
      </w:r>
      <w:r w:rsidR="00E8617E" w:rsidRPr="00BC513A">
        <w:rPr>
          <w:sz w:val="22"/>
          <w:szCs w:val="22"/>
          <w:lang w:val="bg-BG"/>
        </w:rPr>
        <w:t>“ допринася за поддържане на традиционния ландшафт, предотвратяване на интензивното управление на овощните градини и замяната на традиционни овощни сортове с нови високодобивни сортове, като</w:t>
      </w:r>
      <w:r w:rsidR="00E8617E" w:rsidRPr="00BC513A">
        <w:rPr>
          <w:lang w:val="bg-BG"/>
        </w:rPr>
        <w:t xml:space="preserve"> п</w:t>
      </w:r>
      <w:r w:rsidR="00E8617E" w:rsidRPr="00BC513A">
        <w:rPr>
          <w:sz w:val="22"/>
          <w:szCs w:val="22"/>
          <w:lang w:val="bg-BG"/>
        </w:rPr>
        <w:t xml:space="preserve">остоянно или почти постоянно затревените им прилежащи площи могат да бъдат използвани и за паша. </w:t>
      </w:r>
    </w:p>
    <w:p w14:paraId="3EE02314" w14:textId="39C3EA00" w:rsidR="00E8617E" w:rsidRPr="00BC513A" w:rsidRDefault="003A0F89" w:rsidP="00E8617E">
      <w:pPr>
        <w:pStyle w:val="DefaultText"/>
        <w:numPr>
          <w:ilvl w:val="0"/>
          <w:numId w:val="39"/>
        </w:numPr>
        <w:spacing w:before="120" w:line="300" w:lineRule="atLeast"/>
        <w:rPr>
          <w:sz w:val="22"/>
          <w:szCs w:val="22"/>
          <w:lang w:val="bg-BG"/>
        </w:rPr>
      </w:pPr>
      <w:r>
        <w:rPr>
          <w:sz w:val="22"/>
          <w:szCs w:val="22"/>
          <w:lang w:val="bg-BG"/>
        </w:rPr>
        <w:t>Под</w:t>
      </w:r>
      <w:r w:rsidR="00E8617E" w:rsidRPr="00BC513A">
        <w:rPr>
          <w:sz w:val="22"/>
          <w:szCs w:val="22"/>
          <w:lang w:val="bg-BG"/>
        </w:rPr>
        <w:t>мярка</w:t>
      </w:r>
      <w:r w:rsidR="00E8617E" w:rsidRPr="00BC513A">
        <w:rPr>
          <w:lang w:val="bg-BG"/>
        </w:rPr>
        <w:t xml:space="preserve"> </w:t>
      </w:r>
      <w:r w:rsidR="00E8617E" w:rsidRPr="00BC513A">
        <w:rPr>
          <w:i/>
          <w:sz w:val="22"/>
          <w:szCs w:val="22"/>
          <w:lang w:val="bg-BG"/>
        </w:rPr>
        <w:t>"Традиционно животновъдство"</w:t>
      </w:r>
      <w:r w:rsidR="00E8617E" w:rsidRPr="00BC513A">
        <w:rPr>
          <w:sz w:val="22"/>
          <w:szCs w:val="22"/>
          <w:lang w:val="bg-BG"/>
        </w:rPr>
        <w:t xml:space="preserve"> подпомага опазването на застрашени от изчезване редки породи (увеличаване на броя на животните от традиционни местни породи, в т.ч. на Каракачанското куче), поддържането на биологичното разнообразие и опазване на  естествените местообитания. По-пълноценното използване на високопланинските пасища и съобразяването с плановете за управление на националните паркове води до поддържане на високопланинските съобщества с висока природна стойност и традиционните открити планински ландшафти и подпомага управлението на териториите на Националните паркове</w:t>
      </w:r>
      <w:r w:rsidR="00E8617E" w:rsidRPr="00BC513A">
        <w:rPr>
          <w:lang w:val="bg-BG"/>
        </w:rPr>
        <w:t xml:space="preserve"> </w:t>
      </w:r>
    </w:p>
    <w:p w14:paraId="37AE8FF5" w14:textId="77777777" w:rsidR="00E8617E" w:rsidRPr="00BC513A" w:rsidRDefault="00E8617E" w:rsidP="00E8617E">
      <w:pPr>
        <w:pStyle w:val="DefaultText"/>
        <w:spacing w:before="120" w:line="300" w:lineRule="atLeast"/>
        <w:ind w:firstLine="709"/>
        <w:rPr>
          <w:sz w:val="22"/>
          <w:szCs w:val="22"/>
          <w:lang w:val="bg-BG"/>
        </w:rPr>
      </w:pPr>
      <w:r w:rsidRPr="00BC513A">
        <w:rPr>
          <w:sz w:val="22"/>
          <w:szCs w:val="22"/>
          <w:lang w:val="bg-BG"/>
        </w:rPr>
        <w:t>Мярка 223 и мярка 226 предоставят възможност за подпомагане при залесяване и управление на риска при горите и подпомагат опазването на биоразнообразието, увеличаване на природните ресурси и на ландшафта. Залесените 2 624 ha нови гори по мярка 223, както и възстановените 2 540 ha гори и защитени от пожари 330 653 ha гори по мярка 226, допринасят за промяна в намаляването на биоразнообразието, подобряване на качеството на водите, подпомагат борбата с изменението на климата, имат принос към  качество на почвата и поддръжка на ВПС земеделие и горско стопанство.</w:t>
      </w:r>
    </w:p>
    <w:p w14:paraId="3ED56DBD" w14:textId="77777777" w:rsidR="00E8617E" w:rsidRPr="00BC513A" w:rsidRDefault="00E8617E" w:rsidP="00E8617E">
      <w:pPr>
        <w:keepNext/>
        <w:numPr>
          <w:ilvl w:val="0"/>
          <w:numId w:val="19"/>
        </w:numPr>
        <w:spacing w:before="240" w:after="120"/>
        <w:ind w:left="714" w:hanging="357"/>
        <w:jc w:val="both"/>
        <w:rPr>
          <w:rFonts w:ascii="Arial" w:hAnsi="Arial" w:cs="Arial"/>
          <w:color w:val="0070C0"/>
        </w:rPr>
      </w:pPr>
      <w:r w:rsidRPr="00BC513A">
        <w:rPr>
          <w:rFonts w:ascii="Arial" w:hAnsi="Arial" w:cs="Arial"/>
          <w:color w:val="0070C0"/>
        </w:rPr>
        <w:t>Как и до каква степен съответната мярка е допринесла за подобряване на екологичното положение на бенефициентите и за местната околна среда?</w:t>
      </w:r>
    </w:p>
    <w:p w14:paraId="1CDFCD4B"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Мерките от ос 2 имат значително влияние върху подобряване на екологичната ангажираност на бенефициентите и подобряване състоянието на местната околна среда.  Прилагането на всички мерки от ос 2 повишава знанията на бенефициентите за околната среда и насочва вниманието им към влиянието на селското стопанство върху околната среда и опазването й посредством прилагането на благоприятни за средата дейности.</w:t>
      </w:r>
    </w:p>
    <w:p w14:paraId="50D383B9"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Продължителното използване на площи (петгодишните ангажименти на стопаните към площите) допринася за прилагане на устойчиви земеделски практики при управлението на земята и използване на стандарти за биологично производство.</w:t>
      </w:r>
    </w:p>
    <w:p w14:paraId="5D71230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 мерките от ос 2 се включват по-малки земеделски стопанства, което допринася за поддържане и повишаване на заетостта в селските райони, т.е. в районите с природни и други ограничения. Така мерките за необлагодетелстваните райони (мярка 211 и мярка 212) достигат най-вече семейни стопанства, като по този начин, освен че допринасят за предотвратяване изоставянето на земи и обезлюдяването на селските райони, допринасят и за подобряване на екологичното положение на бенефициентите и за местната околна среда.</w:t>
      </w:r>
    </w:p>
    <w:p w14:paraId="5858AC3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Едно от условията за кандидатстване по мярка 211 и 212 е да се спазват условията за поддържане на земята в добро земеделско и екологично състояние. При спазването на тези условия се подобрява екологичното положение на местната околна среда.</w:t>
      </w:r>
    </w:p>
    <w:p w14:paraId="5CD28A92"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213, посредством подкрепата за извършване на земеделска дейност в зони по НАТУРА 2000, осигурява подкрепа за площи със специфични ограничения и ценни представители на флората и фауната, водеща до по-благоприятни условия за видовете и техните местообитания и подобряване екологичното положение на биологичното разнообразие и местната околна среда.</w:t>
      </w:r>
    </w:p>
    <w:p w14:paraId="141AFAC7"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Прилагането на биологично земеделие по мярка 214 води до подобряване на екологичната ангажираност на бенефициентите и опазването на местната околна среда. Поради забраната за използване на минерални торове и синтезирани продукти за растителна защита, биологичното земеделие оказва благоприятно въздействие върху опазването на био-разнообразието, съдейства за опазване качеството на водите и на почвите, допринася за постигане на равновесие в системата почва - растения - животни. Биологичното пчеларство подобрява опрашването на дивата флора и допринася за опазването на био- разнообразието. Подобряването на процеса на извършваните земеделските дейности, съобразени с практики за опазване на околната среда и използването на техника за обработка на земеделската земя, която защитава и подобрява околната среда, води до подобряване на екологичното положение на местната околна среда.</w:t>
      </w:r>
    </w:p>
    <w:p w14:paraId="6A1361CF"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Изпълнението на мерките за горско стопанство в рамките на ос 2 (по мярка 223 превръщането на неземеделска земя в гори 2 624 ha и по мярка 226 възстановени гори и защитени от пожари гори върху 333 193 ha) също оказват положително въздействие върху местната околна среда.</w:t>
      </w:r>
    </w:p>
    <w:p w14:paraId="049C20EA" w14:textId="77777777" w:rsidR="00E8617E" w:rsidRPr="00BC513A" w:rsidRDefault="00E8617E" w:rsidP="00E8617E">
      <w:pPr>
        <w:pStyle w:val="DefaultText"/>
        <w:spacing w:after="120" w:line="300" w:lineRule="atLeast"/>
        <w:ind w:firstLine="708"/>
        <w:rPr>
          <w:b/>
          <w:sz w:val="22"/>
          <w:szCs w:val="22"/>
          <w:lang w:val="bg-BG"/>
        </w:rPr>
      </w:pPr>
      <w:r w:rsidRPr="00BC513A">
        <w:rPr>
          <w:b/>
          <w:sz w:val="22"/>
          <w:szCs w:val="22"/>
          <w:lang w:val="bg-BG"/>
        </w:rPr>
        <w:t>Принос на съответните схеми:</w:t>
      </w:r>
    </w:p>
    <w:p w14:paraId="74A754E5" w14:textId="77777777" w:rsidR="00E8617E" w:rsidRPr="00BC513A" w:rsidRDefault="00E8617E" w:rsidP="00E8617E">
      <w:pPr>
        <w:pStyle w:val="DefaultText"/>
        <w:spacing w:after="120" w:line="300" w:lineRule="atLeast"/>
        <w:ind w:firstLine="708"/>
        <w:rPr>
          <w:i/>
          <w:sz w:val="22"/>
          <w:szCs w:val="22"/>
          <w:lang w:val="bg-BG"/>
        </w:rPr>
      </w:pPr>
      <w:r w:rsidRPr="00BC513A">
        <w:rPr>
          <w:i/>
          <w:sz w:val="22"/>
          <w:szCs w:val="22"/>
          <w:lang w:val="bg-BG"/>
        </w:rPr>
        <w:t>211. Плащания на земеделски стопани за природни ограничения в планинските райони</w:t>
      </w:r>
    </w:p>
    <w:p w14:paraId="5270D59E"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211 предвижда плащания за земеделски стопани, работещи в условия на природни ограничения в планинските райони с цел да поддържа селскостопанските дейности в планинските райони, като по този начин предотвратява изоставянето на земята и обезлюдяването. Същевременно има принос за поддържането на ландшафта и съществуващото биоразнообразие в планинските райони и за рационалното използване, съхранение и устойчиво развитие на земята и другите природни ресурси в планинските райони. Качественият анализ за подпомогната площ е направен на база окончателните данни от кампания 2014</w:t>
      </w:r>
      <w:r w:rsidR="009F38B8">
        <w:rPr>
          <w:sz w:val="22"/>
          <w:szCs w:val="22"/>
          <w:lang w:val="bg-BG"/>
        </w:rPr>
        <w:t xml:space="preserve"> </w:t>
      </w:r>
      <w:r w:rsidRPr="00BC513A">
        <w:rPr>
          <w:sz w:val="22"/>
          <w:szCs w:val="22"/>
          <w:lang w:val="bg-BG"/>
        </w:rPr>
        <w:t xml:space="preserve">г. (платена през 2015г.). </w:t>
      </w:r>
    </w:p>
    <w:p w14:paraId="4DBFF52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Мярката допринася в значителна степен за постигане на целите, заложени с индикаторите за резултат, като подпомага 135% от предвидените по мярката стопанства от планински райони. Ръст се отчита и в поставената цел за подпомогната площ на база оторизирани заявления, която е изпълнена във висока степен – 110% от заложената цел.</w:t>
      </w:r>
    </w:p>
    <w:p w14:paraId="582BA796" w14:textId="77777777" w:rsidR="00E8617E" w:rsidRPr="00BC513A" w:rsidRDefault="00E8617E" w:rsidP="00E8617E">
      <w:pPr>
        <w:keepNext/>
        <w:spacing w:before="240" w:after="0" w:line="280" w:lineRule="atLeast"/>
        <w:jc w:val="both"/>
        <w:rPr>
          <w:rFonts w:ascii="Arial" w:hAnsi="Arial" w:cs="Arial"/>
          <w:b/>
          <w:iCs/>
          <w:color w:val="0070C0"/>
          <w:sz w:val="20"/>
          <w:szCs w:val="20"/>
        </w:rPr>
      </w:pPr>
      <w:bookmarkStart w:id="139" w:name="_Toc504136221"/>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49</w:t>
      </w:r>
      <w:r w:rsidRPr="00BC513A">
        <w:rPr>
          <w:rFonts w:ascii="Arial" w:hAnsi="Arial" w:cs="Arial"/>
          <w:b/>
          <w:color w:val="0070C0"/>
          <w:sz w:val="20"/>
          <w:szCs w:val="20"/>
        </w:rPr>
        <w:fldChar w:fldCharType="end"/>
      </w:r>
      <w:r w:rsidR="00047E2D">
        <w:rPr>
          <w:rFonts w:ascii="Arial" w:hAnsi="Arial" w:cs="Arial"/>
          <w:b/>
          <w:color w:val="0070C0"/>
          <w:sz w:val="20"/>
          <w:szCs w:val="20"/>
        </w:rPr>
        <w:t>.</w:t>
      </w:r>
      <w:r w:rsidRPr="00BC513A">
        <w:rPr>
          <w:rFonts w:ascii="Arial" w:hAnsi="Arial" w:cs="Arial"/>
          <w:b/>
          <w:color w:val="0070C0"/>
          <w:sz w:val="20"/>
          <w:szCs w:val="20"/>
        </w:rPr>
        <w:t xml:space="preserve"> </w:t>
      </w:r>
      <w:r w:rsidRPr="00BC513A">
        <w:rPr>
          <w:rFonts w:ascii="Arial" w:hAnsi="Arial" w:cs="Arial"/>
          <w:b/>
          <w:iCs/>
          <w:color w:val="0070C0"/>
          <w:sz w:val="20"/>
          <w:szCs w:val="20"/>
        </w:rPr>
        <w:t>Постигане на целите по мярка 211 въз основа на платените заявления към 31.12.2015 г.</w:t>
      </w:r>
      <w:bookmarkEnd w:id="139"/>
    </w:p>
    <w:tbl>
      <w:tblPr>
        <w:tblW w:w="9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5"/>
        <w:gridCol w:w="1061"/>
        <w:gridCol w:w="1730"/>
        <w:gridCol w:w="1799"/>
        <w:gridCol w:w="1080"/>
        <w:gridCol w:w="1800"/>
      </w:tblGrid>
      <w:tr w:rsidR="00E8617E" w:rsidRPr="00BC513A" w14:paraId="3E4EB004" w14:textId="77777777" w:rsidTr="00922731">
        <w:trPr>
          <w:trHeight w:val="1062"/>
          <w:jc w:val="center"/>
        </w:trPr>
        <w:tc>
          <w:tcPr>
            <w:tcW w:w="1545" w:type="dxa"/>
            <w:shd w:val="clear" w:color="auto" w:fill="1F4E79" w:themeFill="accent1" w:themeFillShade="80"/>
            <w:vAlign w:val="center"/>
            <w:hideMark/>
          </w:tcPr>
          <w:p w14:paraId="1DC912F7"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брой заявители, получили субсидии</w:t>
            </w:r>
          </w:p>
        </w:tc>
        <w:tc>
          <w:tcPr>
            <w:tcW w:w="1061" w:type="dxa"/>
            <w:shd w:val="clear" w:color="auto" w:fill="1F4E79" w:themeFill="accent1" w:themeFillShade="80"/>
            <w:vAlign w:val="center"/>
            <w:hideMark/>
          </w:tcPr>
          <w:p w14:paraId="45E94FAB"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 в ПРСР</w:t>
            </w:r>
          </w:p>
        </w:tc>
        <w:tc>
          <w:tcPr>
            <w:tcW w:w="1730" w:type="dxa"/>
            <w:shd w:val="clear" w:color="auto" w:fill="1F4E79" w:themeFill="accent1" w:themeFillShade="80"/>
            <w:vAlign w:val="center"/>
            <w:hideMark/>
          </w:tcPr>
          <w:p w14:paraId="22A226F8"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напредък в изпълнението на целите в  %</w:t>
            </w:r>
          </w:p>
        </w:tc>
        <w:tc>
          <w:tcPr>
            <w:tcW w:w="1799" w:type="dxa"/>
            <w:shd w:val="clear" w:color="auto" w:fill="1F4E79" w:themeFill="accent1" w:themeFillShade="80"/>
            <w:vAlign w:val="center"/>
            <w:hideMark/>
          </w:tcPr>
          <w:p w14:paraId="41BDB563"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подпомогната площ    /ha/</w:t>
            </w:r>
          </w:p>
        </w:tc>
        <w:tc>
          <w:tcPr>
            <w:tcW w:w="1080" w:type="dxa"/>
            <w:shd w:val="clear" w:color="auto" w:fill="1F4E79" w:themeFill="accent1" w:themeFillShade="80"/>
            <w:vAlign w:val="center"/>
            <w:hideMark/>
          </w:tcPr>
          <w:p w14:paraId="25E460C5"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 в ПРСР</w:t>
            </w:r>
          </w:p>
        </w:tc>
        <w:tc>
          <w:tcPr>
            <w:tcW w:w="1800" w:type="dxa"/>
            <w:shd w:val="clear" w:color="auto" w:fill="1F4E79" w:themeFill="accent1" w:themeFillShade="80"/>
            <w:vAlign w:val="center"/>
            <w:hideMark/>
          </w:tcPr>
          <w:p w14:paraId="45613C2F"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напредък в изпълнението на целите в  %</w:t>
            </w:r>
          </w:p>
        </w:tc>
      </w:tr>
      <w:tr w:rsidR="00E8617E" w:rsidRPr="00BC513A" w14:paraId="2FE1A2E5" w14:textId="77777777" w:rsidTr="00922731">
        <w:trPr>
          <w:trHeight w:val="516"/>
          <w:jc w:val="center"/>
        </w:trPr>
        <w:tc>
          <w:tcPr>
            <w:tcW w:w="1545" w:type="dxa"/>
            <w:shd w:val="clear" w:color="auto" w:fill="FFFFFF"/>
            <w:noWrap/>
            <w:vAlign w:val="center"/>
            <w:hideMark/>
          </w:tcPr>
          <w:p w14:paraId="6BC3543B"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53 802</w:t>
            </w:r>
          </w:p>
        </w:tc>
        <w:tc>
          <w:tcPr>
            <w:tcW w:w="1061" w:type="dxa"/>
            <w:shd w:val="clear" w:color="auto" w:fill="FFFFFF"/>
            <w:noWrap/>
            <w:vAlign w:val="center"/>
            <w:hideMark/>
          </w:tcPr>
          <w:p w14:paraId="3F833FEA"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40 000</w:t>
            </w:r>
          </w:p>
        </w:tc>
        <w:tc>
          <w:tcPr>
            <w:tcW w:w="1730" w:type="dxa"/>
            <w:shd w:val="clear" w:color="auto" w:fill="FFFFFF"/>
            <w:noWrap/>
            <w:vAlign w:val="center"/>
            <w:hideMark/>
          </w:tcPr>
          <w:p w14:paraId="2937BDD0"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135%</w:t>
            </w:r>
          </w:p>
        </w:tc>
        <w:tc>
          <w:tcPr>
            <w:tcW w:w="1799" w:type="dxa"/>
            <w:shd w:val="clear" w:color="auto" w:fill="FFFFFF"/>
            <w:noWrap/>
            <w:vAlign w:val="center"/>
            <w:hideMark/>
          </w:tcPr>
          <w:p w14:paraId="5A79AB2E"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359 760</w:t>
            </w:r>
          </w:p>
        </w:tc>
        <w:tc>
          <w:tcPr>
            <w:tcW w:w="1080" w:type="dxa"/>
            <w:shd w:val="clear" w:color="auto" w:fill="FFFFFF"/>
            <w:noWrap/>
            <w:vAlign w:val="center"/>
            <w:hideMark/>
          </w:tcPr>
          <w:p w14:paraId="08A8DCA8"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328 000</w:t>
            </w:r>
          </w:p>
        </w:tc>
        <w:tc>
          <w:tcPr>
            <w:tcW w:w="1800" w:type="dxa"/>
            <w:shd w:val="clear" w:color="auto" w:fill="FFFFFF"/>
            <w:vAlign w:val="center"/>
            <w:hideMark/>
          </w:tcPr>
          <w:p w14:paraId="5125BD72"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110%</w:t>
            </w:r>
          </w:p>
        </w:tc>
      </w:tr>
    </w:tbl>
    <w:p w14:paraId="7E32F4EB" w14:textId="77777777" w:rsidR="00E8617E" w:rsidRPr="00F07F15" w:rsidRDefault="00E8617E" w:rsidP="00EF0C92">
      <w:pPr>
        <w:spacing w:after="240" w:line="280" w:lineRule="atLeast"/>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Източник: Годишен доклад за изпълнението на ПРСР 2007-2013 г. за 2015г. Отчетът е направен по установена площ.</w:t>
      </w:r>
    </w:p>
    <w:p w14:paraId="03EAD163" w14:textId="6DD8983A"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211 стартира през 2007 г. и за целия период на прилагане (2014</w:t>
      </w:r>
      <w:r w:rsidR="009F38B8">
        <w:rPr>
          <w:sz w:val="22"/>
          <w:szCs w:val="22"/>
          <w:lang w:val="bg-BG"/>
        </w:rPr>
        <w:t xml:space="preserve"> </w:t>
      </w:r>
      <w:r w:rsidRPr="00BC513A">
        <w:rPr>
          <w:sz w:val="22"/>
          <w:szCs w:val="22"/>
          <w:lang w:val="bg-BG"/>
        </w:rPr>
        <w:t>г. спрямо 2007</w:t>
      </w:r>
      <w:r w:rsidR="009F38B8">
        <w:rPr>
          <w:sz w:val="22"/>
          <w:szCs w:val="22"/>
          <w:lang w:val="bg-BG"/>
        </w:rPr>
        <w:t xml:space="preserve"> </w:t>
      </w:r>
      <w:r w:rsidRPr="00BC513A">
        <w:rPr>
          <w:sz w:val="22"/>
          <w:szCs w:val="22"/>
          <w:lang w:val="bg-BG"/>
        </w:rPr>
        <w:t>г.) заявените площи се увеличават с 40.58%, допустимите площи (2014</w:t>
      </w:r>
      <w:r w:rsidR="009F38B8">
        <w:rPr>
          <w:sz w:val="22"/>
          <w:szCs w:val="22"/>
          <w:lang w:val="bg-BG"/>
        </w:rPr>
        <w:t xml:space="preserve"> </w:t>
      </w:r>
      <w:r w:rsidRPr="00BC513A">
        <w:rPr>
          <w:sz w:val="22"/>
          <w:szCs w:val="22"/>
          <w:lang w:val="bg-BG"/>
        </w:rPr>
        <w:t>г. спрямо 2007</w:t>
      </w:r>
      <w:r w:rsidR="009F38B8">
        <w:rPr>
          <w:sz w:val="22"/>
          <w:szCs w:val="22"/>
          <w:lang w:val="bg-BG"/>
        </w:rPr>
        <w:t xml:space="preserve"> </w:t>
      </w:r>
      <w:r w:rsidRPr="00BC513A">
        <w:rPr>
          <w:sz w:val="22"/>
          <w:szCs w:val="22"/>
          <w:lang w:val="bg-BG"/>
        </w:rPr>
        <w:t>г.) се увеличават със 51.75%. Подадените заявления всяка година се увеличават (с изключение на кампания 2012), като със старта на мярката, общо 22</w:t>
      </w:r>
      <w:r w:rsidR="009F38B8">
        <w:rPr>
          <w:sz w:val="22"/>
          <w:szCs w:val="22"/>
          <w:lang w:val="bg-BG"/>
        </w:rPr>
        <w:t> </w:t>
      </w:r>
      <w:r w:rsidRPr="00BC513A">
        <w:rPr>
          <w:sz w:val="22"/>
          <w:szCs w:val="22"/>
          <w:lang w:val="bg-BG"/>
        </w:rPr>
        <w:t>649 фермери са кандидатствали за подпомагане, а през 2014г. заявленията достигат 31</w:t>
      </w:r>
      <w:r w:rsidR="009F38B8">
        <w:rPr>
          <w:sz w:val="22"/>
          <w:szCs w:val="22"/>
          <w:lang w:val="bg-BG"/>
        </w:rPr>
        <w:t> </w:t>
      </w:r>
      <w:r w:rsidRPr="00BC513A">
        <w:rPr>
          <w:sz w:val="22"/>
          <w:szCs w:val="22"/>
          <w:lang w:val="bg-BG"/>
        </w:rPr>
        <w:t>888 броя. Общо през всички кампании 53</w:t>
      </w:r>
      <w:r w:rsidR="009F38B8">
        <w:rPr>
          <w:sz w:val="22"/>
          <w:szCs w:val="22"/>
          <w:lang w:val="bg-BG"/>
        </w:rPr>
        <w:t> </w:t>
      </w:r>
      <w:r w:rsidRPr="00BC513A">
        <w:rPr>
          <w:sz w:val="22"/>
          <w:szCs w:val="22"/>
          <w:lang w:val="bg-BG"/>
        </w:rPr>
        <w:t>802 (без повторение) земеделски стопанства са подали заявление за подпомагане по мярката, което е изпълнение със 135% на заложената цел за участие в ПРСР (2007-2013 г.) от 40</w:t>
      </w:r>
      <w:r w:rsidR="009F38B8">
        <w:rPr>
          <w:sz w:val="22"/>
          <w:szCs w:val="22"/>
          <w:lang w:val="bg-BG"/>
        </w:rPr>
        <w:t> </w:t>
      </w:r>
      <w:r w:rsidRPr="00BC513A">
        <w:rPr>
          <w:sz w:val="22"/>
          <w:szCs w:val="22"/>
          <w:lang w:val="bg-BG"/>
        </w:rPr>
        <w:t>000 земеделски стопани по мярката.</w:t>
      </w:r>
    </w:p>
    <w:p w14:paraId="626F79BC" w14:textId="2954CBC1"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Въз основа на увеличението и на броя на кандидатите</w:t>
      </w:r>
      <w:r w:rsidR="009F38B8">
        <w:rPr>
          <w:sz w:val="22"/>
          <w:szCs w:val="22"/>
          <w:lang w:val="bg-BG"/>
        </w:rPr>
        <w:t>,</w:t>
      </w:r>
      <w:r w:rsidRPr="00BC513A">
        <w:rPr>
          <w:sz w:val="22"/>
          <w:szCs w:val="22"/>
          <w:lang w:val="bg-BG"/>
        </w:rPr>
        <w:t xml:space="preserve"> и на размера на подпомогнатите площи, за които е поет многогодишен ангажимент да бъде извършвана земеделска дейност, може да се направи извод</w:t>
      </w:r>
      <w:r w:rsidR="009F38B8">
        <w:rPr>
          <w:sz w:val="22"/>
          <w:szCs w:val="22"/>
          <w:lang w:val="bg-BG"/>
        </w:rPr>
        <w:t>ът</w:t>
      </w:r>
      <w:r w:rsidRPr="00BC513A">
        <w:rPr>
          <w:sz w:val="22"/>
          <w:szCs w:val="22"/>
          <w:lang w:val="bg-BG"/>
        </w:rPr>
        <w:t xml:space="preserve">, че интересът към мярката нараства, поради което има и преизпълнение на целите. </w:t>
      </w:r>
    </w:p>
    <w:p w14:paraId="699E1908" w14:textId="77777777" w:rsidR="00A55F86" w:rsidRDefault="00E8617E" w:rsidP="00E8617E">
      <w:pPr>
        <w:pStyle w:val="DefaultText"/>
        <w:spacing w:after="120" w:line="300" w:lineRule="atLeast"/>
        <w:ind w:firstLine="708"/>
        <w:rPr>
          <w:sz w:val="22"/>
          <w:szCs w:val="22"/>
          <w:lang w:val="bg-BG"/>
        </w:rPr>
      </w:pPr>
      <w:r w:rsidRPr="00BC513A">
        <w:rPr>
          <w:sz w:val="22"/>
          <w:szCs w:val="22"/>
          <w:lang w:val="bg-BG"/>
        </w:rPr>
        <w:t>Целта на мярката за съхраняване земеделската дейност в планинските райони, предотвратяване на маргинализацията и изоставянето на земи и обезлюдяването на планинските райони, подпомагане поддържането на ландшафта и съществуващото биоразнообразие в тези райони</w:t>
      </w:r>
      <w:r w:rsidR="009F38B8">
        <w:rPr>
          <w:sz w:val="22"/>
          <w:szCs w:val="22"/>
          <w:lang w:val="bg-BG"/>
        </w:rPr>
        <w:t>,</w:t>
      </w:r>
      <w:r w:rsidRPr="00BC513A">
        <w:rPr>
          <w:sz w:val="22"/>
          <w:szCs w:val="22"/>
          <w:lang w:val="bg-BG"/>
        </w:rPr>
        <w:t xml:space="preserve"> е изпълнена. </w:t>
      </w:r>
    </w:p>
    <w:p w14:paraId="71332BC8" w14:textId="77777777" w:rsidR="00A55F86" w:rsidRPr="00205C7B" w:rsidRDefault="008F34DE" w:rsidP="00E8617E">
      <w:pPr>
        <w:pStyle w:val="DefaultText"/>
        <w:spacing w:after="120" w:line="300" w:lineRule="atLeast"/>
        <w:ind w:firstLine="708"/>
        <w:rPr>
          <w:sz w:val="22"/>
          <w:szCs w:val="22"/>
          <w:lang w:val="bg-BG"/>
        </w:rPr>
      </w:pPr>
      <w:r w:rsidRPr="00205C7B">
        <w:rPr>
          <w:sz w:val="22"/>
          <w:szCs w:val="22"/>
          <w:lang w:val="bg-BG"/>
        </w:rPr>
        <w:t xml:space="preserve">Получената оценка на бенефициентите по време на теренните проучвания, за ползите от мярката по отношение на екологичните цели е много положителна, като те считат, че подкрепата е допринесла предимно към </w:t>
      </w:r>
      <w:r w:rsidR="00A55F86" w:rsidRPr="00205C7B">
        <w:rPr>
          <w:sz w:val="22"/>
          <w:szCs w:val="22"/>
          <w:lang w:val="bg-BG"/>
        </w:rPr>
        <w:t>опазването на биоразнообразието, устойчивото управление на земите, подобряване на околната среда и поддръжка на ВПС на обработваемата земя.</w:t>
      </w:r>
    </w:p>
    <w:p w14:paraId="53239CBA" w14:textId="77777777" w:rsidR="00A55F86" w:rsidRPr="00205C7B" w:rsidRDefault="00A55F86" w:rsidP="00A55F86">
      <w:pPr>
        <w:keepNext/>
        <w:spacing w:before="240" w:after="0" w:line="280" w:lineRule="atLeast"/>
        <w:jc w:val="both"/>
        <w:rPr>
          <w:rFonts w:ascii="Arial" w:hAnsi="Arial" w:cs="Arial"/>
          <w:b/>
          <w:iCs/>
          <w:color w:val="0070C0"/>
          <w:sz w:val="20"/>
          <w:szCs w:val="20"/>
        </w:rPr>
      </w:pPr>
      <w:bookmarkStart w:id="140" w:name="_Toc504136222"/>
      <w:r w:rsidRPr="00205C7B">
        <w:rPr>
          <w:rFonts w:ascii="Arial" w:hAnsi="Arial" w:cs="Arial"/>
          <w:b/>
          <w:color w:val="0070C0"/>
          <w:sz w:val="20"/>
          <w:szCs w:val="20"/>
        </w:rPr>
        <w:t xml:space="preserve">Таблица </w:t>
      </w:r>
      <w:r w:rsidRPr="00205C7B">
        <w:rPr>
          <w:rFonts w:ascii="Arial" w:hAnsi="Arial" w:cs="Arial"/>
          <w:b/>
          <w:color w:val="0070C0"/>
          <w:sz w:val="20"/>
          <w:szCs w:val="20"/>
        </w:rPr>
        <w:fldChar w:fldCharType="begin"/>
      </w:r>
      <w:r w:rsidRPr="00205C7B">
        <w:rPr>
          <w:rFonts w:ascii="Arial" w:hAnsi="Arial" w:cs="Arial"/>
          <w:b/>
          <w:color w:val="0070C0"/>
          <w:sz w:val="20"/>
          <w:szCs w:val="20"/>
        </w:rPr>
        <w:instrText xml:space="preserve"> SEQ Таблица \* ARABIC </w:instrText>
      </w:r>
      <w:r w:rsidRPr="00205C7B">
        <w:rPr>
          <w:rFonts w:ascii="Arial" w:hAnsi="Arial" w:cs="Arial"/>
          <w:b/>
          <w:color w:val="0070C0"/>
          <w:sz w:val="20"/>
          <w:szCs w:val="20"/>
        </w:rPr>
        <w:fldChar w:fldCharType="separate"/>
      </w:r>
      <w:r w:rsidR="0023010D">
        <w:rPr>
          <w:rFonts w:ascii="Arial" w:hAnsi="Arial" w:cs="Arial"/>
          <w:b/>
          <w:noProof/>
          <w:color w:val="0070C0"/>
          <w:sz w:val="20"/>
          <w:szCs w:val="20"/>
        </w:rPr>
        <w:t>50</w:t>
      </w:r>
      <w:r w:rsidRPr="00205C7B">
        <w:rPr>
          <w:rFonts w:ascii="Arial" w:hAnsi="Arial" w:cs="Arial"/>
          <w:b/>
          <w:color w:val="0070C0"/>
          <w:sz w:val="20"/>
          <w:szCs w:val="20"/>
        </w:rPr>
        <w:fldChar w:fldCharType="end"/>
      </w:r>
      <w:r w:rsidR="00047E2D">
        <w:rPr>
          <w:rFonts w:ascii="Arial" w:hAnsi="Arial" w:cs="Arial"/>
          <w:b/>
          <w:color w:val="0070C0"/>
          <w:sz w:val="20"/>
          <w:szCs w:val="20"/>
        </w:rPr>
        <w:t>.</w:t>
      </w:r>
      <w:r w:rsidRPr="00205C7B">
        <w:rPr>
          <w:rFonts w:ascii="Arial" w:hAnsi="Arial" w:cs="Arial"/>
          <w:b/>
          <w:color w:val="0070C0"/>
          <w:sz w:val="20"/>
          <w:szCs w:val="20"/>
        </w:rPr>
        <w:t xml:space="preserve"> </w:t>
      </w:r>
      <w:r w:rsidRPr="00205C7B">
        <w:rPr>
          <w:rFonts w:ascii="Arial" w:hAnsi="Arial" w:cs="Arial"/>
          <w:b/>
          <w:iCs/>
          <w:color w:val="0070C0"/>
          <w:sz w:val="20"/>
          <w:szCs w:val="20"/>
        </w:rPr>
        <w:t>Виждания на бенефициентите по мярка 211 за принос на мярката към нейните цели</w:t>
      </w:r>
      <w:bookmarkEnd w:id="140"/>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050"/>
        <w:gridCol w:w="3301"/>
      </w:tblGrid>
      <w:tr w:rsidR="00A55F86" w:rsidRPr="00205C7B" w14:paraId="15377014" w14:textId="77777777" w:rsidTr="00213E30">
        <w:trPr>
          <w:trHeight w:val="331"/>
        </w:trPr>
        <w:tc>
          <w:tcPr>
            <w:tcW w:w="6050" w:type="dxa"/>
            <w:shd w:val="clear" w:color="auto" w:fill="1F4E79" w:themeFill="accent1" w:themeFillShade="80"/>
            <w:vAlign w:val="center"/>
          </w:tcPr>
          <w:p w14:paraId="18407C31" w14:textId="77777777" w:rsidR="00A55F86" w:rsidRPr="00205C7B" w:rsidRDefault="00A55F86" w:rsidP="00A55F86">
            <w:pPr>
              <w:spacing w:after="0" w:line="240" w:lineRule="auto"/>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Принос на мярка 211 към</w:t>
            </w:r>
            <w:r w:rsidR="00213E30">
              <w:rPr>
                <w:rFonts w:ascii="Arial" w:eastAsia="Times New Roman" w:hAnsi="Arial" w:cs="Arial"/>
                <w:b/>
                <w:color w:val="FFFFFF" w:themeColor="background1"/>
                <w:sz w:val="20"/>
                <w:szCs w:val="20"/>
                <w:lang w:eastAsia="bg-BG"/>
              </w:rPr>
              <w:t>:</w:t>
            </w:r>
          </w:p>
        </w:tc>
        <w:tc>
          <w:tcPr>
            <w:tcW w:w="3301" w:type="dxa"/>
            <w:shd w:val="clear" w:color="auto" w:fill="1F4E79" w:themeFill="accent1" w:themeFillShade="80"/>
            <w:noWrap/>
            <w:vAlign w:val="center"/>
          </w:tcPr>
          <w:p w14:paraId="7CE9177F" w14:textId="77777777" w:rsidR="00A55F86" w:rsidRPr="00205C7B" w:rsidRDefault="00A55F86" w:rsidP="00A55F86">
            <w:pPr>
              <w:spacing w:after="0" w:line="240" w:lineRule="auto"/>
              <w:jc w:val="right"/>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Изключително много и много</w:t>
            </w:r>
          </w:p>
        </w:tc>
      </w:tr>
      <w:tr w:rsidR="00A55F86" w:rsidRPr="00205C7B" w14:paraId="1986D0AA" w14:textId="77777777" w:rsidTr="00A55F86">
        <w:trPr>
          <w:trHeight w:val="308"/>
        </w:trPr>
        <w:tc>
          <w:tcPr>
            <w:tcW w:w="6050" w:type="dxa"/>
            <w:shd w:val="clear" w:color="auto" w:fill="auto"/>
            <w:vAlign w:val="center"/>
            <w:hideMark/>
          </w:tcPr>
          <w:p w14:paraId="0AD37C5F" w14:textId="77777777" w:rsidR="00A55F86" w:rsidRPr="00205C7B" w:rsidRDefault="00A55F86" w:rsidP="00A55F86">
            <w:pPr>
              <w:spacing w:after="0" w:line="240" w:lineRule="auto"/>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Предотвратяване на изоставянето на земя</w:t>
            </w:r>
          </w:p>
        </w:tc>
        <w:tc>
          <w:tcPr>
            <w:tcW w:w="3301" w:type="dxa"/>
            <w:shd w:val="clear" w:color="auto" w:fill="auto"/>
            <w:noWrap/>
            <w:vAlign w:val="bottom"/>
            <w:hideMark/>
          </w:tcPr>
          <w:p w14:paraId="6E56F877" w14:textId="77777777" w:rsidR="00A55F86" w:rsidRPr="00205C7B" w:rsidRDefault="00A55F86" w:rsidP="00A55F86">
            <w:pPr>
              <w:spacing w:after="0" w:line="240" w:lineRule="auto"/>
              <w:jc w:val="right"/>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56%</w:t>
            </w:r>
          </w:p>
        </w:tc>
      </w:tr>
      <w:tr w:rsidR="00A55F86" w:rsidRPr="00205C7B" w14:paraId="2199B2CC" w14:textId="77777777" w:rsidTr="00A55F86">
        <w:trPr>
          <w:trHeight w:val="269"/>
        </w:trPr>
        <w:tc>
          <w:tcPr>
            <w:tcW w:w="6050" w:type="dxa"/>
            <w:shd w:val="clear" w:color="auto" w:fill="auto"/>
            <w:vAlign w:val="center"/>
            <w:hideMark/>
          </w:tcPr>
          <w:p w14:paraId="63FFBEBB" w14:textId="77777777" w:rsidR="00A55F86" w:rsidRPr="00205C7B" w:rsidRDefault="00A55F86" w:rsidP="00A55F86">
            <w:pPr>
              <w:spacing w:after="0" w:line="240" w:lineRule="auto"/>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Предотвратяване на обезлюдяването на планинските райони</w:t>
            </w:r>
          </w:p>
        </w:tc>
        <w:tc>
          <w:tcPr>
            <w:tcW w:w="3301" w:type="dxa"/>
            <w:shd w:val="clear" w:color="auto" w:fill="auto"/>
            <w:noWrap/>
            <w:vAlign w:val="bottom"/>
            <w:hideMark/>
          </w:tcPr>
          <w:p w14:paraId="6544F5E1" w14:textId="77777777" w:rsidR="00A55F86" w:rsidRPr="00205C7B" w:rsidRDefault="00A55F86" w:rsidP="00A55F86">
            <w:pPr>
              <w:spacing w:after="0" w:line="240" w:lineRule="auto"/>
              <w:jc w:val="right"/>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33%</w:t>
            </w:r>
          </w:p>
        </w:tc>
      </w:tr>
      <w:tr w:rsidR="00A55F86" w:rsidRPr="00205C7B" w14:paraId="42DB6FAE" w14:textId="77777777" w:rsidTr="00A55F86">
        <w:trPr>
          <w:trHeight w:val="300"/>
        </w:trPr>
        <w:tc>
          <w:tcPr>
            <w:tcW w:w="6050" w:type="dxa"/>
            <w:shd w:val="clear" w:color="auto" w:fill="auto"/>
            <w:vAlign w:val="center"/>
            <w:hideMark/>
          </w:tcPr>
          <w:p w14:paraId="206D11D4" w14:textId="77777777" w:rsidR="00A55F86" w:rsidRPr="00205C7B" w:rsidRDefault="00A55F86" w:rsidP="00A55F86">
            <w:pPr>
              <w:spacing w:after="0" w:line="240" w:lineRule="auto"/>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Поддържане на ландшафта</w:t>
            </w:r>
          </w:p>
        </w:tc>
        <w:tc>
          <w:tcPr>
            <w:tcW w:w="3301" w:type="dxa"/>
            <w:shd w:val="clear" w:color="auto" w:fill="auto"/>
            <w:noWrap/>
            <w:vAlign w:val="bottom"/>
            <w:hideMark/>
          </w:tcPr>
          <w:p w14:paraId="1351C411" w14:textId="77777777" w:rsidR="00A55F86" w:rsidRPr="00205C7B" w:rsidRDefault="00A55F86" w:rsidP="00A55F86">
            <w:pPr>
              <w:spacing w:after="0" w:line="240" w:lineRule="auto"/>
              <w:jc w:val="right"/>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56%</w:t>
            </w:r>
          </w:p>
        </w:tc>
      </w:tr>
      <w:tr w:rsidR="00A55F86" w:rsidRPr="00205C7B" w14:paraId="0EA95B1E" w14:textId="77777777" w:rsidTr="00A55F86">
        <w:trPr>
          <w:trHeight w:val="300"/>
        </w:trPr>
        <w:tc>
          <w:tcPr>
            <w:tcW w:w="6050" w:type="dxa"/>
            <w:shd w:val="clear" w:color="auto" w:fill="auto"/>
            <w:vAlign w:val="center"/>
            <w:hideMark/>
          </w:tcPr>
          <w:p w14:paraId="77584631" w14:textId="77777777" w:rsidR="00A55F86" w:rsidRPr="00205C7B" w:rsidRDefault="00A55F86" w:rsidP="00A55F86">
            <w:pPr>
              <w:spacing w:after="0" w:line="240" w:lineRule="auto"/>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Опазване на биоразнообразието</w:t>
            </w:r>
          </w:p>
        </w:tc>
        <w:tc>
          <w:tcPr>
            <w:tcW w:w="3301" w:type="dxa"/>
            <w:shd w:val="clear" w:color="auto" w:fill="auto"/>
            <w:noWrap/>
            <w:vAlign w:val="bottom"/>
            <w:hideMark/>
          </w:tcPr>
          <w:p w14:paraId="1089B9CB" w14:textId="77777777" w:rsidR="00A55F86" w:rsidRPr="00205C7B" w:rsidRDefault="00A55F86" w:rsidP="00A55F86">
            <w:pPr>
              <w:spacing w:after="0" w:line="240" w:lineRule="auto"/>
              <w:jc w:val="right"/>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86%</w:t>
            </w:r>
          </w:p>
        </w:tc>
      </w:tr>
      <w:tr w:rsidR="00A55F86" w:rsidRPr="00205C7B" w14:paraId="2FB03B5F" w14:textId="77777777" w:rsidTr="00A55F86">
        <w:trPr>
          <w:trHeight w:val="360"/>
        </w:trPr>
        <w:tc>
          <w:tcPr>
            <w:tcW w:w="6050" w:type="dxa"/>
            <w:shd w:val="clear" w:color="auto" w:fill="auto"/>
            <w:vAlign w:val="center"/>
            <w:hideMark/>
          </w:tcPr>
          <w:p w14:paraId="1219547C" w14:textId="77777777" w:rsidR="00A55F86" w:rsidRPr="00205C7B" w:rsidRDefault="00A55F86" w:rsidP="00A55F86">
            <w:pPr>
              <w:spacing w:after="0" w:line="240" w:lineRule="auto"/>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Устойчиво управление на земите и на други природни ресурси</w:t>
            </w:r>
          </w:p>
        </w:tc>
        <w:tc>
          <w:tcPr>
            <w:tcW w:w="3301" w:type="dxa"/>
            <w:shd w:val="clear" w:color="auto" w:fill="auto"/>
            <w:noWrap/>
            <w:vAlign w:val="bottom"/>
            <w:hideMark/>
          </w:tcPr>
          <w:p w14:paraId="70CAD091" w14:textId="77777777" w:rsidR="00A55F86" w:rsidRPr="00205C7B" w:rsidRDefault="00A55F86" w:rsidP="00A55F86">
            <w:pPr>
              <w:spacing w:after="0" w:line="240" w:lineRule="auto"/>
              <w:jc w:val="right"/>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86%</w:t>
            </w:r>
          </w:p>
        </w:tc>
      </w:tr>
      <w:tr w:rsidR="00A55F86" w:rsidRPr="00205C7B" w14:paraId="17DCA006" w14:textId="77777777" w:rsidTr="00A55F86">
        <w:trPr>
          <w:trHeight w:val="300"/>
        </w:trPr>
        <w:tc>
          <w:tcPr>
            <w:tcW w:w="6050" w:type="dxa"/>
            <w:shd w:val="clear" w:color="auto" w:fill="auto"/>
            <w:vAlign w:val="center"/>
            <w:hideMark/>
          </w:tcPr>
          <w:p w14:paraId="16E2662F" w14:textId="77777777" w:rsidR="00A55F86" w:rsidRPr="00205C7B" w:rsidRDefault="00A55F86" w:rsidP="00A55F86">
            <w:pPr>
              <w:spacing w:after="0" w:line="240" w:lineRule="auto"/>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Опазване на водите</w:t>
            </w:r>
          </w:p>
        </w:tc>
        <w:tc>
          <w:tcPr>
            <w:tcW w:w="3301" w:type="dxa"/>
            <w:shd w:val="clear" w:color="auto" w:fill="auto"/>
            <w:noWrap/>
            <w:vAlign w:val="bottom"/>
            <w:hideMark/>
          </w:tcPr>
          <w:p w14:paraId="0676D52C" w14:textId="77777777" w:rsidR="00A55F86" w:rsidRPr="00205C7B" w:rsidRDefault="00A55F86" w:rsidP="00A55F86">
            <w:pPr>
              <w:spacing w:after="0" w:line="240" w:lineRule="auto"/>
              <w:jc w:val="right"/>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33%</w:t>
            </w:r>
          </w:p>
        </w:tc>
      </w:tr>
      <w:tr w:rsidR="00A55F86" w:rsidRPr="00205C7B" w14:paraId="3DFEC83F" w14:textId="77777777" w:rsidTr="00A55F86">
        <w:trPr>
          <w:trHeight w:val="300"/>
        </w:trPr>
        <w:tc>
          <w:tcPr>
            <w:tcW w:w="6050" w:type="dxa"/>
            <w:shd w:val="clear" w:color="auto" w:fill="auto"/>
            <w:vAlign w:val="center"/>
            <w:hideMark/>
          </w:tcPr>
          <w:p w14:paraId="05F3D203" w14:textId="77777777" w:rsidR="00A55F86" w:rsidRPr="00205C7B" w:rsidRDefault="00A55F86" w:rsidP="00A55F86">
            <w:pPr>
              <w:spacing w:after="0" w:line="240" w:lineRule="auto"/>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Опазване на почвите</w:t>
            </w:r>
          </w:p>
        </w:tc>
        <w:tc>
          <w:tcPr>
            <w:tcW w:w="3301" w:type="dxa"/>
            <w:shd w:val="clear" w:color="auto" w:fill="auto"/>
            <w:noWrap/>
            <w:vAlign w:val="bottom"/>
            <w:hideMark/>
          </w:tcPr>
          <w:p w14:paraId="75CC69AB" w14:textId="77777777" w:rsidR="00A55F86" w:rsidRPr="00205C7B" w:rsidRDefault="00A55F86" w:rsidP="00A55F86">
            <w:pPr>
              <w:spacing w:after="0" w:line="240" w:lineRule="auto"/>
              <w:jc w:val="right"/>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56%</w:t>
            </w:r>
          </w:p>
        </w:tc>
      </w:tr>
      <w:tr w:rsidR="00A55F86" w:rsidRPr="00205C7B" w14:paraId="7AE5FA0F" w14:textId="77777777" w:rsidTr="00A55F86">
        <w:trPr>
          <w:trHeight w:val="300"/>
        </w:trPr>
        <w:tc>
          <w:tcPr>
            <w:tcW w:w="6050" w:type="dxa"/>
            <w:shd w:val="clear" w:color="auto" w:fill="auto"/>
            <w:vAlign w:val="center"/>
            <w:hideMark/>
          </w:tcPr>
          <w:p w14:paraId="7254EDED" w14:textId="77777777" w:rsidR="00A55F86" w:rsidRPr="00205C7B" w:rsidRDefault="00A55F86" w:rsidP="00A55F86">
            <w:pPr>
              <w:spacing w:after="0" w:line="240" w:lineRule="auto"/>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Подобряване на околната среда</w:t>
            </w:r>
          </w:p>
        </w:tc>
        <w:tc>
          <w:tcPr>
            <w:tcW w:w="3301" w:type="dxa"/>
            <w:shd w:val="clear" w:color="auto" w:fill="auto"/>
            <w:noWrap/>
            <w:vAlign w:val="bottom"/>
            <w:hideMark/>
          </w:tcPr>
          <w:p w14:paraId="3F38A385" w14:textId="77777777" w:rsidR="00A55F86" w:rsidRPr="00205C7B" w:rsidRDefault="00A55F86" w:rsidP="00A55F86">
            <w:pPr>
              <w:spacing w:after="0" w:line="240" w:lineRule="auto"/>
              <w:jc w:val="right"/>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86%</w:t>
            </w:r>
          </w:p>
        </w:tc>
      </w:tr>
      <w:tr w:rsidR="00A55F86" w:rsidRPr="00205C7B" w14:paraId="39BAE956" w14:textId="77777777" w:rsidTr="00A55F86">
        <w:trPr>
          <w:trHeight w:val="283"/>
        </w:trPr>
        <w:tc>
          <w:tcPr>
            <w:tcW w:w="6050" w:type="dxa"/>
            <w:shd w:val="clear" w:color="auto" w:fill="auto"/>
            <w:vAlign w:val="center"/>
            <w:hideMark/>
          </w:tcPr>
          <w:p w14:paraId="63B6FBFF" w14:textId="77777777" w:rsidR="00A55F86" w:rsidRPr="00205C7B" w:rsidRDefault="00A55F86" w:rsidP="00A55F86">
            <w:pPr>
              <w:spacing w:after="0" w:line="240" w:lineRule="auto"/>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Поддръжка на ВПС на обработваемата земя</w:t>
            </w:r>
          </w:p>
        </w:tc>
        <w:tc>
          <w:tcPr>
            <w:tcW w:w="3301" w:type="dxa"/>
            <w:shd w:val="clear" w:color="auto" w:fill="auto"/>
            <w:noWrap/>
            <w:vAlign w:val="bottom"/>
            <w:hideMark/>
          </w:tcPr>
          <w:p w14:paraId="7DEE4ADD" w14:textId="77777777" w:rsidR="00A55F86" w:rsidRPr="00205C7B" w:rsidRDefault="00A55F86" w:rsidP="00A55F86">
            <w:pPr>
              <w:spacing w:after="0" w:line="240" w:lineRule="auto"/>
              <w:jc w:val="right"/>
              <w:rPr>
                <w:rFonts w:ascii="Arial" w:eastAsia="Times New Roman" w:hAnsi="Arial" w:cs="Arial"/>
                <w:color w:val="000000"/>
                <w:sz w:val="20"/>
                <w:szCs w:val="20"/>
                <w:lang w:eastAsia="bg-BG"/>
              </w:rPr>
            </w:pPr>
            <w:r w:rsidRPr="00205C7B">
              <w:rPr>
                <w:rFonts w:ascii="Arial" w:eastAsia="Times New Roman" w:hAnsi="Arial" w:cs="Arial"/>
                <w:color w:val="000000"/>
                <w:sz w:val="20"/>
                <w:szCs w:val="20"/>
                <w:lang w:eastAsia="bg-BG"/>
              </w:rPr>
              <w:t>86%</w:t>
            </w:r>
          </w:p>
        </w:tc>
      </w:tr>
    </w:tbl>
    <w:p w14:paraId="52965531" w14:textId="61DF2446" w:rsidR="00A55F86" w:rsidRPr="00205C7B" w:rsidRDefault="00A55F86" w:rsidP="00A55F86">
      <w:pPr>
        <w:pStyle w:val="DefaultText"/>
        <w:spacing w:after="120" w:line="300" w:lineRule="atLeast"/>
        <w:rPr>
          <w:szCs w:val="18"/>
          <w:lang w:val="bg-BG"/>
        </w:rPr>
      </w:pPr>
      <w:r w:rsidRPr="00205C7B">
        <w:rPr>
          <w:szCs w:val="18"/>
          <w:lang w:val="bg-BG"/>
        </w:rPr>
        <w:t>Източник: Теренни проучвания сред 9 бенефициент</w:t>
      </w:r>
      <w:r w:rsidR="009F38B8">
        <w:rPr>
          <w:szCs w:val="18"/>
          <w:lang w:val="bg-BG"/>
        </w:rPr>
        <w:t>и</w:t>
      </w:r>
      <w:r w:rsidRPr="00205C7B">
        <w:rPr>
          <w:szCs w:val="18"/>
          <w:lang w:val="bg-BG"/>
        </w:rPr>
        <w:t xml:space="preserve"> по мярка 211</w:t>
      </w:r>
    </w:p>
    <w:p w14:paraId="6C4F278B" w14:textId="487F6DD1" w:rsidR="00E8617E" w:rsidRPr="00205C7B" w:rsidRDefault="00E8617E" w:rsidP="00E8617E">
      <w:pPr>
        <w:pStyle w:val="DefaultText"/>
        <w:spacing w:after="120" w:line="300" w:lineRule="atLeast"/>
        <w:ind w:firstLine="708"/>
        <w:rPr>
          <w:sz w:val="22"/>
          <w:szCs w:val="22"/>
          <w:lang w:val="bg-BG"/>
        </w:rPr>
      </w:pPr>
      <w:r w:rsidRPr="00205C7B">
        <w:rPr>
          <w:sz w:val="22"/>
          <w:szCs w:val="22"/>
          <w:lang w:val="bg-BG"/>
        </w:rPr>
        <w:t>Освен това</w:t>
      </w:r>
      <w:r w:rsidR="009F38B8">
        <w:rPr>
          <w:sz w:val="22"/>
          <w:szCs w:val="22"/>
          <w:lang w:val="bg-BG"/>
        </w:rPr>
        <w:t>,</w:t>
      </w:r>
      <w:r w:rsidRPr="00205C7B">
        <w:rPr>
          <w:sz w:val="22"/>
          <w:szCs w:val="22"/>
          <w:lang w:val="bg-BG"/>
        </w:rPr>
        <w:t xml:space="preserve"> задължителното условие земеделските стопани да поддържат ползваните площи в добро земеделско и екологично състояние оказва благоприятен ефект върху запазване качеството на почвите и има положително въздействие върху предпазването й от ерозия, като част от общите цели на пакета от мерки от ос 2.  </w:t>
      </w:r>
    </w:p>
    <w:p w14:paraId="33ACEB2B" w14:textId="77777777" w:rsidR="00E8617E" w:rsidRPr="00BC513A" w:rsidRDefault="00E8617E" w:rsidP="00E8617E">
      <w:pPr>
        <w:pStyle w:val="DefaultText"/>
        <w:spacing w:after="120" w:line="300" w:lineRule="atLeast"/>
        <w:ind w:firstLine="708"/>
        <w:rPr>
          <w:sz w:val="22"/>
          <w:szCs w:val="22"/>
          <w:lang w:val="bg-BG"/>
        </w:rPr>
      </w:pPr>
      <w:r w:rsidRPr="00205C7B">
        <w:rPr>
          <w:sz w:val="22"/>
          <w:szCs w:val="22"/>
          <w:lang w:val="bg-BG"/>
        </w:rPr>
        <w:t>На база степента на постигане на индикаторите за количествено изпълнение може да се направи извод, че изпълнението на М211 в значителна степен допринася за поддържане на земеделието върху земите, поддържането на</w:t>
      </w:r>
      <w:r w:rsidRPr="00BC513A">
        <w:rPr>
          <w:sz w:val="22"/>
          <w:szCs w:val="22"/>
          <w:lang w:val="bg-BG"/>
        </w:rPr>
        <w:t xml:space="preserve"> жизнеспособни селски общности, поддържане и насърчаване на устойчиви земеделски системи, поддържане на земите и подобряване на околната среда в необлагодетелстваните планински райони.</w:t>
      </w:r>
    </w:p>
    <w:p w14:paraId="0BC6AB37"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Наблюдават се два индикатора за резултат:</w:t>
      </w:r>
    </w:p>
    <w:p w14:paraId="5FA3013F" w14:textId="5BA4C357" w:rsidR="00E8617E" w:rsidRPr="00BC513A" w:rsidRDefault="00E8617E" w:rsidP="00E8617E">
      <w:pPr>
        <w:pStyle w:val="DefaultText"/>
        <w:numPr>
          <w:ilvl w:val="1"/>
          <w:numId w:val="41"/>
        </w:numPr>
        <w:spacing w:after="120" w:line="300" w:lineRule="atLeast"/>
        <w:rPr>
          <w:sz w:val="22"/>
          <w:szCs w:val="22"/>
          <w:lang w:val="bg-BG"/>
        </w:rPr>
      </w:pPr>
      <w:r w:rsidRPr="00BC513A">
        <w:rPr>
          <w:sz w:val="22"/>
          <w:szCs w:val="22"/>
          <w:lang w:val="bg-BG"/>
        </w:rPr>
        <w:t xml:space="preserve">Противодействие на обезлюдяването и изоставянето на земи (цел </w:t>
      </w:r>
      <w:r w:rsidR="00F27506">
        <w:rPr>
          <w:sz w:val="22"/>
          <w:szCs w:val="22"/>
          <w:lang w:val="bg-BG"/>
        </w:rPr>
        <w:t>–</w:t>
      </w:r>
      <w:r w:rsidRPr="00BC513A">
        <w:rPr>
          <w:sz w:val="22"/>
          <w:szCs w:val="22"/>
          <w:lang w:val="bg-BG"/>
        </w:rPr>
        <w:t xml:space="preserve"> 15%)  </w:t>
      </w:r>
    </w:p>
    <w:p w14:paraId="0B73A46F" w14:textId="5AE6C755" w:rsidR="00E8617E" w:rsidRPr="00BC513A" w:rsidRDefault="00E8617E" w:rsidP="00E8617E">
      <w:pPr>
        <w:pStyle w:val="DefaultText"/>
        <w:numPr>
          <w:ilvl w:val="1"/>
          <w:numId w:val="41"/>
        </w:numPr>
        <w:spacing w:after="120" w:line="300" w:lineRule="atLeast"/>
        <w:rPr>
          <w:sz w:val="22"/>
          <w:szCs w:val="22"/>
          <w:lang w:val="bg-BG"/>
        </w:rPr>
      </w:pPr>
      <w:r w:rsidRPr="00BC513A">
        <w:rPr>
          <w:sz w:val="22"/>
          <w:szCs w:val="22"/>
          <w:lang w:val="bg-BG"/>
        </w:rPr>
        <w:t xml:space="preserve">Подобряване качеството на почвата (цел </w:t>
      </w:r>
      <w:r w:rsidR="00F27506">
        <w:rPr>
          <w:sz w:val="22"/>
          <w:szCs w:val="22"/>
          <w:lang w:val="bg-BG"/>
        </w:rPr>
        <w:t>–</w:t>
      </w:r>
      <w:r w:rsidRPr="00BC513A">
        <w:rPr>
          <w:sz w:val="22"/>
          <w:szCs w:val="22"/>
          <w:lang w:val="bg-BG"/>
        </w:rPr>
        <w:t xml:space="preserve"> 5%).</w:t>
      </w:r>
    </w:p>
    <w:p w14:paraId="6E77E1EE" w14:textId="79003F93"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Тъй като няма конкретни количествени показатели за мониторинг и измерване на напредъка на индикаторите на практика не може да се даде оценка в каква степен са постигнати поставените цели за Противодействие на обезлюдяването и изоставянето на земи (цел </w:t>
      </w:r>
      <w:r w:rsidR="00F27506">
        <w:rPr>
          <w:sz w:val="22"/>
          <w:szCs w:val="22"/>
          <w:lang w:val="bg-BG"/>
        </w:rPr>
        <w:t>–</w:t>
      </w:r>
      <w:r w:rsidRPr="00BC513A">
        <w:rPr>
          <w:sz w:val="22"/>
          <w:szCs w:val="22"/>
          <w:lang w:val="bg-BG"/>
        </w:rPr>
        <w:t xml:space="preserve"> 15%) и за Подобряване качеството на почвата (цел </w:t>
      </w:r>
      <w:r w:rsidR="00F27506">
        <w:rPr>
          <w:sz w:val="22"/>
          <w:szCs w:val="22"/>
          <w:lang w:val="bg-BG"/>
        </w:rPr>
        <w:t>–</w:t>
      </w:r>
      <w:r w:rsidRPr="00BC513A">
        <w:rPr>
          <w:sz w:val="22"/>
          <w:szCs w:val="22"/>
          <w:lang w:val="bg-BG"/>
        </w:rPr>
        <w:t xml:space="preserve"> 5%). </w:t>
      </w:r>
    </w:p>
    <w:p w14:paraId="08235CBA" w14:textId="1993D2B5" w:rsidR="00A55F86" w:rsidRPr="00205C7B" w:rsidRDefault="00E8617E" w:rsidP="00E8617E">
      <w:pPr>
        <w:pStyle w:val="DefaultText"/>
        <w:spacing w:after="120" w:line="300" w:lineRule="atLeast"/>
        <w:ind w:firstLine="708"/>
        <w:rPr>
          <w:sz w:val="22"/>
          <w:szCs w:val="22"/>
          <w:lang w:val="bg-BG"/>
        </w:rPr>
      </w:pPr>
      <w:r w:rsidRPr="00BC513A">
        <w:rPr>
          <w:sz w:val="22"/>
          <w:szCs w:val="22"/>
          <w:lang w:val="bg-BG"/>
        </w:rPr>
        <w:t>Отчетено е</w:t>
      </w:r>
      <w:r w:rsidR="00F27506">
        <w:rPr>
          <w:sz w:val="22"/>
          <w:szCs w:val="22"/>
          <w:lang w:val="bg-BG"/>
        </w:rPr>
        <w:t>,</w:t>
      </w:r>
      <w:r w:rsidRPr="00BC513A">
        <w:rPr>
          <w:sz w:val="22"/>
          <w:szCs w:val="22"/>
          <w:lang w:val="bg-BG"/>
        </w:rPr>
        <w:t xml:space="preserve"> че мярката </w:t>
      </w:r>
      <w:r w:rsidRPr="00205C7B">
        <w:rPr>
          <w:sz w:val="22"/>
          <w:szCs w:val="22"/>
          <w:lang w:val="bg-BG"/>
        </w:rPr>
        <w:t>допринася в еднаква степен (по 82</w:t>
      </w:r>
      <w:r w:rsidR="00F27506">
        <w:rPr>
          <w:sz w:val="22"/>
          <w:szCs w:val="22"/>
          <w:lang w:val="bg-BG"/>
        </w:rPr>
        <w:t> </w:t>
      </w:r>
      <w:r w:rsidRPr="00205C7B">
        <w:rPr>
          <w:sz w:val="22"/>
          <w:szCs w:val="22"/>
          <w:lang w:val="bg-BG"/>
        </w:rPr>
        <w:t>000 ha) към индикаторите относно опазване на био</w:t>
      </w:r>
      <w:r w:rsidR="00C5519D" w:rsidRPr="00205C7B">
        <w:rPr>
          <w:sz w:val="22"/>
          <w:szCs w:val="22"/>
          <w:lang w:val="bg-BG"/>
        </w:rPr>
        <w:t>р</w:t>
      </w:r>
      <w:r w:rsidRPr="00205C7B">
        <w:rPr>
          <w:sz w:val="22"/>
          <w:szCs w:val="22"/>
          <w:lang w:val="bg-BG"/>
        </w:rPr>
        <w:t>аз</w:t>
      </w:r>
      <w:r w:rsidR="00C5519D" w:rsidRPr="00205C7B">
        <w:rPr>
          <w:sz w:val="22"/>
          <w:szCs w:val="22"/>
          <w:lang w:val="bg-BG"/>
        </w:rPr>
        <w:t>н</w:t>
      </w:r>
      <w:r w:rsidRPr="00205C7B">
        <w:rPr>
          <w:sz w:val="22"/>
          <w:szCs w:val="22"/>
          <w:lang w:val="bg-BG"/>
        </w:rPr>
        <w:t xml:space="preserve">ообразието и ВПС на земите, качеството на почвите и водата и </w:t>
      </w:r>
      <w:r w:rsidR="00C5519D" w:rsidRPr="00205C7B">
        <w:rPr>
          <w:sz w:val="22"/>
          <w:szCs w:val="22"/>
          <w:lang w:val="bg-BG"/>
        </w:rPr>
        <w:t>изменението</w:t>
      </w:r>
      <w:r w:rsidRPr="00205C7B">
        <w:rPr>
          <w:sz w:val="22"/>
          <w:szCs w:val="22"/>
          <w:lang w:val="bg-BG"/>
        </w:rPr>
        <w:t xml:space="preserve"> на климата. </w:t>
      </w:r>
      <w:r w:rsidR="00A55F86" w:rsidRPr="00205C7B">
        <w:rPr>
          <w:sz w:val="22"/>
          <w:szCs w:val="22"/>
          <w:lang w:val="bg-BG"/>
        </w:rPr>
        <w:t>От теренните проучвания е видно, че според бенефициентите мярката има по-малък ефект върху опазване на водите.</w:t>
      </w:r>
    </w:p>
    <w:p w14:paraId="4FA90963" w14:textId="77777777" w:rsidR="00E8617E" w:rsidRPr="00BC513A" w:rsidRDefault="00E8617E" w:rsidP="00E8617E">
      <w:pPr>
        <w:pStyle w:val="DefaultText"/>
        <w:spacing w:after="120" w:line="300" w:lineRule="atLeast"/>
        <w:ind w:firstLine="708"/>
        <w:rPr>
          <w:sz w:val="22"/>
          <w:szCs w:val="22"/>
          <w:lang w:val="bg-BG"/>
        </w:rPr>
      </w:pPr>
      <w:r w:rsidRPr="00205C7B">
        <w:rPr>
          <w:sz w:val="22"/>
          <w:szCs w:val="22"/>
          <w:lang w:val="bg-BG"/>
        </w:rPr>
        <w:t>В същото време за предотвратяване на маргинализацията не са отчетени площи, а това е ед</w:t>
      </w:r>
      <w:r w:rsidR="00A55F86" w:rsidRPr="00205C7B">
        <w:rPr>
          <w:sz w:val="22"/>
          <w:szCs w:val="22"/>
          <w:lang w:val="bg-BG"/>
        </w:rPr>
        <w:t>на от основните цели на мярката. Повече от половината бенефициенти, които бяха интервюирани по време на теренните проучвания, считат, че мярката има принос в това отношение.</w:t>
      </w:r>
    </w:p>
    <w:p w14:paraId="22D9EF30" w14:textId="77777777" w:rsidR="00E8617E" w:rsidRPr="00BC513A" w:rsidRDefault="00E8617E" w:rsidP="00E8617E">
      <w:pPr>
        <w:pStyle w:val="DefaultText"/>
        <w:spacing w:after="120" w:line="300" w:lineRule="atLeast"/>
        <w:ind w:firstLine="708"/>
        <w:rPr>
          <w:i/>
          <w:sz w:val="22"/>
          <w:szCs w:val="22"/>
          <w:lang w:val="bg-BG"/>
        </w:rPr>
      </w:pPr>
      <w:r w:rsidRPr="00BC513A">
        <w:rPr>
          <w:i/>
          <w:sz w:val="22"/>
          <w:szCs w:val="22"/>
          <w:lang w:val="bg-BG"/>
        </w:rPr>
        <w:t>212. Плащания на земеделски стопани в райони с ограничения, различни от планинските райони</w:t>
      </w:r>
    </w:p>
    <w:p w14:paraId="1DB9BE36"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212 предвижда плащания за земеделски стопани, работещи в райони с ограничения, различни от планинските райони. Мярка</w:t>
      </w:r>
      <w:r w:rsidR="00F27506">
        <w:rPr>
          <w:sz w:val="22"/>
          <w:szCs w:val="22"/>
          <w:lang w:val="bg-BG"/>
        </w:rPr>
        <w:t>та</w:t>
      </w:r>
      <w:r w:rsidRPr="00BC513A">
        <w:rPr>
          <w:sz w:val="22"/>
          <w:szCs w:val="22"/>
          <w:lang w:val="bg-BG"/>
        </w:rPr>
        <w:t xml:space="preserve"> има за цел да компенсира стопаните за по-ниско почвено плодородие, чиито площи се използват предимно за екстензивно животновъдство, както и да насърчи рационалното използване на земята и други природни ресурси. Опазването на биологичното разнообразие, предотвратяване на изоставянето на земята, запазване привлекателността на селските райони и предотвратяване на обезлюдяването на тези райони са също сред основните цели на мярката. </w:t>
      </w:r>
    </w:p>
    <w:p w14:paraId="79C2D2D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Анализът на прилагането на мярката показва, че тя допринася в значителна степен за постигане на целите, заложени с индикаторите за резултат</w:t>
      </w:r>
      <w:r w:rsidR="00F27506">
        <w:rPr>
          <w:sz w:val="22"/>
          <w:szCs w:val="22"/>
          <w:lang w:val="bg-BG"/>
        </w:rPr>
        <w:t>,</w:t>
      </w:r>
      <w:r w:rsidRPr="00BC513A">
        <w:rPr>
          <w:sz w:val="22"/>
          <w:szCs w:val="22"/>
          <w:lang w:val="bg-BG"/>
        </w:rPr>
        <w:t xml:space="preserve"> като през 2014</w:t>
      </w:r>
      <w:r w:rsidR="00F27506">
        <w:rPr>
          <w:sz w:val="22"/>
          <w:szCs w:val="22"/>
          <w:lang w:val="bg-BG"/>
        </w:rPr>
        <w:t xml:space="preserve"> </w:t>
      </w:r>
      <w:r w:rsidRPr="00BC513A">
        <w:rPr>
          <w:sz w:val="22"/>
          <w:szCs w:val="22"/>
          <w:lang w:val="bg-BG"/>
        </w:rPr>
        <w:t>г. подпомага 231% от предвидените по мярката стопанства. Поставената цел за подпомогната площ на база платени заявления през 2015</w:t>
      </w:r>
      <w:r w:rsidR="00F27506">
        <w:rPr>
          <w:sz w:val="22"/>
          <w:szCs w:val="22"/>
          <w:lang w:val="bg-BG"/>
        </w:rPr>
        <w:t xml:space="preserve"> </w:t>
      </w:r>
      <w:r w:rsidRPr="00BC513A">
        <w:rPr>
          <w:sz w:val="22"/>
          <w:szCs w:val="22"/>
          <w:lang w:val="bg-BG"/>
        </w:rPr>
        <w:t>г. (за кампания 2014</w:t>
      </w:r>
      <w:r w:rsidR="00F27506">
        <w:rPr>
          <w:sz w:val="22"/>
          <w:szCs w:val="22"/>
          <w:lang w:val="bg-BG"/>
        </w:rPr>
        <w:t xml:space="preserve"> </w:t>
      </w:r>
      <w:r w:rsidRPr="00BC513A">
        <w:rPr>
          <w:sz w:val="22"/>
          <w:szCs w:val="22"/>
          <w:lang w:val="bg-BG"/>
        </w:rPr>
        <w:t>г.) е изпълнена над заложената цел със 117%.</w:t>
      </w:r>
    </w:p>
    <w:p w14:paraId="421E746B" w14:textId="77777777" w:rsidR="00E8617E" w:rsidRPr="00BC513A" w:rsidRDefault="00E8617E" w:rsidP="00E8617E">
      <w:pPr>
        <w:keepNext/>
        <w:spacing w:before="240" w:after="0" w:line="280" w:lineRule="atLeast"/>
        <w:jc w:val="both"/>
        <w:rPr>
          <w:rFonts w:ascii="Arial" w:hAnsi="Arial" w:cs="Arial"/>
          <w:b/>
          <w:color w:val="0070C0"/>
          <w:sz w:val="20"/>
          <w:szCs w:val="20"/>
        </w:rPr>
      </w:pPr>
      <w:bookmarkStart w:id="141" w:name="_Toc504136223"/>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51</w:t>
      </w:r>
      <w:r w:rsidRPr="00BC513A">
        <w:rPr>
          <w:rFonts w:ascii="Arial" w:hAnsi="Arial" w:cs="Arial"/>
          <w:b/>
          <w:color w:val="0070C0"/>
          <w:sz w:val="20"/>
          <w:szCs w:val="20"/>
        </w:rPr>
        <w:fldChar w:fldCharType="end"/>
      </w:r>
      <w:r w:rsidRPr="00BC513A">
        <w:rPr>
          <w:rFonts w:ascii="Arial" w:hAnsi="Arial" w:cs="Arial"/>
          <w:b/>
          <w:color w:val="0070C0"/>
          <w:sz w:val="20"/>
          <w:szCs w:val="20"/>
        </w:rPr>
        <w:t>. Постигане на целите по мярка 212 въз основа на платените заявления към 31.12.2015г.</w:t>
      </w:r>
      <w:bookmarkEnd w:id="141"/>
    </w:p>
    <w:tbl>
      <w:tblPr>
        <w:tblW w:w="8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1"/>
        <w:gridCol w:w="860"/>
        <w:gridCol w:w="1760"/>
        <w:gridCol w:w="1660"/>
        <w:gridCol w:w="987"/>
        <w:gridCol w:w="1640"/>
      </w:tblGrid>
      <w:tr w:rsidR="00E8617E" w:rsidRPr="00BC513A" w14:paraId="26C1EA06" w14:textId="77777777" w:rsidTr="00922731">
        <w:trPr>
          <w:trHeight w:val="945"/>
          <w:jc w:val="center"/>
        </w:trPr>
        <w:tc>
          <w:tcPr>
            <w:tcW w:w="2011" w:type="dxa"/>
            <w:shd w:val="clear" w:color="auto" w:fill="1F4E79" w:themeFill="accent1" w:themeFillShade="80"/>
            <w:vAlign w:val="center"/>
            <w:hideMark/>
          </w:tcPr>
          <w:p w14:paraId="2564F448"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брой заявители, получили субсидии</w:t>
            </w:r>
          </w:p>
        </w:tc>
        <w:tc>
          <w:tcPr>
            <w:tcW w:w="860" w:type="dxa"/>
            <w:shd w:val="clear" w:color="auto" w:fill="1F4E79" w:themeFill="accent1" w:themeFillShade="80"/>
            <w:vAlign w:val="center"/>
            <w:hideMark/>
          </w:tcPr>
          <w:p w14:paraId="2CFC259B"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 в ПРСР</w:t>
            </w:r>
          </w:p>
        </w:tc>
        <w:tc>
          <w:tcPr>
            <w:tcW w:w="1760" w:type="dxa"/>
            <w:shd w:val="clear" w:color="auto" w:fill="1F4E79" w:themeFill="accent1" w:themeFillShade="80"/>
            <w:vAlign w:val="center"/>
            <w:hideMark/>
          </w:tcPr>
          <w:p w14:paraId="603B6EAB"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напредък в изпълнението на целите в  %</w:t>
            </w:r>
          </w:p>
        </w:tc>
        <w:tc>
          <w:tcPr>
            <w:tcW w:w="1660" w:type="dxa"/>
            <w:shd w:val="clear" w:color="auto" w:fill="1F4E79" w:themeFill="accent1" w:themeFillShade="80"/>
            <w:vAlign w:val="center"/>
            <w:hideMark/>
          </w:tcPr>
          <w:p w14:paraId="63117B46"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подпомогната площ    /ha/</w:t>
            </w:r>
          </w:p>
        </w:tc>
        <w:tc>
          <w:tcPr>
            <w:tcW w:w="987" w:type="dxa"/>
            <w:shd w:val="clear" w:color="auto" w:fill="1F4E79" w:themeFill="accent1" w:themeFillShade="80"/>
            <w:vAlign w:val="center"/>
            <w:hideMark/>
          </w:tcPr>
          <w:p w14:paraId="30B30E83"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 в ПРСР</w:t>
            </w:r>
          </w:p>
        </w:tc>
        <w:tc>
          <w:tcPr>
            <w:tcW w:w="1640" w:type="dxa"/>
            <w:shd w:val="clear" w:color="auto" w:fill="1F4E79" w:themeFill="accent1" w:themeFillShade="80"/>
            <w:vAlign w:val="center"/>
            <w:hideMark/>
          </w:tcPr>
          <w:p w14:paraId="60408883"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напредък в изпълнението на целите в  %</w:t>
            </w:r>
          </w:p>
        </w:tc>
      </w:tr>
      <w:tr w:rsidR="00E8617E" w:rsidRPr="00BC513A" w14:paraId="060B271D" w14:textId="77777777" w:rsidTr="00922731">
        <w:trPr>
          <w:trHeight w:val="315"/>
          <w:jc w:val="center"/>
        </w:trPr>
        <w:tc>
          <w:tcPr>
            <w:tcW w:w="2011" w:type="dxa"/>
            <w:noWrap/>
            <w:vAlign w:val="center"/>
            <w:hideMark/>
          </w:tcPr>
          <w:p w14:paraId="783BB940" w14:textId="77777777" w:rsidR="00E8617E" w:rsidRPr="00BC513A" w:rsidRDefault="00E8617E" w:rsidP="00922731">
            <w:pPr>
              <w:spacing w:after="0" w:line="240" w:lineRule="auto"/>
              <w:jc w:val="center"/>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23 136</w:t>
            </w:r>
          </w:p>
        </w:tc>
        <w:tc>
          <w:tcPr>
            <w:tcW w:w="860" w:type="dxa"/>
            <w:noWrap/>
            <w:vAlign w:val="center"/>
            <w:hideMark/>
          </w:tcPr>
          <w:p w14:paraId="263EBA9F" w14:textId="77777777" w:rsidR="00E8617E" w:rsidRPr="00BC513A" w:rsidRDefault="00E8617E" w:rsidP="00922731">
            <w:pPr>
              <w:spacing w:after="0" w:line="240" w:lineRule="auto"/>
              <w:jc w:val="center"/>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10 000</w:t>
            </w:r>
          </w:p>
        </w:tc>
        <w:tc>
          <w:tcPr>
            <w:tcW w:w="1760" w:type="dxa"/>
            <w:noWrap/>
            <w:vAlign w:val="center"/>
            <w:hideMark/>
          </w:tcPr>
          <w:p w14:paraId="4F8A2EAB" w14:textId="77777777" w:rsidR="00E8617E" w:rsidRPr="00BC513A" w:rsidRDefault="00E8617E" w:rsidP="00922731">
            <w:pPr>
              <w:spacing w:after="0" w:line="240" w:lineRule="auto"/>
              <w:jc w:val="center"/>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231%</w:t>
            </w:r>
          </w:p>
        </w:tc>
        <w:tc>
          <w:tcPr>
            <w:tcW w:w="1660" w:type="dxa"/>
            <w:noWrap/>
            <w:vAlign w:val="center"/>
            <w:hideMark/>
          </w:tcPr>
          <w:p w14:paraId="032D25D9" w14:textId="77777777" w:rsidR="00E8617E" w:rsidRPr="00BC513A" w:rsidRDefault="00E8617E" w:rsidP="00922731">
            <w:pPr>
              <w:spacing w:after="0" w:line="240" w:lineRule="auto"/>
              <w:jc w:val="center"/>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257 079</w:t>
            </w:r>
          </w:p>
        </w:tc>
        <w:tc>
          <w:tcPr>
            <w:tcW w:w="987" w:type="dxa"/>
            <w:noWrap/>
            <w:vAlign w:val="center"/>
            <w:hideMark/>
          </w:tcPr>
          <w:p w14:paraId="7611B37F" w14:textId="77777777" w:rsidR="00E8617E" w:rsidRPr="00BC513A" w:rsidRDefault="00E8617E" w:rsidP="00922731">
            <w:pPr>
              <w:spacing w:after="0" w:line="240" w:lineRule="auto"/>
              <w:jc w:val="center"/>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220 000</w:t>
            </w:r>
          </w:p>
        </w:tc>
        <w:tc>
          <w:tcPr>
            <w:tcW w:w="1640" w:type="dxa"/>
            <w:vAlign w:val="center"/>
            <w:hideMark/>
          </w:tcPr>
          <w:p w14:paraId="201FFBCA" w14:textId="77777777" w:rsidR="00E8617E" w:rsidRPr="00BC513A" w:rsidRDefault="00E8617E" w:rsidP="00922731">
            <w:pPr>
              <w:spacing w:after="0" w:line="240" w:lineRule="auto"/>
              <w:jc w:val="center"/>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117%</w:t>
            </w:r>
          </w:p>
        </w:tc>
      </w:tr>
    </w:tbl>
    <w:p w14:paraId="74E835E2" w14:textId="77777777" w:rsidR="00E8617E" w:rsidRPr="00F07F15" w:rsidRDefault="00E8617E" w:rsidP="00E8617E">
      <w:pPr>
        <w:spacing w:after="0" w:line="280" w:lineRule="atLeast"/>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Източник: Годишен доклад за изпълнението на ПРСР 2007-2013 г. за 2015г. Отчетът е направен по установена площ.</w:t>
      </w:r>
    </w:p>
    <w:p w14:paraId="0B6821B5" w14:textId="77777777" w:rsidR="00E8617E" w:rsidRPr="00BC513A" w:rsidRDefault="00E8617E" w:rsidP="00E8617E">
      <w:pPr>
        <w:spacing w:after="0" w:line="280" w:lineRule="atLeast"/>
        <w:jc w:val="both"/>
        <w:rPr>
          <w:rFonts w:ascii="Arial" w:eastAsia="Times New Roman" w:hAnsi="Arial" w:cs="Times New Roman"/>
          <w:sz w:val="20"/>
          <w:szCs w:val="20"/>
          <w:highlight w:val="yellow"/>
          <w:lang w:eastAsia="nl-NL"/>
        </w:rPr>
      </w:pPr>
    </w:p>
    <w:p w14:paraId="34E1C0F2" w14:textId="5707173C"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Интересът от страна на фермерите към мярката непрекъснато се увеличава и кореспондира с постигането на целта на мярката по отношение на подпомогнатите стопанства и на площи. Подпомагат се повече на брой фермери с по-малки площи (най-много са </w:t>
      </w:r>
      <w:r w:rsidR="00F27506">
        <w:rPr>
          <w:sz w:val="22"/>
          <w:szCs w:val="22"/>
          <w:lang w:val="bg-BG"/>
        </w:rPr>
        <w:t>стопанствата</w:t>
      </w:r>
      <w:r w:rsidRPr="00BC513A">
        <w:rPr>
          <w:sz w:val="22"/>
          <w:szCs w:val="22"/>
          <w:lang w:val="bg-BG"/>
        </w:rPr>
        <w:t xml:space="preserve"> с управлявана земя до 50 ha).</w:t>
      </w:r>
    </w:p>
    <w:p w14:paraId="53B3D37D" w14:textId="641E85BF"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На база степента на постигане на индикаторите за количествено изпълнение може да се направи извод, че изпълнението на М212 в значителна степен допринася за създаване на благоприятни условия, за да бъде избегнато изоставянето на земеделските земи и обезлюдяването на тези райони. Посредством това тя съдейства и за рационално използване, съхранение на биологичното разнообразие и устойчивото развитие на поземлените и другите природни ресурси в другите необлагодетелствани райони, да поддържа земеделските дейности и да предпази земите от изоставяне и почвена ерозия и да подпомогне поддържане на привлекателността на ландшафта.</w:t>
      </w:r>
    </w:p>
    <w:p w14:paraId="34C53881"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 мярката се отчитат два индикатора за резултат:</w:t>
      </w:r>
    </w:p>
    <w:p w14:paraId="0D157B64" w14:textId="01FDCC7A" w:rsidR="00E8617E" w:rsidRPr="00BC513A" w:rsidRDefault="00E8617E" w:rsidP="00E8617E">
      <w:pPr>
        <w:pStyle w:val="DefaultText"/>
        <w:numPr>
          <w:ilvl w:val="1"/>
          <w:numId w:val="42"/>
        </w:numPr>
        <w:spacing w:after="120" w:line="300" w:lineRule="atLeast"/>
        <w:rPr>
          <w:sz w:val="22"/>
          <w:szCs w:val="22"/>
          <w:lang w:val="bg-BG"/>
        </w:rPr>
      </w:pPr>
      <w:r w:rsidRPr="00BC513A">
        <w:rPr>
          <w:sz w:val="22"/>
          <w:szCs w:val="22"/>
          <w:lang w:val="bg-BG"/>
        </w:rPr>
        <w:t xml:space="preserve">Противодействие на обезлюдяването и изоставянето на земи (цел </w:t>
      </w:r>
      <w:r w:rsidR="00F27506">
        <w:rPr>
          <w:sz w:val="22"/>
          <w:szCs w:val="22"/>
          <w:lang w:val="bg-BG"/>
        </w:rPr>
        <w:t>–</w:t>
      </w:r>
      <w:r w:rsidRPr="00BC513A">
        <w:rPr>
          <w:sz w:val="22"/>
          <w:szCs w:val="22"/>
          <w:lang w:val="bg-BG"/>
        </w:rPr>
        <w:t xml:space="preserve"> 15%) </w:t>
      </w:r>
    </w:p>
    <w:p w14:paraId="0C2B6C98" w14:textId="009A20DE" w:rsidR="00E8617E" w:rsidRPr="00BC513A" w:rsidRDefault="00E8617E" w:rsidP="00E8617E">
      <w:pPr>
        <w:pStyle w:val="DefaultText"/>
        <w:numPr>
          <w:ilvl w:val="1"/>
          <w:numId w:val="42"/>
        </w:numPr>
        <w:spacing w:after="120" w:line="300" w:lineRule="atLeast"/>
        <w:rPr>
          <w:sz w:val="22"/>
          <w:szCs w:val="22"/>
          <w:lang w:val="bg-BG"/>
        </w:rPr>
      </w:pPr>
      <w:r w:rsidRPr="00BC513A">
        <w:rPr>
          <w:sz w:val="22"/>
          <w:szCs w:val="22"/>
          <w:lang w:val="bg-BG"/>
        </w:rPr>
        <w:t xml:space="preserve">Подобряване качеството на почвата (цел </w:t>
      </w:r>
      <w:r w:rsidR="00F27506">
        <w:rPr>
          <w:sz w:val="22"/>
          <w:szCs w:val="22"/>
          <w:lang w:val="bg-BG"/>
        </w:rPr>
        <w:t>–</w:t>
      </w:r>
      <w:r w:rsidRPr="00BC513A">
        <w:rPr>
          <w:sz w:val="22"/>
          <w:szCs w:val="22"/>
          <w:lang w:val="bg-BG"/>
        </w:rPr>
        <w:t xml:space="preserve"> 5%).</w:t>
      </w:r>
    </w:p>
    <w:p w14:paraId="78F1BEB5" w14:textId="6EDEFBCF"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Тъй като няма конкретни количествени показатели за мониторинг и измерване на напредъка на индикаторите на практика не може да се даде оценка в каква степен са постигнати поставените цели за Противодействие на обезлюдяването и изоставянето на земи (цел </w:t>
      </w:r>
      <w:r w:rsidR="00F27506">
        <w:rPr>
          <w:sz w:val="22"/>
          <w:szCs w:val="22"/>
          <w:lang w:val="bg-BG"/>
        </w:rPr>
        <w:t>–</w:t>
      </w:r>
      <w:r w:rsidRPr="00BC513A">
        <w:rPr>
          <w:sz w:val="22"/>
          <w:szCs w:val="22"/>
          <w:lang w:val="bg-BG"/>
        </w:rPr>
        <w:t xml:space="preserve"> 15%) и за Подобряване качеството на почвата (цел </w:t>
      </w:r>
      <w:r w:rsidR="00F27506">
        <w:rPr>
          <w:sz w:val="22"/>
          <w:szCs w:val="22"/>
          <w:lang w:val="bg-BG"/>
        </w:rPr>
        <w:t>–</w:t>
      </w:r>
      <w:r w:rsidRPr="00BC513A">
        <w:rPr>
          <w:sz w:val="22"/>
          <w:szCs w:val="22"/>
          <w:lang w:val="bg-BG"/>
        </w:rPr>
        <w:t xml:space="preserve"> 5%).</w:t>
      </w:r>
    </w:p>
    <w:p w14:paraId="6D2E2E7F"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 тригодишния доклад за въздействие на програмата върху околната среда е записано, че: „</w:t>
      </w:r>
      <w:r w:rsidRPr="00BC513A">
        <w:rPr>
          <w:i/>
          <w:sz w:val="22"/>
          <w:szCs w:val="22"/>
          <w:lang w:val="bg-BG"/>
        </w:rPr>
        <w:t>целевите резултати от мярка 212 са свързани с избягването на маргинализацията и изоставянето на земята, както и с приноса към качеството на почвата, като целите са определени като процент, но не е ясно от какъв набор - дали използваните земеделски площи в планинските райони или в страната като цяло или нещо друго. Следователно, точна оценка не е възможна</w:t>
      </w:r>
      <w:r w:rsidRPr="00BC513A">
        <w:rPr>
          <w:sz w:val="22"/>
          <w:szCs w:val="22"/>
          <w:lang w:val="bg-BG"/>
        </w:rPr>
        <w:t>.“</w:t>
      </w:r>
    </w:p>
    <w:p w14:paraId="1FBAAB03" w14:textId="77777777" w:rsidR="00E8617E" w:rsidRDefault="00E8617E" w:rsidP="00E8617E">
      <w:pPr>
        <w:pStyle w:val="DefaultText"/>
        <w:spacing w:after="120" w:line="300" w:lineRule="atLeast"/>
        <w:ind w:firstLine="708"/>
        <w:rPr>
          <w:sz w:val="22"/>
          <w:szCs w:val="22"/>
          <w:lang w:val="bg-BG"/>
        </w:rPr>
      </w:pPr>
      <w:r w:rsidRPr="00BC513A">
        <w:rPr>
          <w:sz w:val="22"/>
          <w:szCs w:val="22"/>
          <w:lang w:val="bg-BG"/>
        </w:rPr>
        <w:t>В годишния доклад на програмата за 2015 е отчетено, че мярката подпомага в еднаква степен само първите 4 индикатора (по 64</w:t>
      </w:r>
      <w:r w:rsidR="00F27506">
        <w:rPr>
          <w:sz w:val="22"/>
          <w:szCs w:val="22"/>
          <w:lang w:val="bg-BG"/>
        </w:rPr>
        <w:t> </w:t>
      </w:r>
      <w:r w:rsidRPr="00BC513A">
        <w:rPr>
          <w:sz w:val="22"/>
          <w:szCs w:val="22"/>
          <w:lang w:val="bg-BG"/>
        </w:rPr>
        <w:t>270 ha за всеки от тях), така че за подобряване качеството на почвата подпомаганата площ възлиза на около 64</w:t>
      </w:r>
      <w:r w:rsidR="00F27506">
        <w:rPr>
          <w:sz w:val="22"/>
          <w:szCs w:val="22"/>
          <w:lang w:val="bg-BG"/>
        </w:rPr>
        <w:t> </w:t>
      </w:r>
      <w:r w:rsidRPr="00BC513A">
        <w:rPr>
          <w:sz w:val="22"/>
          <w:szCs w:val="22"/>
          <w:lang w:val="bg-BG"/>
        </w:rPr>
        <w:t xml:space="preserve">270 ha. В същото време за предотвратяване на маргинализацията отново не са отчетени площи, въпреки че това е една от основните цели на мярката. </w:t>
      </w:r>
    </w:p>
    <w:p w14:paraId="573F42B8" w14:textId="77777777" w:rsidR="00CE678E" w:rsidRPr="00205C7B" w:rsidRDefault="008F34DE" w:rsidP="00CE678E">
      <w:pPr>
        <w:pStyle w:val="DefaultText"/>
        <w:spacing w:after="120" w:line="300" w:lineRule="atLeast"/>
        <w:ind w:firstLine="708"/>
        <w:rPr>
          <w:sz w:val="22"/>
          <w:szCs w:val="22"/>
          <w:lang w:val="bg-BG"/>
        </w:rPr>
      </w:pPr>
      <w:r w:rsidRPr="00205C7B">
        <w:rPr>
          <w:sz w:val="22"/>
          <w:szCs w:val="22"/>
          <w:lang w:val="bg-BG"/>
        </w:rPr>
        <w:t xml:space="preserve">Получената оценка на бенефициентите по време на теренните проучвания, за ползите от мярката по отношение на екологичните цели е много положителна, като те считат, че подкрепата е допринесла предимно към </w:t>
      </w:r>
      <w:r w:rsidR="00CE678E" w:rsidRPr="00205C7B">
        <w:rPr>
          <w:sz w:val="22"/>
          <w:szCs w:val="22"/>
          <w:lang w:val="bg-BG"/>
        </w:rPr>
        <w:t>предотвратяване на изоставянето на земя и подобряване на околната среда.</w:t>
      </w:r>
    </w:p>
    <w:p w14:paraId="30EF6243" w14:textId="77777777" w:rsidR="00CE678E" w:rsidRPr="00205C7B" w:rsidRDefault="00CE678E" w:rsidP="00CE678E">
      <w:pPr>
        <w:keepNext/>
        <w:spacing w:before="240" w:after="0" w:line="280" w:lineRule="atLeast"/>
        <w:jc w:val="both"/>
        <w:rPr>
          <w:rFonts w:ascii="Arial" w:hAnsi="Arial" w:cs="Arial"/>
          <w:b/>
          <w:iCs/>
          <w:color w:val="0070C0"/>
          <w:sz w:val="20"/>
          <w:szCs w:val="20"/>
        </w:rPr>
      </w:pPr>
      <w:bookmarkStart w:id="142" w:name="_Toc504136224"/>
      <w:r w:rsidRPr="00205C7B">
        <w:rPr>
          <w:rFonts w:ascii="Arial" w:hAnsi="Arial" w:cs="Arial"/>
          <w:b/>
          <w:color w:val="0070C0"/>
          <w:sz w:val="20"/>
          <w:szCs w:val="20"/>
        </w:rPr>
        <w:t xml:space="preserve">Таблица </w:t>
      </w:r>
      <w:r w:rsidRPr="00205C7B">
        <w:rPr>
          <w:rFonts w:ascii="Arial" w:hAnsi="Arial" w:cs="Arial"/>
          <w:b/>
          <w:color w:val="0070C0"/>
          <w:sz w:val="20"/>
          <w:szCs w:val="20"/>
        </w:rPr>
        <w:fldChar w:fldCharType="begin"/>
      </w:r>
      <w:r w:rsidRPr="00205C7B">
        <w:rPr>
          <w:rFonts w:ascii="Arial" w:hAnsi="Arial" w:cs="Arial"/>
          <w:b/>
          <w:color w:val="0070C0"/>
          <w:sz w:val="20"/>
          <w:szCs w:val="20"/>
        </w:rPr>
        <w:instrText xml:space="preserve"> SEQ Таблица \* ARABIC </w:instrText>
      </w:r>
      <w:r w:rsidRPr="00205C7B">
        <w:rPr>
          <w:rFonts w:ascii="Arial" w:hAnsi="Arial" w:cs="Arial"/>
          <w:b/>
          <w:color w:val="0070C0"/>
          <w:sz w:val="20"/>
          <w:szCs w:val="20"/>
        </w:rPr>
        <w:fldChar w:fldCharType="separate"/>
      </w:r>
      <w:r w:rsidR="0023010D">
        <w:rPr>
          <w:rFonts w:ascii="Arial" w:hAnsi="Arial" w:cs="Arial"/>
          <w:b/>
          <w:noProof/>
          <w:color w:val="0070C0"/>
          <w:sz w:val="20"/>
          <w:szCs w:val="20"/>
        </w:rPr>
        <w:t>52</w:t>
      </w:r>
      <w:r w:rsidRPr="00205C7B">
        <w:rPr>
          <w:rFonts w:ascii="Arial" w:hAnsi="Arial" w:cs="Arial"/>
          <w:b/>
          <w:color w:val="0070C0"/>
          <w:sz w:val="20"/>
          <w:szCs w:val="20"/>
        </w:rPr>
        <w:fldChar w:fldCharType="end"/>
      </w:r>
      <w:r w:rsidR="00047E2D">
        <w:rPr>
          <w:rFonts w:ascii="Arial" w:hAnsi="Arial" w:cs="Arial"/>
          <w:b/>
          <w:color w:val="0070C0"/>
          <w:sz w:val="20"/>
          <w:szCs w:val="20"/>
        </w:rPr>
        <w:t>.</w:t>
      </w:r>
      <w:r w:rsidRPr="00205C7B">
        <w:rPr>
          <w:rFonts w:ascii="Arial" w:hAnsi="Arial" w:cs="Arial"/>
          <w:b/>
          <w:color w:val="0070C0"/>
          <w:sz w:val="20"/>
          <w:szCs w:val="20"/>
        </w:rPr>
        <w:t xml:space="preserve"> </w:t>
      </w:r>
      <w:r w:rsidRPr="00205C7B">
        <w:rPr>
          <w:rFonts w:ascii="Arial" w:hAnsi="Arial" w:cs="Arial"/>
          <w:b/>
          <w:iCs/>
          <w:color w:val="0070C0"/>
          <w:sz w:val="20"/>
          <w:szCs w:val="20"/>
        </w:rPr>
        <w:t>Виждания на бенефициентите по мярка 212 за принос на мярката към нейните цели</w:t>
      </w:r>
      <w:bookmarkEnd w:id="142"/>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2"/>
        <w:gridCol w:w="3119"/>
      </w:tblGrid>
      <w:tr w:rsidR="00CE678E" w:rsidRPr="00205C7B" w14:paraId="66B9790E" w14:textId="77777777" w:rsidTr="00213E30">
        <w:trPr>
          <w:trHeight w:val="419"/>
        </w:trPr>
        <w:tc>
          <w:tcPr>
            <w:tcW w:w="6232" w:type="dxa"/>
            <w:shd w:val="clear" w:color="auto" w:fill="1F4E79" w:themeFill="accent1" w:themeFillShade="80"/>
            <w:vAlign w:val="center"/>
          </w:tcPr>
          <w:p w14:paraId="6A9980E0" w14:textId="77777777" w:rsidR="00CE678E" w:rsidRPr="00205C7B" w:rsidRDefault="00CE678E" w:rsidP="00151630">
            <w:pPr>
              <w:spacing w:after="0" w:line="240" w:lineRule="auto"/>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Принос на мярка 21</w:t>
            </w:r>
            <w:r w:rsidR="00151630" w:rsidRPr="00205C7B">
              <w:rPr>
                <w:rFonts w:ascii="Arial" w:eastAsia="Times New Roman" w:hAnsi="Arial" w:cs="Arial"/>
                <w:b/>
                <w:color w:val="FFFFFF" w:themeColor="background1"/>
                <w:sz w:val="20"/>
                <w:szCs w:val="20"/>
                <w:lang w:val="en-US" w:eastAsia="bg-BG"/>
              </w:rPr>
              <w:t>2</w:t>
            </w:r>
            <w:r w:rsidRPr="00205C7B">
              <w:rPr>
                <w:rFonts w:ascii="Arial" w:eastAsia="Times New Roman" w:hAnsi="Arial" w:cs="Arial"/>
                <w:b/>
                <w:color w:val="FFFFFF" w:themeColor="background1"/>
                <w:sz w:val="20"/>
                <w:szCs w:val="20"/>
                <w:lang w:eastAsia="bg-BG"/>
              </w:rPr>
              <w:t xml:space="preserve"> към</w:t>
            </w:r>
            <w:r w:rsidR="00213E30">
              <w:rPr>
                <w:rFonts w:ascii="Arial" w:eastAsia="Times New Roman" w:hAnsi="Arial" w:cs="Arial"/>
                <w:b/>
                <w:color w:val="FFFFFF" w:themeColor="background1"/>
                <w:sz w:val="20"/>
                <w:szCs w:val="20"/>
                <w:lang w:eastAsia="bg-BG"/>
              </w:rPr>
              <w:t>:</w:t>
            </w:r>
          </w:p>
        </w:tc>
        <w:tc>
          <w:tcPr>
            <w:tcW w:w="3119" w:type="dxa"/>
            <w:shd w:val="clear" w:color="auto" w:fill="1F4E79" w:themeFill="accent1" w:themeFillShade="80"/>
            <w:noWrap/>
            <w:vAlign w:val="center"/>
          </w:tcPr>
          <w:p w14:paraId="1DF1F7BB" w14:textId="77777777" w:rsidR="00CE678E" w:rsidRPr="00205C7B" w:rsidRDefault="00CE678E" w:rsidP="00852D69">
            <w:pPr>
              <w:spacing w:after="0" w:line="240" w:lineRule="auto"/>
              <w:jc w:val="right"/>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Изключително много и много</w:t>
            </w:r>
          </w:p>
        </w:tc>
      </w:tr>
      <w:tr w:rsidR="00CE678E" w:rsidRPr="00205C7B" w14:paraId="65C4F64C" w14:textId="77777777" w:rsidTr="00CE678E">
        <w:trPr>
          <w:trHeight w:val="308"/>
        </w:trPr>
        <w:tc>
          <w:tcPr>
            <w:tcW w:w="6232" w:type="dxa"/>
            <w:shd w:val="clear" w:color="auto" w:fill="auto"/>
            <w:vAlign w:val="center"/>
          </w:tcPr>
          <w:p w14:paraId="7465E9CC" w14:textId="77777777" w:rsidR="00CE678E" w:rsidRPr="00205C7B" w:rsidRDefault="00CE678E" w:rsidP="00CE678E">
            <w:pPr>
              <w:spacing w:after="0" w:line="240" w:lineRule="auto"/>
              <w:rPr>
                <w:rFonts w:ascii="Arial" w:hAnsi="Arial" w:cs="Arial"/>
                <w:color w:val="000000"/>
                <w:sz w:val="20"/>
                <w:szCs w:val="20"/>
              </w:rPr>
            </w:pPr>
            <w:r w:rsidRPr="00205C7B">
              <w:rPr>
                <w:rFonts w:ascii="Arial" w:hAnsi="Arial" w:cs="Arial"/>
                <w:color w:val="000000"/>
                <w:sz w:val="20"/>
                <w:szCs w:val="20"/>
              </w:rPr>
              <w:t>Предотвратяване на изоставянето на земя</w:t>
            </w:r>
          </w:p>
        </w:tc>
        <w:tc>
          <w:tcPr>
            <w:tcW w:w="3119" w:type="dxa"/>
            <w:shd w:val="clear" w:color="auto" w:fill="auto"/>
            <w:noWrap/>
            <w:vAlign w:val="bottom"/>
          </w:tcPr>
          <w:p w14:paraId="04C71D8A" w14:textId="77777777" w:rsidR="00CE678E" w:rsidRPr="00205C7B" w:rsidRDefault="00CE678E" w:rsidP="00CE678E">
            <w:pPr>
              <w:spacing w:after="0" w:line="240" w:lineRule="auto"/>
              <w:jc w:val="right"/>
              <w:rPr>
                <w:rFonts w:ascii="Arial" w:hAnsi="Arial" w:cs="Arial"/>
                <w:color w:val="000000"/>
                <w:sz w:val="20"/>
                <w:szCs w:val="20"/>
              </w:rPr>
            </w:pPr>
            <w:r w:rsidRPr="00205C7B">
              <w:rPr>
                <w:rFonts w:ascii="Arial" w:hAnsi="Arial" w:cs="Arial"/>
                <w:color w:val="000000"/>
                <w:sz w:val="20"/>
                <w:szCs w:val="20"/>
              </w:rPr>
              <w:t>100%</w:t>
            </w:r>
          </w:p>
        </w:tc>
      </w:tr>
      <w:tr w:rsidR="00CE678E" w:rsidRPr="00205C7B" w14:paraId="5B649047" w14:textId="77777777" w:rsidTr="00CE678E">
        <w:trPr>
          <w:trHeight w:val="269"/>
        </w:trPr>
        <w:tc>
          <w:tcPr>
            <w:tcW w:w="6232" w:type="dxa"/>
            <w:shd w:val="clear" w:color="auto" w:fill="auto"/>
            <w:vAlign w:val="center"/>
          </w:tcPr>
          <w:p w14:paraId="5029A02B" w14:textId="77777777" w:rsidR="00CE678E" w:rsidRPr="00205C7B" w:rsidRDefault="00CE678E" w:rsidP="00CE678E">
            <w:pPr>
              <w:spacing w:after="0" w:line="240" w:lineRule="auto"/>
              <w:rPr>
                <w:rFonts w:ascii="Arial" w:hAnsi="Arial" w:cs="Arial"/>
                <w:color w:val="000000"/>
                <w:sz w:val="20"/>
                <w:szCs w:val="20"/>
              </w:rPr>
            </w:pPr>
            <w:r w:rsidRPr="00205C7B">
              <w:rPr>
                <w:rFonts w:ascii="Arial" w:hAnsi="Arial" w:cs="Arial"/>
                <w:color w:val="000000"/>
                <w:sz w:val="20"/>
                <w:szCs w:val="20"/>
              </w:rPr>
              <w:t>Предотвратяване на обезлюдяването на необлагодетелстваните райони</w:t>
            </w:r>
          </w:p>
        </w:tc>
        <w:tc>
          <w:tcPr>
            <w:tcW w:w="3119" w:type="dxa"/>
            <w:shd w:val="clear" w:color="auto" w:fill="auto"/>
            <w:noWrap/>
            <w:vAlign w:val="bottom"/>
          </w:tcPr>
          <w:p w14:paraId="67F2744D" w14:textId="77777777" w:rsidR="00CE678E" w:rsidRPr="00205C7B" w:rsidRDefault="00CE678E" w:rsidP="00CE678E">
            <w:pPr>
              <w:spacing w:after="0" w:line="240" w:lineRule="auto"/>
              <w:jc w:val="right"/>
              <w:rPr>
                <w:rFonts w:ascii="Arial" w:hAnsi="Arial" w:cs="Arial"/>
                <w:color w:val="000000"/>
                <w:sz w:val="20"/>
                <w:szCs w:val="20"/>
              </w:rPr>
            </w:pPr>
            <w:r w:rsidRPr="00205C7B">
              <w:rPr>
                <w:rFonts w:ascii="Arial" w:hAnsi="Arial" w:cs="Arial"/>
                <w:color w:val="000000"/>
                <w:sz w:val="20"/>
                <w:szCs w:val="20"/>
              </w:rPr>
              <w:t>50%</w:t>
            </w:r>
          </w:p>
        </w:tc>
      </w:tr>
      <w:tr w:rsidR="00CE678E" w:rsidRPr="00205C7B" w14:paraId="4E5DC993" w14:textId="77777777" w:rsidTr="00CE678E">
        <w:trPr>
          <w:trHeight w:val="300"/>
        </w:trPr>
        <w:tc>
          <w:tcPr>
            <w:tcW w:w="6232" w:type="dxa"/>
            <w:shd w:val="clear" w:color="auto" w:fill="auto"/>
            <w:vAlign w:val="center"/>
          </w:tcPr>
          <w:p w14:paraId="3BFFD99F" w14:textId="77777777" w:rsidR="00CE678E" w:rsidRPr="00205C7B" w:rsidRDefault="00CE678E" w:rsidP="00CE678E">
            <w:pPr>
              <w:spacing w:after="0" w:line="240" w:lineRule="auto"/>
              <w:rPr>
                <w:rFonts w:ascii="Arial" w:hAnsi="Arial" w:cs="Arial"/>
                <w:color w:val="000000"/>
                <w:sz w:val="20"/>
                <w:szCs w:val="20"/>
              </w:rPr>
            </w:pPr>
            <w:r w:rsidRPr="00205C7B">
              <w:rPr>
                <w:rFonts w:ascii="Arial" w:hAnsi="Arial" w:cs="Arial"/>
                <w:color w:val="000000"/>
                <w:sz w:val="20"/>
                <w:szCs w:val="20"/>
              </w:rPr>
              <w:t>Поддържане на ландшафта</w:t>
            </w:r>
          </w:p>
        </w:tc>
        <w:tc>
          <w:tcPr>
            <w:tcW w:w="3119" w:type="dxa"/>
            <w:shd w:val="clear" w:color="auto" w:fill="auto"/>
            <w:noWrap/>
            <w:vAlign w:val="bottom"/>
          </w:tcPr>
          <w:p w14:paraId="614C7CD4" w14:textId="77777777" w:rsidR="00CE678E" w:rsidRPr="00205C7B" w:rsidRDefault="00CE678E" w:rsidP="00CE678E">
            <w:pPr>
              <w:spacing w:after="0" w:line="240" w:lineRule="auto"/>
              <w:jc w:val="right"/>
              <w:rPr>
                <w:rFonts w:ascii="Arial" w:hAnsi="Arial" w:cs="Arial"/>
                <w:color w:val="000000"/>
                <w:sz w:val="20"/>
                <w:szCs w:val="20"/>
              </w:rPr>
            </w:pPr>
            <w:r w:rsidRPr="00205C7B">
              <w:rPr>
                <w:rFonts w:ascii="Arial" w:hAnsi="Arial" w:cs="Arial"/>
                <w:color w:val="000000"/>
                <w:sz w:val="20"/>
                <w:szCs w:val="20"/>
              </w:rPr>
              <w:t>63%</w:t>
            </w:r>
          </w:p>
        </w:tc>
      </w:tr>
      <w:tr w:rsidR="00CE678E" w:rsidRPr="00205C7B" w14:paraId="6A361D16" w14:textId="77777777" w:rsidTr="00CE678E">
        <w:trPr>
          <w:trHeight w:val="300"/>
        </w:trPr>
        <w:tc>
          <w:tcPr>
            <w:tcW w:w="6232" w:type="dxa"/>
            <w:shd w:val="clear" w:color="auto" w:fill="auto"/>
            <w:vAlign w:val="center"/>
          </w:tcPr>
          <w:p w14:paraId="7F0AF034" w14:textId="77777777" w:rsidR="00CE678E" w:rsidRPr="00205C7B" w:rsidRDefault="00CE678E" w:rsidP="00CE678E">
            <w:pPr>
              <w:spacing w:after="0" w:line="240" w:lineRule="auto"/>
              <w:rPr>
                <w:rFonts w:ascii="Arial" w:hAnsi="Arial" w:cs="Arial"/>
                <w:color w:val="000000"/>
                <w:sz w:val="20"/>
                <w:szCs w:val="20"/>
              </w:rPr>
            </w:pPr>
            <w:r w:rsidRPr="00205C7B">
              <w:rPr>
                <w:rFonts w:ascii="Arial" w:hAnsi="Arial" w:cs="Arial"/>
                <w:color w:val="000000"/>
                <w:sz w:val="20"/>
                <w:szCs w:val="20"/>
              </w:rPr>
              <w:t>Опазване на биоразнообразието</w:t>
            </w:r>
          </w:p>
        </w:tc>
        <w:tc>
          <w:tcPr>
            <w:tcW w:w="3119" w:type="dxa"/>
            <w:shd w:val="clear" w:color="auto" w:fill="auto"/>
            <w:noWrap/>
            <w:vAlign w:val="bottom"/>
          </w:tcPr>
          <w:p w14:paraId="61ADF8FE" w14:textId="77777777" w:rsidR="00CE678E" w:rsidRPr="00205C7B" w:rsidRDefault="00CE678E" w:rsidP="00CE678E">
            <w:pPr>
              <w:spacing w:after="0" w:line="240" w:lineRule="auto"/>
              <w:jc w:val="right"/>
              <w:rPr>
                <w:rFonts w:ascii="Arial" w:hAnsi="Arial" w:cs="Arial"/>
                <w:color w:val="000000"/>
                <w:sz w:val="20"/>
                <w:szCs w:val="20"/>
              </w:rPr>
            </w:pPr>
            <w:r w:rsidRPr="00205C7B">
              <w:rPr>
                <w:rFonts w:ascii="Arial" w:hAnsi="Arial" w:cs="Arial"/>
                <w:color w:val="000000"/>
                <w:sz w:val="20"/>
                <w:szCs w:val="20"/>
              </w:rPr>
              <w:t>38%</w:t>
            </w:r>
          </w:p>
        </w:tc>
      </w:tr>
      <w:tr w:rsidR="00CE678E" w:rsidRPr="00205C7B" w14:paraId="5819B729" w14:textId="77777777" w:rsidTr="00CE678E">
        <w:trPr>
          <w:trHeight w:val="360"/>
        </w:trPr>
        <w:tc>
          <w:tcPr>
            <w:tcW w:w="6232" w:type="dxa"/>
            <w:shd w:val="clear" w:color="auto" w:fill="auto"/>
            <w:vAlign w:val="center"/>
          </w:tcPr>
          <w:p w14:paraId="3906B5A7" w14:textId="77777777" w:rsidR="00CE678E" w:rsidRPr="00205C7B" w:rsidRDefault="00CE678E" w:rsidP="00CE678E">
            <w:pPr>
              <w:spacing w:after="0" w:line="240" w:lineRule="auto"/>
              <w:rPr>
                <w:rFonts w:ascii="Arial" w:hAnsi="Arial" w:cs="Arial"/>
                <w:color w:val="000000"/>
                <w:sz w:val="20"/>
                <w:szCs w:val="20"/>
              </w:rPr>
            </w:pPr>
            <w:r w:rsidRPr="00205C7B">
              <w:rPr>
                <w:rFonts w:ascii="Arial" w:hAnsi="Arial" w:cs="Arial"/>
                <w:color w:val="000000"/>
                <w:sz w:val="20"/>
                <w:szCs w:val="20"/>
              </w:rPr>
              <w:t>Устойчиво управление на земите и на други природни ресурси</w:t>
            </w:r>
          </w:p>
        </w:tc>
        <w:tc>
          <w:tcPr>
            <w:tcW w:w="3119" w:type="dxa"/>
            <w:shd w:val="clear" w:color="auto" w:fill="auto"/>
            <w:noWrap/>
            <w:vAlign w:val="bottom"/>
          </w:tcPr>
          <w:p w14:paraId="51738748" w14:textId="77777777" w:rsidR="00CE678E" w:rsidRPr="00205C7B" w:rsidRDefault="00CE678E" w:rsidP="00CE678E">
            <w:pPr>
              <w:spacing w:after="0" w:line="240" w:lineRule="auto"/>
              <w:jc w:val="right"/>
              <w:rPr>
                <w:rFonts w:ascii="Arial" w:hAnsi="Arial" w:cs="Arial"/>
                <w:color w:val="000000"/>
                <w:sz w:val="20"/>
                <w:szCs w:val="20"/>
              </w:rPr>
            </w:pPr>
            <w:r w:rsidRPr="00205C7B">
              <w:rPr>
                <w:rFonts w:ascii="Arial" w:hAnsi="Arial" w:cs="Arial"/>
                <w:color w:val="000000"/>
                <w:sz w:val="20"/>
                <w:szCs w:val="20"/>
              </w:rPr>
              <w:t>50%</w:t>
            </w:r>
          </w:p>
        </w:tc>
      </w:tr>
      <w:tr w:rsidR="00CE678E" w:rsidRPr="00205C7B" w14:paraId="371004D5" w14:textId="77777777" w:rsidTr="00CE678E">
        <w:trPr>
          <w:trHeight w:val="300"/>
        </w:trPr>
        <w:tc>
          <w:tcPr>
            <w:tcW w:w="6232" w:type="dxa"/>
            <w:shd w:val="clear" w:color="auto" w:fill="auto"/>
            <w:vAlign w:val="center"/>
          </w:tcPr>
          <w:p w14:paraId="6D949036" w14:textId="77777777" w:rsidR="00CE678E" w:rsidRPr="00205C7B" w:rsidRDefault="00CE678E" w:rsidP="00CE678E">
            <w:pPr>
              <w:spacing w:after="0" w:line="240" w:lineRule="auto"/>
              <w:rPr>
                <w:rFonts w:ascii="Arial" w:hAnsi="Arial" w:cs="Arial"/>
                <w:color w:val="000000"/>
                <w:sz w:val="20"/>
                <w:szCs w:val="20"/>
              </w:rPr>
            </w:pPr>
            <w:r w:rsidRPr="00205C7B">
              <w:rPr>
                <w:rFonts w:ascii="Arial" w:hAnsi="Arial" w:cs="Arial"/>
                <w:color w:val="000000"/>
                <w:sz w:val="20"/>
                <w:szCs w:val="20"/>
              </w:rPr>
              <w:t>Опазване на водите</w:t>
            </w:r>
          </w:p>
        </w:tc>
        <w:tc>
          <w:tcPr>
            <w:tcW w:w="3119" w:type="dxa"/>
            <w:shd w:val="clear" w:color="auto" w:fill="auto"/>
            <w:noWrap/>
            <w:vAlign w:val="bottom"/>
          </w:tcPr>
          <w:p w14:paraId="776D4C2B" w14:textId="77777777" w:rsidR="00CE678E" w:rsidRPr="00205C7B" w:rsidRDefault="00CE678E" w:rsidP="00CE678E">
            <w:pPr>
              <w:spacing w:after="0" w:line="240" w:lineRule="auto"/>
              <w:jc w:val="right"/>
              <w:rPr>
                <w:rFonts w:ascii="Arial" w:hAnsi="Arial" w:cs="Arial"/>
                <w:color w:val="000000"/>
                <w:sz w:val="20"/>
                <w:szCs w:val="20"/>
              </w:rPr>
            </w:pPr>
            <w:r w:rsidRPr="00205C7B">
              <w:rPr>
                <w:rFonts w:ascii="Arial" w:hAnsi="Arial" w:cs="Arial"/>
                <w:color w:val="000000"/>
                <w:sz w:val="20"/>
                <w:szCs w:val="20"/>
              </w:rPr>
              <w:t>50%</w:t>
            </w:r>
          </w:p>
        </w:tc>
      </w:tr>
      <w:tr w:rsidR="00CE678E" w:rsidRPr="00205C7B" w14:paraId="1FB42A6F" w14:textId="77777777" w:rsidTr="00CE678E">
        <w:trPr>
          <w:trHeight w:val="300"/>
        </w:trPr>
        <w:tc>
          <w:tcPr>
            <w:tcW w:w="6232" w:type="dxa"/>
            <w:shd w:val="clear" w:color="auto" w:fill="auto"/>
            <w:vAlign w:val="center"/>
          </w:tcPr>
          <w:p w14:paraId="7C9638EA" w14:textId="77777777" w:rsidR="00CE678E" w:rsidRPr="00205C7B" w:rsidRDefault="00CE678E" w:rsidP="00CE678E">
            <w:pPr>
              <w:spacing w:after="0" w:line="240" w:lineRule="auto"/>
              <w:rPr>
                <w:rFonts w:ascii="Arial" w:hAnsi="Arial" w:cs="Arial"/>
                <w:color w:val="000000"/>
                <w:sz w:val="20"/>
                <w:szCs w:val="20"/>
              </w:rPr>
            </w:pPr>
            <w:r w:rsidRPr="00205C7B">
              <w:rPr>
                <w:rFonts w:ascii="Arial" w:hAnsi="Arial" w:cs="Arial"/>
                <w:color w:val="000000"/>
                <w:sz w:val="20"/>
                <w:szCs w:val="20"/>
              </w:rPr>
              <w:t>Опазване на почвите</w:t>
            </w:r>
          </w:p>
        </w:tc>
        <w:tc>
          <w:tcPr>
            <w:tcW w:w="3119" w:type="dxa"/>
            <w:shd w:val="clear" w:color="auto" w:fill="auto"/>
            <w:noWrap/>
            <w:vAlign w:val="bottom"/>
          </w:tcPr>
          <w:p w14:paraId="2A126B89" w14:textId="77777777" w:rsidR="00CE678E" w:rsidRPr="00205C7B" w:rsidRDefault="00CE678E" w:rsidP="00CE678E">
            <w:pPr>
              <w:spacing w:after="0" w:line="240" w:lineRule="auto"/>
              <w:jc w:val="right"/>
              <w:rPr>
                <w:rFonts w:ascii="Arial" w:hAnsi="Arial" w:cs="Arial"/>
                <w:color w:val="000000"/>
                <w:sz w:val="20"/>
                <w:szCs w:val="20"/>
              </w:rPr>
            </w:pPr>
            <w:r w:rsidRPr="00205C7B">
              <w:rPr>
                <w:rFonts w:ascii="Arial" w:hAnsi="Arial" w:cs="Arial"/>
                <w:color w:val="000000"/>
                <w:sz w:val="20"/>
                <w:szCs w:val="20"/>
              </w:rPr>
              <w:t>63%</w:t>
            </w:r>
          </w:p>
        </w:tc>
      </w:tr>
      <w:tr w:rsidR="00CE678E" w:rsidRPr="00205C7B" w14:paraId="0783A2A2" w14:textId="77777777" w:rsidTr="00CE678E">
        <w:trPr>
          <w:trHeight w:val="300"/>
        </w:trPr>
        <w:tc>
          <w:tcPr>
            <w:tcW w:w="6232" w:type="dxa"/>
            <w:shd w:val="clear" w:color="auto" w:fill="auto"/>
            <w:vAlign w:val="center"/>
          </w:tcPr>
          <w:p w14:paraId="5DCC989F" w14:textId="77777777" w:rsidR="00CE678E" w:rsidRPr="00205C7B" w:rsidRDefault="00CE678E" w:rsidP="00CE678E">
            <w:pPr>
              <w:spacing w:after="0" w:line="240" w:lineRule="auto"/>
              <w:rPr>
                <w:rFonts w:ascii="Arial" w:hAnsi="Arial" w:cs="Arial"/>
                <w:color w:val="000000"/>
                <w:sz w:val="20"/>
                <w:szCs w:val="20"/>
              </w:rPr>
            </w:pPr>
            <w:r w:rsidRPr="00205C7B">
              <w:rPr>
                <w:rFonts w:ascii="Arial" w:hAnsi="Arial" w:cs="Arial"/>
                <w:color w:val="000000"/>
                <w:sz w:val="20"/>
                <w:szCs w:val="20"/>
              </w:rPr>
              <w:t>Подобряване на околната среда</w:t>
            </w:r>
          </w:p>
        </w:tc>
        <w:tc>
          <w:tcPr>
            <w:tcW w:w="3119" w:type="dxa"/>
            <w:shd w:val="clear" w:color="auto" w:fill="auto"/>
            <w:noWrap/>
            <w:vAlign w:val="bottom"/>
          </w:tcPr>
          <w:p w14:paraId="0D0803BA" w14:textId="77777777" w:rsidR="00CE678E" w:rsidRPr="00205C7B" w:rsidRDefault="00CE678E" w:rsidP="00CE678E">
            <w:pPr>
              <w:spacing w:after="0" w:line="240" w:lineRule="auto"/>
              <w:jc w:val="right"/>
              <w:rPr>
                <w:rFonts w:ascii="Arial" w:hAnsi="Arial" w:cs="Arial"/>
                <w:color w:val="000000"/>
                <w:sz w:val="20"/>
                <w:szCs w:val="20"/>
              </w:rPr>
            </w:pPr>
            <w:r w:rsidRPr="00205C7B">
              <w:rPr>
                <w:rFonts w:ascii="Arial" w:hAnsi="Arial" w:cs="Arial"/>
                <w:color w:val="000000"/>
                <w:sz w:val="20"/>
                <w:szCs w:val="20"/>
              </w:rPr>
              <w:t>88%</w:t>
            </w:r>
          </w:p>
        </w:tc>
      </w:tr>
      <w:tr w:rsidR="00CE678E" w:rsidRPr="00205C7B" w14:paraId="49F9E9C3" w14:textId="77777777" w:rsidTr="00CE678E">
        <w:trPr>
          <w:trHeight w:val="283"/>
        </w:trPr>
        <w:tc>
          <w:tcPr>
            <w:tcW w:w="6232" w:type="dxa"/>
            <w:shd w:val="clear" w:color="auto" w:fill="auto"/>
            <w:vAlign w:val="center"/>
          </w:tcPr>
          <w:p w14:paraId="6002CCD5" w14:textId="77777777" w:rsidR="00CE678E" w:rsidRPr="00205C7B" w:rsidRDefault="00CE678E" w:rsidP="00CE678E">
            <w:pPr>
              <w:spacing w:after="0" w:line="240" w:lineRule="auto"/>
              <w:rPr>
                <w:rFonts w:ascii="Arial" w:hAnsi="Arial" w:cs="Arial"/>
                <w:color w:val="000000"/>
                <w:sz w:val="20"/>
                <w:szCs w:val="20"/>
              </w:rPr>
            </w:pPr>
            <w:r w:rsidRPr="00205C7B">
              <w:rPr>
                <w:rFonts w:ascii="Arial" w:hAnsi="Arial" w:cs="Arial"/>
                <w:color w:val="000000"/>
                <w:sz w:val="20"/>
                <w:szCs w:val="20"/>
              </w:rPr>
              <w:t>Поддръжка на ВПС на обработваемата земя</w:t>
            </w:r>
          </w:p>
        </w:tc>
        <w:tc>
          <w:tcPr>
            <w:tcW w:w="3119" w:type="dxa"/>
            <w:shd w:val="clear" w:color="auto" w:fill="auto"/>
            <w:noWrap/>
            <w:vAlign w:val="bottom"/>
          </w:tcPr>
          <w:p w14:paraId="6678F91E" w14:textId="77777777" w:rsidR="00CE678E" w:rsidRPr="00205C7B" w:rsidRDefault="00CE678E" w:rsidP="00CE678E">
            <w:pPr>
              <w:spacing w:after="0" w:line="240" w:lineRule="auto"/>
              <w:jc w:val="right"/>
              <w:rPr>
                <w:rFonts w:ascii="Arial" w:hAnsi="Arial" w:cs="Arial"/>
                <w:color w:val="000000"/>
                <w:sz w:val="20"/>
                <w:szCs w:val="20"/>
              </w:rPr>
            </w:pPr>
            <w:r w:rsidRPr="00205C7B">
              <w:rPr>
                <w:rFonts w:ascii="Arial" w:hAnsi="Arial" w:cs="Arial"/>
                <w:color w:val="000000"/>
                <w:sz w:val="20"/>
                <w:szCs w:val="20"/>
              </w:rPr>
              <w:t>13%</w:t>
            </w:r>
          </w:p>
        </w:tc>
      </w:tr>
    </w:tbl>
    <w:p w14:paraId="1389ACF8" w14:textId="77777777" w:rsidR="00CE678E" w:rsidRPr="00A55F86" w:rsidRDefault="00CE678E" w:rsidP="00CE678E">
      <w:pPr>
        <w:pStyle w:val="DefaultText"/>
        <w:spacing w:after="120" w:line="300" w:lineRule="atLeast"/>
        <w:rPr>
          <w:szCs w:val="18"/>
          <w:lang w:val="bg-BG"/>
        </w:rPr>
      </w:pPr>
      <w:r w:rsidRPr="00205C7B">
        <w:rPr>
          <w:szCs w:val="18"/>
          <w:lang w:val="bg-BG"/>
        </w:rPr>
        <w:t>Източник: Теренни проучвания сред 8 бенефициента по мярка 212</w:t>
      </w:r>
    </w:p>
    <w:p w14:paraId="23BD5261"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213. Плащания по Натура 2000</w:t>
      </w:r>
    </w:p>
    <w:p w14:paraId="310E1421" w14:textId="711D2B7D"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Мярката има за цел да компенсира земеделските производители във връзка с прилагането на Директива 92/43/ЕИО и Директива 79/409/ЕИО, както и на задължителните режими и ограничения за селскостопански дейности, установени с наредбите за определяне на защитените зони в обхвата на  мрежата Натура 2000, за да се осигури опазването, поддържането и/или възстановяването на благоприятното състояние на природни местообитания и местообитания на видовете, предмет на опазване в защитените зони. Мярката обхваща всички използвани земеделски площи в обхвата на обектите на мрежата Натура 2000, за които съществуват </w:t>
      </w:r>
      <w:r w:rsidR="00D44A66">
        <w:rPr>
          <w:sz w:val="22"/>
          <w:szCs w:val="22"/>
          <w:lang w:val="bg-BG"/>
        </w:rPr>
        <w:t>н</w:t>
      </w:r>
      <w:r w:rsidRPr="00BC513A">
        <w:rPr>
          <w:sz w:val="22"/>
          <w:szCs w:val="22"/>
          <w:lang w:val="bg-BG"/>
        </w:rPr>
        <w:t xml:space="preserve">аредби за определяне с включени специфични ограничения и задължения за селскостопанска дейност. </w:t>
      </w:r>
    </w:p>
    <w:p w14:paraId="0426F502" w14:textId="071A4A22"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Анализът на прилагането на мярката въз основа на оторизирани заявления за кампания 2014</w:t>
      </w:r>
      <w:r w:rsidR="00D44A66">
        <w:rPr>
          <w:sz w:val="22"/>
          <w:szCs w:val="22"/>
          <w:lang w:val="bg-BG"/>
        </w:rPr>
        <w:t xml:space="preserve"> </w:t>
      </w:r>
      <w:r w:rsidRPr="00BC513A">
        <w:rPr>
          <w:sz w:val="22"/>
          <w:szCs w:val="22"/>
          <w:lang w:val="bg-BG"/>
        </w:rPr>
        <w:t>г. показва, че към 31.12.2015</w:t>
      </w:r>
      <w:r w:rsidR="00D44A66">
        <w:rPr>
          <w:sz w:val="22"/>
          <w:szCs w:val="22"/>
          <w:lang w:val="bg-BG"/>
        </w:rPr>
        <w:t xml:space="preserve"> </w:t>
      </w:r>
      <w:r w:rsidRPr="00BC513A">
        <w:rPr>
          <w:sz w:val="22"/>
          <w:szCs w:val="22"/>
          <w:lang w:val="bg-BG"/>
        </w:rPr>
        <w:t>г. са одобрени и подпомогнати 10</w:t>
      </w:r>
      <w:r w:rsidR="00D44A66">
        <w:rPr>
          <w:sz w:val="22"/>
          <w:szCs w:val="22"/>
          <w:lang w:val="bg-BG"/>
        </w:rPr>
        <w:t> </w:t>
      </w:r>
      <w:r w:rsidRPr="00BC513A">
        <w:rPr>
          <w:sz w:val="22"/>
          <w:szCs w:val="22"/>
          <w:lang w:val="bg-BG"/>
        </w:rPr>
        <w:t>217 броя и за индикатор брой подпомогнати стопанства изпълнението е 183%. Поставената цел за подпомогната площ на база платени заявления през 2015</w:t>
      </w:r>
      <w:r w:rsidR="00D44A66">
        <w:rPr>
          <w:sz w:val="22"/>
          <w:szCs w:val="22"/>
          <w:lang w:val="bg-BG"/>
        </w:rPr>
        <w:t xml:space="preserve"> </w:t>
      </w:r>
      <w:r w:rsidRPr="00BC513A">
        <w:rPr>
          <w:sz w:val="22"/>
          <w:szCs w:val="22"/>
          <w:lang w:val="bg-BG"/>
        </w:rPr>
        <w:t>г. (за кампания 2014</w:t>
      </w:r>
      <w:r w:rsidR="00D44A66">
        <w:rPr>
          <w:sz w:val="22"/>
          <w:szCs w:val="22"/>
          <w:lang w:val="bg-BG"/>
        </w:rPr>
        <w:t xml:space="preserve"> </w:t>
      </w:r>
      <w:r w:rsidRPr="00BC513A">
        <w:rPr>
          <w:sz w:val="22"/>
          <w:szCs w:val="22"/>
          <w:lang w:val="bg-BG"/>
        </w:rPr>
        <w:t>г.) е изпълнена също във висока степен – 117 % от заложената цел, запазвайки възходящата тенденция от 2013</w:t>
      </w:r>
      <w:r w:rsidR="00D44A66">
        <w:rPr>
          <w:sz w:val="22"/>
          <w:szCs w:val="22"/>
          <w:lang w:val="bg-BG"/>
        </w:rPr>
        <w:t xml:space="preserve"> </w:t>
      </w:r>
      <w:r w:rsidRPr="00BC513A">
        <w:rPr>
          <w:sz w:val="22"/>
          <w:szCs w:val="22"/>
          <w:lang w:val="bg-BG"/>
        </w:rPr>
        <w:t>г.</w:t>
      </w:r>
    </w:p>
    <w:p w14:paraId="6591F7FC" w14:textId="77777777" w:rsidR="00E8617E" w:rsidRPr="00BC513A" w:rsidRDefault="00E8617E" w:rsidP="00E8617E">
      <w:pPr>
        <w:keepNext/>
        <w:spacing w:before="240" w:after="0" w:line="280" w:lineRule="atLeast"/>
        <w:jc w:val="both"/>
        <w:rPr>
          <w:rFonts w:ascii="Arial" w:hAnsi="Arial" w:cs="Arial"/>
          <w:b/>
          <w:color w:val="0070C0"/>
          <w:sz w:val="20"/>
          <w:szCs w:val="20"/>
        </w:rPr>
      </w:pPr>
      <w:bookmarkStart w:id="143" w:name="_Toc391899939"/>
      <w:bookmarkStart w:id="144" w:name="_Toc504136225"/>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53</w:t>
      </w:r>
      <w:r w:rsidRPr="00BC513A">
        <w:rPr>
          <w:rFonts w:ascii="Arial" w:hAnsi="Arial" w:cs="Arial"/>
          <w:b/>
          <w:color w:val="0070C0"/>
          <w:sz w:val="20"/>
          <w:szCs w:val="20"/>
        </w:rPr>
        <w:fldChar w:fldCharType="end"/>
      </w:r>
      <w:r w:rsidRPr="00BC513A">
        <w:rPr>
          <w:rFonts w:ascii="Arial" w:hAnsi="Arial" w:cs="Arial"/>
          <w:b/>
          <w:color w:val="0070C0"/>
          <w:sz w:val="20"/>
          <w:szCs w:val="20"/>
        </w:rPr>
        <w:t>. Постигане на целите по мярка 213 въз основа на оторизирани заявления до 31.12.2015 г.</w:t>
      </w:r>
      <w:bookmarkEnd w:id="143"/>
      <w:bookmarkEnd w:id="144"/>
      <w:r w:rsidRPr="00BC513A">
        <w:rPr>
          <w:rFonts w:ascii="Arial" w:hAnsi="Arial" w:cs="Arial"/>
          <w:b/>
          <w:color w:val="0070C0"/>
          <w:sz w:val="20"/>
          <w:szCs w:val="20"/>
        </w:rPr>
        <w:t xml:space="preserve"> </w:t>
      </w:r>
    </w:p>
    <w:tbl>
      <w:tblPr>
        <w:tblW w:w="90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1"/>
        <w:gridCol w:w="906"/>
        <w:gridCol w:w="1730"/>
        <w:gridCol w:w="1791"/>
        <w:gridCol w:w="1194"/>
        <w:gridCol w:w="1643"/>
      </w:tblGrid>
      <w:tr w:rsidR="00E8617E" w:rsidRPr="00BC513A" w14:paraId="1AC13D22" w14:textId="77777777" w:rsidTr="00922731">
        <w:trPr>
          <w:trHeight w:val="900"/>
          <w:jc w:val="center"/>
        </w:trPr>
        <w:tc>
          <w:tcPr>
            <w:tcW w:w="1761" w:type="dxa"/>
            <w:shd w:val="clear" w:color="auto" w:fill="1F4E79" w:themeFill="accent1" w:themeFillShade="80"/>
            <w:vAlign w:val="center"/>
            <w:hideMark/>
          </w:tcPr>
          <w:p w14:paraId="2BE36979"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брой подпомогнати стопанства</w:t>
            </w:r>
          </w:p>
        </w:tc>
        <w:tc>
          <w:tcPr>
            <w:tcW w:w="906" w:type="dxa"/>
            <w:shd w:val="clear" w:color="auto" w:fill="1F4E79" w:themeFill="accent1" w:themeFillShade="80"/>
            <w:vAlign w:val="center"/>
            <w:hideMark/>
          </w:tcPr>
          <w:p w14:paraId="4E520226"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 в ПРСР</w:t>
            </w:r>
          </w:p>
        </w:tc>
        <w:tc>
          <w:tcPr>
            <w:tcW w:w="1730" w:type="dxa"/>
            <w:shd w:val="clear" w:color="auto" w:fill="1F4E79" w:themeFill="accent1" w:themeFillShade="80"/>
            <w:vAlign w:val="center"/>
            <w:hideMark/>
          </w:tcPr>
          <w:p w14:paraId="3B2958AD"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напредък в изпълнението на целите в  %</w:t>
            </w:r>
          </w:p>
        </w:tc>
        <w:tc>
          <w:tcPr>
            <w:tcW w:w="1791" w:type="dxa"/>
            <w:shd w:val="clear" w:color="auto" w:fill="1F4E79" w:themeFill="accent1" w:themeFillShade="80"/>
            <w:vAlign w:val="center"/>
            <w:hideMark/>
          </w:tcPr>
          <w:p w14:paraId="3C3BBBC4"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подпомогната площ  /ha/</w:t>
            </w:r>
          </w:p>
        </w:tc>
        <w:tc>
          <w:tcPr>
            <w:tcW w:w="1194" w:type="dxa"/>
            <w:shd w:val="clear" w:color="auto" w:fill="1F4E79" w:themeFill="accent1" w:themeFillShade="80"/>
            <w:vAlign w:val="center"/>
            <w:hideMark/>
          </w:tcPr>
          <w:p w14:paraId="5A9F1CA7"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 в ПРСР</w:t>
            </w:r>
          </w:p>
        </w:tc>
        <w:tc>
          <w:tcPr>
            <w:tcW w:w="1643" w:type="dxa"/>
            <w:shd w:val="clear" w:color="auto" w:fill="1F4E79" w:themeFill="accent1" w:themeFillShade="80"/>
            <w:vAlign w:val="center"/>
            <w:hideMark/>
          </w:tcPr>
          <w:p w14:paraId="251B1354"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напредък в изпълнението на целите в  %</w:t>
            </w:r>
          </w:p>
        </w:tc>
      </w:tr>
      <w:tr w:rsidR="00E8617E" w:rsidRPr="00BC513A" w14:paraId="4B573009" w14:textId="77777777" w:rsidTr="00922731">
        <w:trPr>
          <w:trHeight w:val="330"/>
          <w:jc w:val="center"/>
        </w:trPr>
        <w:tc>
          <w:tcPr>
            <w:tcW w:w="1761" w:type="dxa"/>
            <w:noWrap/>
            <w:vAlign w:val="center"/>
            <w:hideMark/>
          </w:tcPr>
          <w:p w14:paraId="0252FD0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10 217</w:t>
            </w:r>
          </w:p>
        </w:tc>
        <w:tc>
          <w:tcPr>
            <w:tcW w:w="906" w:type="dxa"/>
            <w:noWrap/>
            <w:vAlign w:val="center"/>
            <w:hideMark/>
          </w:tcPr>
          <w:p w14:paraId="44C08C97"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5 600</w:t>
            </w:r>
          </w:p>
        </w:tc>
        <w:tc>
          <w:tcPr>
            <w:tcW w:w="1730" w:type="dxa"/>
            <w:noWrap/>
            <w:vAlign w:val="center"/>
            <w:hideMark/>
          </w:tcPr>
          <w:p w14:paraId="29DE616A"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183%</w:t>
            </w:r>
          </w:p>
        </w:tc>
        <w:tc>
          <w:tcPr>
            <w:tcW w:w="1791" w:type="dxa"/>
            <w:noWrap/>
            <w:vAlign w:val="center"/>
            <w:hideMark/>
          </w:tcPr>
          <w:p w14:paraId="534BE0D8"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333 884</w:t>
            </w:r>
          </w:p>
        </w:tc>
        <w:tc>
          <w:tcPr>
            <w:tcW w:w="1194" w:type="dxa"/>
            <w:noWrap/>
            <w:vAlign w:val="center"/>
            <w:hideMark/>
          </w:tcPr>
          <w:p w14:paraId="20FDA74C"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179 000</w:t>
            </w:r>
          </w:p>
        </w:tc>
        <w:tc>
          <w:tcPr>
            <w:tcW w:w="1643" w:type="dxa"/>
            <w:noWrap/>
            <w:vAlign w:val="center"/>
            <w:hideMark/>
          </w:tcPr>
          <w:p w14:paraId="3E07C682"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187%</w:t>
            </w:r>
          </w:p>
        </w:tc>
      </w:tr>
    </w:tbl>
    <w:p w14:paraId="6ADA95B2" w14:textId="77777777" w:rsidR="00E8617E" w:rsidRPr="00F07F15" w:rsidRDefault="00E8617E" w:rsidP="00EF0C92">
      <w:pPr>
        <w:spacing w:after="240" w:line="280" w:lineRule="atLeast"/>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Източник: Годишен доклад за изпълнението на ПРСР 2007-2013 г. за 2015г. Отчетът е направен по установена площ.</w:t>
      </w:r>
    </w:p>
    <w:p w14:paraId="5EADB1FE" w14:textId="1297D3E5"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Въпреки по-късното стартиране на мярка 213 се отчита непрекъснато увеличаване </w:t>
      </w:r>
      <w:r w:rsidR="00D44A66">
        <w:rPr>
          <w:sz w:val="22"/>
          <w:szCs w:val="22"/>
          <w:lang w:val="bg-BG"/>
        </w:rPr>
        <w:t xml:space="preserve">на </w:t>
      </w:r>
      <w:r w:rsidRPr="00BC513A">
        <w:rPr>
          <w:sz w:val="22"/>
          <w:szCs w:val="22"/>
          <w:lang w:val="bg-BG"/>
        </w:rPr>
        <w:t>броя на земеделските стопани, които участват по мярката, спазвайки забраните и ограниченията за съответната защитена зона от Натура 2000, като броят на подадените заявления нараства от 2 427 на 10</w:t>
      </w:r>
      <w:r w:rsidR="00D44A66">
        <w:rPr>
          <w:sz w:val="22"/>
          <w:szCs w:val="22"/>
          <w:lang w:val="bg-BG"/>
        </w:rPr>
        <w:t> </w:t>
      </w:r>
      <w:r w:rsidRPr="00BC513A">
        <w:rPr>
          <w:sz w:val="22"/>
          <w:szCs w:val="22"/>
          <w:lang w:val="bg-BG"/>
        </w:rPr>
        <w:t>217 броя, докато индикаторите, заложени в ПРСР 2007-2013, предвиждат участие на 5</w:t>
      </w:r>
      <w:r w:rsidR="00D44A66">
        <w:rPr>
          <w:sz w:val="22"/>
          <w:szCs w:val="22"/>
          <w:lang w:val="bg-BG"/>
        </w:rPr>
        <w:t> </w:t>
      </w:r>
      <w:r w:rsidRPr="00BC513A">
        <w:rPr>
          <w:sz w:val="22"/>
          <w:szCs w:val="22"/>
          <w:lang w:val="bg-BG"/>
        </w:rPr>
        <w:t xml:space="preserve">600 земеделски стопани. </w:t>
      </w:r>
    </w:p>
    <w:p w14:paraId="48923F81" w14:textId="65A8B628"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 отношение опазване на биоразнообразието е важно да се отбележи, че увеличения</w:t>
      </w:r>
      <w:r w:rsidR="00D44A66">
        <w:rPr>
          <w:sz w:val="22"/>
          <w:szCs w:val="22"/>
          <w:lang w:val="bg-BG"/>
        </w:rPr>
        <w:t>т</w:t>
      </w:r>
      <w:r w:rsidRPr="00BC513A">
        <w:rPr>
          <w:sz w:val="22"/>
          <w:szCs w:val="22"/>
          <w:lang w:val="bg-BG"/>
        </w:rPr>
        <w:t xml:space="preserve"> обхват на новите зони (от 102 през 2011</w:t>
      </w:r>
      <w:r w:rsidR="00D44A66">
        <w:rPr>
          <w:sz w:val="22"/>
          <w:szCs w:val="22"/>
          <w:lang w:val="bg-BG"/>
        </w:rPr>
        <w:t xml:space="preserve"> г.</w:t>
      </w:r>
      <w:r w:rsidRPr="00BC513A">
        <w:rPr>
          <w:sz w:val="22"/>
          <w:szCs w:val="22"/>
          <w:lang w:val="bg-BG"/>
        </w:rPr>
        <w:t xml:space="preserve"> до 114 през 2013 г. и до 118 през 2014 г.) оказва положително въздействие по отношение съхранението на екосистемите и предотвратяване загубата на биоразнообразие. Създават се благоприятни условия за видовете и техните местообитания, съобразно режимите, разписани в заповедите за обявяването на защитените зони. Тенденцията на повишаване на интереса към мярката се запазва и в ПРСР 2014-2020 г.</w:t>
      </w:r>
    </w:p>
    <w:p w14:paraId="2D9B16B9"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Наблюдават се три индикатора за резултат</w:t>
      </w:r>
    </w:p>
    <w:p w14:paraId="31C38F66" w14:textId="77777777" w:rsidR="00E8617E" w:rsidRPr="00BC513A" w:rsidRDefault="00E8617E" w:rsidP="00E8617E">
      <w:pPr>
        <w:pStyle w:val="DefaultText"/>
        <w:numPr>
          <w:ilvl w:val="0"/>
          <w:numId w:val="43"/>
        </w:numPr>
        <w:spacing w:after="120" w:line="300" w:lineRule="atLeast"/>
        <w:rPr>
          <w:sz w:val="22"/>
          <w:szCs w:val="22"/>
          <w:lang w:val="bg-BG"/>
        </w:rPr>
      </w:pPr>
      <w:r w:rsidRPr="00BC513A">
        <w:rPr>
          <w:sz w:val="22"/>
          <w:szCs w:val="22"/>
          <w:lang w:val="bg-BG"/>
        </w:rPr>
        <w:t>Биоразнообразие с целева стойност 179 000 ha</w:t>
      </w:r>
    </w:p>
    <w:p w14:paraId="36610DE1" w14:textId="77777777" w:rsidR="00E8617E" w:rsidRPr="00BC513A" w:rsidRDefault="00E8617E" w:rsidP="00E8617E">
      <w:pPr>
        <w:pStyle w:val="DefaultText"/>
        <w:numPr>
          <w:ilvl w:val="0"/>
          <w:numId w:val="43"/>
        </w:numPr>
        <w:spacing w:after="120" w:line="300" w:lineRule="atLeast"/>
        <w:rPr>
          <w:sz w:val="22"/>
          <w:szCs w:val="22"/>
          <w:lang w:val="bg-BG"/>
        </w:rPr>
      </w:pPr>
      <w:r w:rsidRPr="00BC513A">
        <w:rPr>
          <w:sz w:val="22"/>
          <w:szCs w:val="22"/>
          <w:lang w:val="bg-BG"/>
        </w:rPr>
        <w:t>Качество на водата с целева стойност 5 600 ha</w:t>
      </w:r>
    </w:p>
    <w:p w14:paraId="445E31B4" w14:textId="77777777" w:rsidR="00E8617E" w:rsidRPr="00BC513A" w:rsidRDefault="00E8617E" w:rsidP="00E8617E">
      <w:pPr>
        <w:pStyle w:val="DefaultText"/>
        <w:numPr>
          <w:ilvl w:val="0"/>
          <w:numId w:val="43"/>
        </w:numPr>
        <w:spacing w:after="120" w:line="300" w:lineRule="atLeast"/>
        <w:rPr>
          <w:sz w:val="22"/>
          <w:szCs w:val="22"/>
          <w:lang w:val="bg-BG"/>
        </w:rPr>
      </w:pPr>
      <w:r w:rsidRPr="00BC513A">
        <w:rPr>
          <w:sz w:val="22"/>
          <w:szCs w:val="22"/>
          <w:lang w:val="bg-BG"/>
        </w:rPr>
        <w:t>Качеството на почвите целева стойност 11 200 ha</w:t>
      </w:r>
    </w:p>
    <w:p w14:paraId="6CA58C5F" w14:textId="77777777" w:rsidR="00E8617E" w:rsidRDefault="00E8617E" w:rsidP="00E8617E">
      <w:pPr>
        <w:pStyle w:val="DefaultText"/>
        <w:spacing w:after="120" w:line="300" w:lineRule="atLeast"/>
        <w:ind w:firstLine="708"/>
        <w:rPr>
          <w:sz w:val="22"/>
          <w:szCs w:val="22"/>
          <w:lang w:val="bg-BG"/>
        </w:rPr>
      </w:pPr>
      <w:r w:rsidRPr="00BC513A">
        <w:rPr>
          <w:sz w:val="22"/>
          <w:szCs w:val="22"/>
          <w:lang w:val="bg-BG"/>
        </w:rPr>
        <w:t xml:space="preserve">При изчисленията за приноса на мярката към постигане на целевите стойности е записано, че тя подпомага в еднаква степен само първите 4 индикатора – така че за всеки от тях подпомаганата площ възлиза на около 83 471 ha. Това означава, че за Биоразнообразието не е изпълнена целевата стойност, докато за Качество на водата и Качеството на почвите целевите стойности са преизпълнени. Четвъртият индикатор, за който е отчетено, че допринася мярката, е изменението на климата. </w:t>
      </w:r>
    </w:p>
    <w:p w14:paraId="26070B61" w14:textId="77777777" w:rsidR="00CE678E" w:rsidRPr="00205C7B" w:rsidRDefault="00CE678E" w:rsidP="00CE678E">
      <w:pPr>
        <w:pStyle w:val="DefaultText"/>
        <w:spacing w:after="120" w:line="300" w:lineRule="atLeast"/>
        <w:ind w:firstLine="708"/>
        <w:rPr>
          <w:sz w:val="22"/>
          <w:szCs w:val="22"/>
          <w:lang w:val="bg-BG"/>
        </w:rPr>
      </w:pPr>
      <w:r w:rsidRPr="00205C7B">
        <w:rPr>
          <w:sz w:val="22"/>
          <w:szCs w:val="22"/>
          <w:lang w:val="bg-BG"/>
        </w:rPr>
        <w:t xml:space="preserve">Теренните проучвания показват, че бенефициентите по мярката </w:t>
      </w:r>
      <w:r w:rsidR="00C87EC1" w:rsidRPr="00205C7B">
        <w:rPr>
          <w:sz w:val="22"/>
          <w:szCs w:val="22"/>
          <w:lang w:val="bg-BG"/>
        </w:rPr>
        <w:t xml:space="preserve">не </w:t>
      </w:r>
      <w:r w:rsidRPr="00205C7B">
        <w:rPr>
          <w:sz w:val="22"/>
          <w:szCs w:val="22"/>
          <w:lang w:val="bg-BG"/>
        </w:rPr>
        <w:t xml:space="preserve">считат, че подкрепата е допринесла </w:t>
      </w:r>
      <w:r w:rsidR="00C87EC1" w:rsidRPr="00205C7B">
        <w:rPr>
          <w:sz w:val="22"/>
          <w:szCs w:val="22"/>
          <w:lang w:val="bg-BG"/>
        </w:rPr>
        <w:t>съществено за опазване на биоразнообразието, водите и почвите, както и за смекчаване на климатичните промени. Принос е отчетен предимно към прилагане на природосъобразни земеделски практики, подобряване на околната среда и поддържане на ВПС на обработваемата земя и горското странство</w:t>
      </w:r>
      <w:r w:rsidRPr="00205C7B">
        <w:rPr>
          <w:sz w:val="22"/>
          <w:szCs w:val="22"/>
          <w:lang w:val="bg-BG"/>
        </w:rPr>
        <w:t>.</w:t>
      </w:r>
      <w:r w:rsidR="00C87EC1" w:rsidRPr="00205C7B">
        <w:rPr>
          <w:sz w:val="22"/>
          <w:szCs w:val="22"/>
          <w:lang w:val="bg-BG"/>
        </w:rPr>
        <w:t xml:space="preserve"> Вижданията на бенефициентите за приноса на мярката към екологичните цели като цяло е по-негативен от останалите мерки по ос 2, което може да се обясни с това, че мярката компенсира за наложени ограничения както и късния й старт. Посетени са само 4 бенефициента по мярката и поради това надеждността на резултатите също може да бъде поставена под съмнение. </w:t>
      </w:r>
    </w:p>
    <w:p w14:paraId="774C4D3F" w14:textId="77777777" w:rsidR="00CE678E" w:rsidRPr="00205C7B" w:rsidRDefault="00CE678E" w:rsidP="00CE678E">
      <w:pPr>
        <w:keepNext/>
        <w:spacing w:before="240" w:after="0" w:line="280" w:lineRule="atLeast"/>
        <w:jc w:val="both"/>
        <w:rPr>
          <w:rFonts w:ascii="Arial" w:hAnsi="Arial" w:cs="Arial"/>
          <w:b/>
          <w:iCs/>
          <w:color w:val="0070C0"/>
          <w:sz w:val="20"/>
          <w:szCs w:val="20"/>
        </w:rPr>
      </w:pPr>
      <w:bookmarkStart w:id="145" w:name="_Toc504136226"/>
      <w:r w:rsidRPr="00205C7B">
        <w:rPr>
          <w:rFonts w:ascii="Arial" w:hAnsi="Arial" w:cs="Arial"/>
          <w:b/>
          <w:color w:val="0070C0"/>
          <w:sz w:val="20"/>
          <w:szCs w:val="20"/>
        </w:rPr>
        <w:t xml:space="preserve">Таблица </w:t>
      </w:r>
      <w:r w:rsidRPr="00205C7B">
        <w:rPr>
          <w:rFonts w:ascii="Arial" w:hAnsi="Arial" w:cs="Arial"/>
          <w:b/>
          <w:color w:val="0070C0"/>
          <w:sz w:val="20"/>
          <w:szCs w:val="20"/>
        </w:rPr>
        <w:fldChar w:fldCharType="begin"/>
      </w:r>
      <w:r w:rsidRPr="00205C7B">
        <w:rPr>
          <w:rFonts w:ascii="Arial" w:hAnsi="Arial" w:cs="Arial"/>
          <w:b/>
          <w:color w:val="0070C0"/>
          <w:sz w:val="20"/>
          <w:szCs w:val="20"/>
        </w:rPr>
        <w:instrText xml:space="preserve"> SEQ Таблица \* ARABIC </w:instrText>
      </w:r>
      <w:r w:rsidRPr="00205C7B">
        <w:rPr>
          <w:rFonts w:ascii="Arial" w:hAnsi="Arial" w:cs="Arial"/>
          <w:b/>
          <w:color w:val="0070C0"/>
          <w:sz w:val="20"/>
          <w:szCs w:val="20"/>
        </w:rPr>
        <w:fldChar w:fldCharType="separate"/>
      </w:r>
      <w:r w:rsidR="0023010D">
        <w:rPr>
          <w:rFonts w:ascii="Arial" w:hAnsi="Arial" w:cs="Arial"/>
          <w:b/>
          <w:noProof/>
          <w:color w:val="0070C0"/>
          <w:sz w:val="20"/>
          <w:szCs w:val="20"/>
        </w:rPr>
        <w:t>54</w:t>
      </w:r>
      <w:r w:rsidRPr="00205C7B">
        <w:rPr>
          <w:rFonts w:ascii="Arial" w:hAnsi="Arial" w:cs="Arial"/>
          <w:b/>
          <w:color w:val="0070C0"/>
          <w:sz w:val="20"/>
          <w:szCs w:val="20"/>
        </w:rPr>
        <w:fldChar w:fldCharType="end"/>
      </w:r>
      <w:r w:rsidR="00047E2D">
        <w:rPr>
          <w:rFonts w:ascii="Arial" w:hAnsi="Arial" w:cs="Arial"/>
          <w:b/>
          <w:color w:val="0070C0"/>
          <w:sz w:val="20"/>
          <w:szCs w:val="20"/>
        </w:rPr>
        <w:t>.</w:t>
      </w:r>
      <w:r w:rsidRPr="00205C7B">
        <w:rPr>
          <w:rFonts w:ascii="Arial" w:hAnsi="Arial" w:cs="Arial"/>
          <w:b/>
          <w:color w:val="0070C0"/>
          <w:sz w:val="20"/>
          <w:szCs w:val="20"/>
        </w:rPr>
        <w:t xml:space="preserve"> </w:t>
      </w:r>
      <w:r w:rsidRPr="00205C7B">
        <w:rPr>
          <w:rFonts w:ascii="Arial" w:hAnsi="Arial" w:cs="Arial"/>
          <w:b/>
          <w:iCs/>
          <w:color w:val="0070C0"/>
          <w:sz w:val="20"/>
          <w:szCs w:val="20"/>
        </w:rPr>
        <w:t>Виждания на бенефициентите по мярка 213 за принос на мярката към нейните цели</w:t>
      </w:r>
      <w:bookmarkEnd w:id="145"/>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2"/>
        <w:gridCol w:w="3119"/>
      </w:tblGrid>
      <w:tr w:rsidR="00CE678E" w:rsidRPr="00205C7B" w14:paraId="08E7ADA0" w14:textId="77777777" w:rsidTr="00213E30">
        <w:trPr>
          <w:trHeight w:val="415"/>
        </w:trPr>
        <w:tc>
          <w:tcPr>
            <w:tcW w:w="6232" w:type="dxa"/>
            <w:shd w:val="clear" w:color="auto" w:fill="1F4E79" w:themeFill="accent1" w:themeFillShade="80"/>
            <w:vAlign w:val="center"/>
          </w:tcPr>
          <w:p w14:paraId="453C4EE4" w14:textId="77777777" w:rsidR="00CE678E" w:rsidRPr="00205C7B" w:rsidRDefault="00CE678E" w:rsidP="00151630">
            <w:pPr>
              <w:spacing w:after="0" w:line="240" w:lineRule="auto"/>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Принос на мярка 21</w:t>
            </w:r>
            <w:r w:rsidR="00151630" w:rsidRPr="00205C7B">
              <w:rPr>
                <w:rFonts w:ascii="Arial" w:eastAsia="Times New Roman" w:hAnsi="Arial" w:cs="Arial"/>
                <w:b/>
                <w:color w:val="FFFFFF" w:themeColor="background1"/>
                <w:sz w:val="20"/>
                <w:szCs w:val="20"/>
                <w:lang w:val="en-US" w:eastAsia="bg-BG"/>
              </w:rPr>
              <w:t>3</w:t>
            </w:r>
            <w:r w:rsidRPr="00205C7B">
              <w:rPr>
                <w:rFonts w:ascii="Arial" w:eastAsia="Times New Roman" w:hAnsi="Arial" w:cs="Arial"/>
                <w:b/>
                <w:color w:val="FFFFFF" w:themeColor="background1"/>
                <w:sz w:val="20"/>
                <w:szCs w:val="20"/>
                <w:lang w:eastAsia="bg-BG"/>
              </w:rPr>
              <w:t xml:space="preserve"> към</w:t>
            </w:r>
            <w:r w:rsidR="00213E30">
              <w:rPr>
                <w:rFonts w:ascii="Arial" w:eastAsia="Times New Roman" w:hAnsi="Arial" w:cs="Arial"/>
                <w:b/>
                <w:color w:val="FFFFFF" w:themeColor="background1"/>
                <w:sz w:val="20"/>
                <w:szCs w:val="20"/>
                <w:lang w:eastAsia="bg-BG"/>
              </w:rPr>
              <w:t>:</w:t>
            </w:r>
          </w:p>
        </w:tc>
        <w:tc>
          <w:tcPr>
            <w:tcW w:w="3119" w:type="dxa"/>
            <w:shd w:val="clear" w:color="auto" w:fill="1F4E79" w:themeFill="accent1" w:themeFillShade="80"/>
            <w:noWrap/>
            <w:vAlign w:val="center"/>
          </w:tcPr>
          <w:p w14:paraId="35AB54F9" w14:textId="77777777" w:rsidR="00CE678E" w:rsidRPr="00205C7B" w:rsidRDefault="00CE678E" w:rsidP="00852D69">
            <w:pPr>
              <w:spacing w:after="0" w:line="240" w:lineRule="auto"/>
              <w:jc w:val="right"/>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Изключително много и много</w:t>
            </w:r>
          </w:p>
        </w:tc>
      </w:tr>
      <w:tr w:rsidR="00CE678E" w:rsidRPr="00205C7B" w14:paraId="1DD43143" w14:textId="77777777" w:rsidTr="00852D69">
        <w:trPr>
          <w:trHeight w:val="308"/>
        </w:trPr>
        <w:tc>
          <w:tcPr>
            <w:tcW w:w="6232" w:type="dxa"/>
            <w:shd w:val="clear" w:color="auto" w:fill="auto"/>
            <w:vAlign w:val="center"/>
          </w:tcPr>
          <w:p w14:paraId="3AFC8C72" w14:textId="77777777" w:rsidR="00CE678E" w:rsidRPr="00205C7B" w:rsidRDefault="00CE678E" w:rsidP="00C87EC1">
            <w:pPr>
              <w:spacing w:after="0" w:line="240" w:lineRule="auto"/>
              <w:rPr>
                <w:rFonts w:ascii="Arial" w:hAnsi="Arial" w:cs="Arial"/>
                <w:color w:val="000000"/>
                <w:sz w:val="20"/>
                <w:szCs w:val="20"/>
              </w:rPr>
            </w:pPr>
            <w:r w:rsidRPr="00205C7B">
              <w:rPr>
                <w:rFonts w:ascii="Arial" w:hAnsi="Arial" w:cs="Arial"/>
                <w:color w:val="000000"/>
                <w:sz w:val="20"/>
                <w:szCs w:val="20"/>
              </w:rPr>
              <w:t>Природосъобразни земеделски практики</w:t>
            </w:r>
          </w:p>
        </w:tc>
        <w:tc>
          <w:tcPr>
            <w:tcW w:w="3119" w:type="dxa"/>
            <w:shd w:val="clear" w:color="auto" w:fill="auto"/>
            <w:noWrap/>
            <w:vAlign w:val="bottom"/>
          </w:tcPr>
          <w:p w14:paraId="05A4C989" w14:textId="77777777" w:rsidR="00CE678E" w:rsidRPr="00205C7B" w:rsidRDefault="00CE678E" w:rsidP="00C87EC1">
            <w:pPr>
              <w:spacing w:after="0" w:line="240" w:lineRule="auto"/>
              <w:jc w:val="right"/>
              <w:rPr>
                <w:rFonts w:ascii="Arial" w:hAnsi="Arial" w:cs="Arial"/>
                <w:color w:val="000000"/>
                <w:sz w:val="20"/>
                <w:szCs w:val="20"/>
              </w:rPr>
            </w:pPr>
            <w:r w:rsidRPr="00205C7B">
              <w:rPr>
                <w:rFonts w:ascii="Arial" w:hAnsi="Arial" w:cs="Arial"/>
                <w:color w:val="000000"/>
                <w:sz w:val="20"/>
                <w:szCs w:val="20"/>
              </w:rPr>
              <w:t>50%</w:t>
            </w:r>
          </w:p>
        </w:tc>
      </w:tr>
      <w:tr w:rsidR="00CE678E" w:rsidRPr="00205C7B" w14:paraId="11D20C5B" w14:textId="77777777" w:rsidTr="00852D69">
        <w:trPr>
          <w:trHeight w:val="269"/>
        </w:trPr>
        <w:tc>
          <w:tcPr>
            <w:tcW w:w="6232" w:type="dxa"/>
            <w:shd w:val="clear" w:color="auto" w:fill="auto"/>
            <w:vAlign w:val="center"/>
          </w:tcPr>
          <w:p w14:paraId="70729C6C" w14:textId="77777777" w:rsidR="00CE678E" w:rsidRPr="00205C7B" w:rsidRDefault="00CE678E" w:rsidP="00C87EC1">
            <w:pPr>
              <w:spacing w:after="0" w:line="240" w:lineRule="auto"/>
              <w:rPr>
                <w:rFonts w:ascii="Arial" w:hAnsi="Arial" w:cs="Arial"/>
                <w:color w:val="000000"/>
                <w:sz w:val="20"/>
                <w:szCs w:val="20"/>
              </w:rPr>
            </w:pPr>
            <w:r w:rsidRPr="00205C7B">
              <w:rPr>
                <w:rFonts w:ascii="Arial" w:hAnsi="Arial" w:cs="Arial"/>
                <w:color w:val="000000"/>
                <w:sz w:val="20"/>
                <w:szCs w:val="20"/>
              </w:rPr>
              <w:t>Поддържане на местообитания и биоразнообразие</w:t>
            </w:r>
          </w:p>
        </w:tc>
        <w:tc>
          <w:tcPr>
            <w:tcW w:w="3119" w:type="dxa"/>
            <w:shd w:val="clear" w:color="auto" w:fill="auto"/>
            <w:noWrap/>
            <w:vAlign w:val="bottom"/>
          </w:tcPr>
          <w:p w14:paraId="77E7C734" w14:textId="77777777" w:rsidR="00CE678E" w:rsidRPr="00205C7B" w:rsidRDefault="00CE678E" w:rsidP="00C87EC1">
            <w:pPr>
              <w:spacing w:after="0" w:line="240" w:lineRule="auto"/>
              <w:jc w:val="right"/>
              <w:rPr>
                <w:rFonts w:ascii="Arial" w:hAnsi="Arial" w:cs="Arial"/>
                <w:color w:val="000000"/>
                <w:sz w:val="20"/>
                <w:szCs w:val="20"/>
              </w:rPr>
            </w:pPr>
            <w:r w:rsidRPr="00205C7B">
              <w:rPr>
                <w:rFonts w:ascii="Arial" w:hAnsi="Arial" w:cs="Arial"/>
                <w:color w:val="000000"/>
                <w:sz w:val="20"/>
                <w:szCs w:val="20"/>
              </w:rPr>
              <w:t>25%</w:t>
            </w:r>
          </w:p>
        </w:tc>
      </w:tr>
      <w:tr w:rsidR="00CE678E" w:rsidRPr="00205C7B" w14:paraId="67D81999" w14:textId="77777777" w:rsidTr="00852D69">
        <w:trPr>
          <w:trHeight w:val="300"/>
        </w:trPr>
        <w:tc>
          <w:tcPr>
            <w:tcW w:w="6232" w:type="dxa"/>
            <w:shd w:val="clear" w:color="auto" w:fill="auto"/>
            <w:vAlign w:val="center"/>
          </w:tcPr>
          <w:p w14:paraId="4230B947" w14:textId="77777777" w:rsidR="00CE678E" w:rsidRPr="00205C7B" w:rsidRDefault="00CE678E" w:rsidP="00C87EC1">
            <w:pPr>
              <w:spacing w:after="0" w:line="240" w:lineRule="auto"/>
              <w:rPr>
                <w:rFonts w:ascii="Arial" w:hAnsi="Arial" w:cs="Arial"/>
                <w:color w:val="000000"/>
                <w:sz w:val="20"/>
                <w:szCs w:val="20"/>
              </w:rPr>
            </w:pPr>
            <w:r w:rsidRPr="00205C7B">
              <w:rPr>
                <w:rFonts w:ascii="Arial" w:hAnsi="Arial" w:cs="Arial"/>
                <w:color w:val="000000"/>
                <w:sz w:val="20"/>
                <w:szCs w:val="20"/>
              </w:rPr>
              <w:t>Поддържане на ландшафта</w:t>
            </w:r>
          </w:p>
        </w:tc>
        <w:tc>
          <w:tcPr>
            <w:tcW w:w="3119" w:type="dxa"/>
            <w:shd w:val="clear" w:color="auto" w:fill="auto"/>
            <w:noWrap/>
            <w:vAlign w:val="bottom"/>
          </w:tcPr>
          <w:p w14:paraId="6240B7CD" w14:textId="77777777" w:rsidR="00CE678E" w:rsidRPr="00205C7B" w:rsidRDefault="00CE678E" w:rsidP="00C87EC1">
            <w:pPr>
              <w:spacing w:after="0" w:line="240" w:lineRule="auto"/>
              <w:jc w:val="right"/>
              <w:rPr>
                <w:rFonts w:ascii="Arial" w:hAnsi="Arial" w:cs="Arial"/>
                <w:color w:val="000000"/>
                <w:sz w:val="20"/>
                <w:szCs w:val="20"/>
              </w:rPr>
            </w:pPr>
            <w:r w:rsidRPr="00205C7B">
              <w:rPr>
                <w:rFonts w:ascii="Arial" w:hAnsi="Arial" w:cs="Arial"/>
                <w:color w:val="000000"/>
                <w:sz w:val="20"/>
                <w:szCs w:val="20"/>
              </w:rPr>
              <w:t>25%</w:t>
            </w:r>
          </w:p>
        </w:tc>
      </w:tr>
      <w:tr w:rsidR="00CE678E" w:rsidRPr="00205C7B" w14:paraId="7D9F5F6A" w14:textId="77777777" w:rsidTr="00852D69">
        <w:trPr>
          <w:trHeight w:val="300"/>
        </w:trPr>
        <w:tc>
          <w:tcPr>
            <w:tcW w:w="6232" w:type="dxa"/>
            <w:shd w:val="clear" w:color="auto" w:fill="auto"/>
            <w:vAlign w:val="center"/>
          </w:tcPr>
          <w:p w14:paraId="685AF286" w14:textId="77777777" w:rsidR="00CE678E" w:rsidRPr="00205C7B" w:rsidRDefault="00CE678E" w:rsidP="00C87EC1">
            <w:pPr>
              <w:spacing w:after="0" w:line="240" w:lineRule="auto"/>
              <w:rPr>
                <w:rFonts w:ascii="Arial" w:hAnsi="Arial" w:cs="Arial"/>
                <w:color w:val="000000"/>
                <w:sz w:val="20"/>
                <w:szCs w:val="20"/>
              </w:rPr>
            </w:pPr>
            <w:r w:rsidRPr="00205C7B">
              <w:rPr>
                <w:rFonts w:ascii="Arial" w:hAnsi="Arial" w:cs="Arial"/>
                <w:color w:val="000000"/>
                <w:sz w:val="20"/>
                <w:szCs w:val="20"/>
              </w:rPr>
              <w:t>Качество на водите</w:t>
            </w:r>
          </w:p>
        </w:tc>
        <w:tc>
          <w:tcPr>
            <w:tcW w:w="3119" w:type="dxa"/>
            <w:shd w:val="clear" w:color="auto" w:fill="auto"/>
            <w:noWrap/>
            <w:vAlign w:val="bottom"/>
          </w:tcPr>
          <w:p w14:paraId="0416E6C2" w14:textId="77777777" w:rsidR="00CE678E" w:rsidRPr="00205C7B" w:rsidRDefault="00CE678E" w:rsidP="00C87EC1">
            <w:pPr>
              <w:spacing w:after="0" w:line="240" w:lineRule="auto"/>
              <w:jc w:val="right"/>
              <w:rPr>
                <w:rFonts w:ascii="Arial" w:hAnsi="Arial" w:cs="Arial"/>
                <w:color w:val="000000"/>
                <w:sz w:val="20"/>
                <w:szCs w:val="20"/>
              </w:rPr>
            </w:pPr>
            <w:r w:rsidRPr="00205C7B">
              <w:rPr>
                <w:rFonts w:ascii="Arial" w:hAnsi="Arial" w:cs="Arial"/>
                <w:color w:val="000000"/>
                <w:sz w:val="20"/>
                <w:szCs w:val="20"/>
              </w:rPr>
              <w:t>25%</w:t>
            </w:r>
          </w:p>
        </w:tc>
      </w:tr>
      <w:tr w:rsidR="00CE678E" w:rsidRPr="00205C7B" w14:paraId="5E9B4E42" w14:textId="77777777" w:rsidTr="00852D69">
        <w:trPr>
          <w:trHeight w:val="360"/>
        </w:trPr>
        <w:tc>
          <w:tcPr>
            <w:tcW w:w="6232" w:type="dxa"/>
            <w:shd w:val="clear" w:color="auto" w:fill="auto"/>
            <w:vAlign w:val="center"/>
          </w:tcPr>
          <w:p w14:paraId="661C5586" w14:textId="77777777" w:rsidR="00CE678E" w:rsidRPr="00205C7B" w:rsidRDefault="00CE678E" w:rsidP="00C87EC1">
            <w:pPr>
              <w:spacing w:after="0" w:line="240" w:lineRule="auto"/>
              <w:rPr>
                <w:rFonts w:ascii="Arial" w:hAnsi="Arial" w:cs="Arial"/>
                <w:color w:val="000000"/>
                <w:sz w:val="20"/>
                <w:szCs w:val="20"/>
              </w:rPr>
            </w:pPr>
            <w:r w:rsidRPr="00205C7B">
              <w:rPr>
                <w:rFonts w:ascii="Arial" w:hAnsi="Arial" w:cs="Arial"/>
                <w:color w:val="000000"/>
                <w:sz w:val="20"/>
                <w:szCs w:val="20"/>
              </w:rPr>
              <w:t>Качество на почвите</w:t>
            </w:r>
          </w:p>
        </w:tc>
        <w:tc>
          <w:tcPr>
            <w:tcW w:w="3119" w:type="dxa"/>
            <w:shd w:val="clear" w:color="auto" w:fill="auto"/>
            <w:noWrap/>
            <w:vAlign w:val="bottom"/>
          </w:tcPr>
          <w:p w14:paraId="6809E4CC" w14:textId="77777777" w:rsidR="00CE678E" w:rsidRPr="00205C7B" w:rsidRDefault="00CE678E" w:rsidP="00C87EC1">
            <w:pPr>
              <w:spacing w:after="0" w:line="240" w:lineRule="auto"/>
              <w:jc w:val="right"/>
              <w:rPr>
                <w:rFonts w:ascii="Arial" w:hAnsi="Arial" w:cs="Arial"/>
                <w:color w:val="000000"/>
                <w:sz w:val="20"/>
                <w:szCs w:val="20"/>
              </w:rPr>
            </w:pPr>
            <w:r w:rsidRPr="00205C7B">
              <w:rPr>
                <w:rFonts w:ascii="Arial" w:hAnsi="Arial" w:cs="Arial"/>
                <w:color w:val="000000"/>
                <w:sz w:val="20"/>
                <w:szCs w:val="20"/>
              </w:rPr>
              <w:t>25%</w:t>
            </w:r>
          </w:p>
        </w:tc>
      </w:tr>
      <w:tr w:rsidR="00CE678E" w:rsidRPr="00205C7B" w14:paraId="08642A14" w14:textId="77777777" w:rsidTr="00852D69">
        <w:trPr>
          <w:trHeight w:val="300"/>
        </w:trPr>
        <w:tc>
          <w:tcPr>
            <w:tcW w:w="6232" w:type="dxa"/>
            <w:shd w:val="clear" w:color="auto" w:fill="auto"/>
            <w:vAlign w:val="center"/>
          </w:tcPr>
          <w:p w14:paraId="07162640" w14:textId="77777777" w:rsidR="00CE678E" w:rsidRPr="00205C7B" w:rsidRDefault="00CE678E" w:rsidP="00C87EC1">
            <w:pPr>
              <w:spacing w:after="0" w:line="240" w:lineRule="auto"/>
              <w:rPr>
                <w:rFonts w:ascii="Arial" w:hAnsi="Arial" w:cs="Arial"/>
                <w:color w:val="000000"/>
                <w:sz w:val="20"/>
                <w:szCs w:val="20"/>
              </w:rPr>
            </w:pPr>
            <w:r w:rsidRPr="00205C7B">
              <w:rPr>
                <w:rFonts w:ascii="Arial" w:hAnsi="Arial" w:cs="Arial"/>
                <w:color w:val="000000"/>
                <w:sz w:val="20"/>
                <w:szCs w:val="20"/>
              </w:rPr>
              <w:t>Смекчаване на климатичните промени</w:t>
            </w:r>
          </w:p>
        </w:tc>
        <w:tc>
          <w:tcPr>
            <w:tcW w:w="3119" w:type="dxa"/>
            <w:shd w:val="clear" w:color="auto" w:fill="auto"/>
            <w:noWrap/>
            <w:vAlign w:val="bottom"/>
          </w:tcPr>
          <w:p w14:paraId="77C62AC8" w14:textId="77777777" w:rsidR="00CE678E" w:rsidRPr="00205C7B" w:rsidRDefault="00CE678E" w:rsidP="00C87EC1">
            <w:pPr>
              <w:spacing w:after="0" w:line="240" w:lineRule="auto"/>
              <w:jc w:val="right"/>
              <w:rPr>
                <w:rFonts w:ascii="Arial" w:hAnsi="Arial" w:cs="Arial"/>
                <w:color w:val="000000"/>
                <w:sz w:val="20"/>
                <w:szCs w:val="20"/>
              </w:rPr>
            </w:pPr>
            <w:r w:rsidRPr="00205C7B">
              <w:rPr>
                <w:rFonts w:ascii="Arial" w:hAnsi="Arial" w:cs="Arial"/>
                <w:color w:val="000000"/>
                <w:sz w:val="20"/>
                <w:szCs w:val="20"/>
              </w:rPr>
              <w:t>25%</w:t>
            </w:r>
          </w:p>
        </w:tc>
      </w:tr>
      <w:tr w:rsidR="00CE678E" w:rsidRPr="00205C7B" w14:paraId="2CF27E5F" w14:textId="77777777" w:rsidTr="00852D69">
        <w:trPr>
          <w:trHeight w:val="300"/>
        </w:trPr>
        <w:tc>
          <w:tcPr>
            <w:tcW w:w="6232" w:type="dxa"/>
            <w:shd w:val="clear" w:color="auto" w:fill="auto"/>
            <w:vAlign w:val="center"/>
          </w:tcPr>
          <w:p w14:paraId="05AEF8A4" w14:textId="77777777" w:rsidR="00CE678E" w:rsidRPr="00205C7B" w:rsidRDefault="00CE678E" w:rsidP="00C87EC1">
            <w:pPr>
              <w:spacing w:after="0" w:line="240" w:lineRule="auto"/>
              <w:rPr>
                <w:rFonts w:ascii="Arial" w:hAnsi="Arial" w:cs="Arial"/>
                <w:color w:val="000000"/>
                <w:sz w:val="20"/>
                <w:szCs w:val="20"/>
              </w:rPr>
            </w:pPr>
            <w:r w:rsidRPr="00205C7B">
              <w:rPr>
                <w:rFonts w:ascii="Arial" w:hAnsi="Arial" w:cs="Arial"/>
                <w:color w:val="000000"/>
                <w:sz w:val="20"/>
                <w:szCs w:val="20"/>
              </w:rPr>
              <w:t>Подобряване на околната среда</w:t>
            </w:r>
          </w:p>
        </w:tc>
        <w:tc>
          <w:tcPr>
            <w:tcW w:w="3119" w:type="dxa"/>
            <w:shd w:val="clear" w:color="auto" w:fill="auto"/>
            <w:noWrap/>
            <w:vAlign w:val="bottom"/>
          </w:tcPr>
          <w:p w14:paraId="248567F9" w14:textId="77777777" w:rsidR="00CE678E" w:rsidRPr="00205C7B" w:rsidRDefault="00CE678E" w:rsidP="00C87EC1">
            <w:pPr>
              <w:spacing w:after="0" w:line="240" w:lineRule="auto"/>
              <w:jc w:val="right"/>
              <w:rPr>
                <w:rFonts w:ascii="Arial" w:hAnsi="Arial" w:cs="Arial"/>
                <w:color w:val="000000"/>
                <w:sz w:val="20"/>
                <w:szCs w:val="20"/>
              </w:rPr>
            </w:pPr>
            <w:r w:rsidRPr="00205C7B">
              <w:rPr>
                <w:rFonts w:ascii="Arial" w:hAnsi="Arial" w:cs="Arial"/>
                <w:color w:val="000000"/>
                <w:sz w:val="20"/>
                <w:szCs w:val="20"/>
              </w:rPr>
              <w:t>50%</w:t>
            </w:r>
          </w:p>
        </w:tc>
      </w:tr>
      <w:tr w:rsidR="00CE678E" w:rsidRPr="00205C7B" w14:paraId="67F9A81C" w14:textId="77777777" w:rsidTr="00852D69">
        <w:trPr>
          <w:trHeight w:val="300"/>
        </w:trPr>
        <w:tc>
          <w:tcPr>
            <w:tcW w:w="6232" w:type="dxa"/>
            <w:shd w:val="clear" w:color="auto" w:fill="auto"/>
            <w:vAlign w:val="center"/>
          </w:tcPr>
          <w:p w14:paraId="6DE6BDDA" w14:textId="77777777" w:rsidR="00CE678E" w:rsidRPr="00205C7B" w:rsidRDefault="00CE678E" w:rsidP="00C87EC1">
            <w:pPr>
              <w:spacing w:after="0" w:line="240" w:lineRule="auto"/>
              <w:rPr>
                <w:rFonts w:ascii="Arial" w:hAnsi="Arial" w:cs="Arial"/>
                <w:color w:val="000000"/>
                <w:sz w:val="20"/>
                <w:szCs w:val="20"/>
              </w:rPr>
            </w:pPr>
            <w:r w:rsidRPr="00205C7B">
              <w:rPr>
                <w:rFonts w:ascii="Arial" w:hAnsi="Arial" w:cs="Arial"/>
                <w:color w:val="000000"/>
                <w:sz w:val="20"/>
                <w:szCs w:val="20"/>
              </w:rPr>
              <w:t>Поддръжка на ВПС на обработваемата земя и горското стопанство</w:t>
            </w:r>
          </w:p>
        </w:tc>
        <w:tc>
          <w:tcPr>
            <w:tcW w:w="3119" w:type="dxa"/>
            <w:shd w:val="clear" w:color="auto" w:fill="auto"/>
            <w:noWrap/>
            <w:vAlign w:val="bottom"/>
          </w:tcPr>
          <w:p w14:paraId="480E4F01" w14:textId="77777777" w:rsidR="00CE678E" w:rsidRPr="00205C7B" w:rsidRDefault="00CE678E" w:rsidP="00C87EC1">
            <w:pPr>
              <w:spacing w:after="0" w:line="240" w:lineRule="auto"/>
              <w:jc w:val="right"/>
              <w:rPr>
                <w:rFonts w:ascii="Arial" w:hAnsi="Arial" w:cs="Arial"/>
                <w:color w:val="000000"/>
                <w:sz w:val="20"/>
                <w:szCs w:val="20"/>
              </w:rPr>
            </w:pPr>
            <w:r w:rsidRPr="00205C7B">
              <w:rPr>
                <w:rFonts w:ascii="Arial" w:hAnsi="Arial" w:cs="Arial"/>
                <w:color w:val="000000"/>
                <w:sz w:val="20"/>
                <w:szCs w:val="20"/>
              </w:rPr>
              <w:t>50%</w:t>
            </w:r>
          </w:p>
        </w:tc>
      </w:tr>
    </w:tbl>
    <w:p w14:paraId="6FB336B3" w14:textId="77777777" w:rsidR="00CE678E" w:rsidRPr="00A55F86" w:rsidRDefault="00CE678E" w:rsidP="00CE678E">
      <w:pPr>
        <w:pStyle w:val="DefaultText"/>
        <w:spacing w:after="120" w:line="300" w:lineRule="atLeast"/>
        <w:rPr>
          <w:szCs w:val="18"/>
          <w:lang w:val="bg-BG"/>
        </w:rPr>
      </w:pPr>
      <w:r w:rsidRPr="00205C7B">
        <w:rPr>
          <w:szCs w:val="18"/>
          <w:lang w:val="bg-BG"/>
        </w:rPr>
        <w:t xml:space="preserve">Източник: Теренни проучвания сред </w:t>
      </w:r>
      <w:r w:rsidR="00C87EC1" w:rsidRPr="00205C7B">
        <w:rPr>
          <w:szCs w:val="18"/>
          <w:lang w:val="bg-BG"/>
        </w:rPr>
        <w:t>4</w:t>
      </w:r>
      <w:r w:rsidRPr="00205C7B">
        <w:rPr>
          <w:szCs w:val="18"/>
          <w:lang w:val="bg-BG"/>
        </w:rPr>
        <w:t xml:space="preserve"> бенефициента по мярка 21</w:t>
      </w:r>
      <w:r w:rsidR="00C87EC1" w:rsidRPr="00205C7B">
        <w:rPr>
          <w:szCs w:val="18"/>
          <w:lang w:val="bg-BG"/>
        </w:rPr>
        <w:t>3</w:t>
      </w:r>
    </w:p>
    <w:p w14:paraId="49466CE2"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214. Агроекологични плащания</w:t>
      </w:r>
    </w:p>
    <w:p w14:paraId="2DCBFDAF"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Чрез мярка 214 „Агроекологични плащания" се прилага Националната агроекологична програма, целяща устойчивото използване на земеделските земи. Тя има за цел да насърчи въвеждането и използването на екологични земеделски производствени методи и предоставя агроекологични плащания за земеделски стопани, които доброволно управляват земите си по начин, който е от полза за околната среда и общественото благо за цялото общество.</w:t>
      </w:r>
    </w:p>
    <w:p w14:paraId="05CFE56A" w14:textId="67375F73"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Основната цел на агроекологичната мярка е да се подкрепят екологосъобразни земеделски практики. Мярката предоставя плащания на земеделските производители, които желаят да сключат договор за срок от 5 години за запазване, възстановяване и/или поддържане на природните ресурси (предимно почвата и водата), традиционните ландшафти, биоразнообразието и местообитанията и/или застрашените местни породи селскостопански животни. Освен това мярката има за цел да повиши екологичната осведоменост и познания на земеделските стопани и да насърчи използването на екологичното планиране в практиките за управление на земеделските стопанства. Мярката е фокусирана върху прилагане на различни практики, съобразени с нуждите от подкрепа за прилагане методите на биологично производство, поддържане на земи с висока природна стойност, запазване на традиционни практики в животновъдството и контрол на почвената ерозия и има следните </w:t>
      </w:r>
      <w:r w:rsidR="00D44A66">
        <w:rPr>
          <w:sz w:val="22"/>
          <w:szCs w:val="22"/>
          <w:lang w:val="bg-BG"/>
        </w:rPr>
        <w:t>п</w:t>
      </w:r>
      <w:r w:rsidRPr="00BC513A">
        <w:rPr>
          <w:sz w:val="22"/>
          <w:szCs w:val="22"/>
          <w:lang w:val="bg-BG"/>
        </w:rPr>
        <w:t>одмерки (направления):</w:t>
      </w:r>
    </w:p>
    <w:p w14:paraId="13A0C7E3"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1. Биологично земеделие (БЗ), което включва Биологично растениевъдство и Биологично пчеларство </w:t>
      </w:r>
      <w:r w:rsidRPr="00BC513A">
        <w:rPr>
          <w:sz w:val="22"/>
          <w:szCs w:val="22"/>
          <w:lang w:val="bg-BG"/>
        </w:rPr>
        <w:tab/>
      </w:r>
    </w:p>
    <w:p w14:paraId="1A2101AB"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2. Управление на земеделски земи с висока природна стойност (ВПС), включващо: ВПС – 1, ВПС – 2 и Поддържане на местообитанията ВПС – 4.</w:t>
      </w:r>
    </w:p>
    <w:p w14:paraId="7F49CB6B"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3. Поддържане на характеристики на ландшафта Традиционно отглеждане на овощни градини</w:t>
      </w:r>
    </w:p>
    <w:p w14:paraId="4D0DC0F4"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4. Опазване на почвите и водите, включващо Въвеждане на сеитбообращение и Контрол на почвената ерозия</w:t>
      </w:r>
    </w:p>
    <w:p w14:paraId="23B03EDD"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5. Традиционно животновъдство, което включва Опазване на застрашени от изчезване местни породи и Пасторализъм</w:t>
      </w:r>
      <w:r w:rsidR="00F07F15">
        <w:rPr>
          <w:sz w:val="22"/>
          <w:szCs w:val="22"/>
          <w:lang w:val="bg-BG"/>
        </w:rPr>
        <w:t>.</w:t>
      </w:r>
    </w:p>
    <w:p w14:paraId="3B685F2E"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Броят на одобрените кандидати за подпомагане по мярката и броят договори представлява само съответно 10% и 12% от поставената в ПРСР цел</w:t>
      </w:r>
      <w:r w:rsidRPr="00BC513A">
        <w:rPr>
          <w:rStyle w:val="FootnoteReference"/>
          <w:sz w:val="22"/>
          <w:szCs w:val="22"/>
          <w:lang w:val="bg-BG"/>
        </w:rPr>
        <w:footnoteReference w:id="27"/>
      </w:r>
      <w:r w:rsidRPr="00BC513A">
        <w:rPr>
          <w:sz w:val="22"/>
          <w:szCs w:val="22"/>
          <w:lang w:val="bg-BG"/>
        </w:rPr>
        <w:t xml:space="preserve">. Индикаторът за подпомогната площ е преизпълнен с 5%, като основната причина се дължи на увеличаване на използваните земеделски площи на стопанствата. </w:t>
      </w:r>
    </w:p>
    <w:p w14:paraId="2E1838B6" w14:textId="5255B1CB"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През 2015</w:t>
      </w:r>
      <w:r w:rsidR="00D44A66">
        <w:rPr>
          <w:sz w:val="22"/>
          <w:szCs w:val="22"/>
          <w:lang w:val="bg-BG"/>
        </w:rPr>
        <w:t xml:space="preserve"> </w:t>
      </w:r>
      <w:r w:rsidRPr="00BC513A">
        <w:rPr>
          <w:sz w:val="22"/>
          <w:szCs w:val="22"/>
          <w:lang w:val="bg-BG"/>
        </w:rPr>
        <w:t>г. се наблюдава отново спад в изпълнението по отношение на генетичните ресурси, достигащ 61% от поставената цел</w:t>
      </w:r>
      <w:r w:rsidR="00D44A66">
        <w:rPr>
          <w:sz w:val="22"/>
          <w:szCs w:val="22"/>
          <w:lang w:val="bg-BG"/>
        </w:rPr>
        <w:t>,</w:t>
      </w:r>
      <w:r w:rsidRPr="00BC513A">
        <w:rPr>
          <w:sz w:val="22"/>
          <w:szCs w:val="22"/>
          <w:lang w:val="bg-BG"/>
        </w:rPr>
        <w:t xml:space="preserve"> както и през 2014 г., когато изпълнението на целта достига 84%. Изпълнението на индикатора </w:t>
      </w:r>
      <w:r w:rsidR="00D44A66">
        <w:rPr>
          <w:sz w:val="22"/>
          <w:szCs w:val="22"/>
          <w:lang w:val="bg-BG"/>
        </w:rPr>
        <w:t>през</w:t>
      </w:r>
      <w:r w:rsidRPr="00BC513A">
        <w:rPr>
          <w:sz w:val="22"/>
          <w:szCs w:val="22"/>
          <w:lang w:val="bg-BG"/>
        </w:rPr>
        <w:t xml:space="preserve"> 2013</w:t>
      </w:r>
      <w:r w:rsidR="00D44A66">
        <w:rPr>
          <w:sz w:val="22"/>
          <w:szCs w:val="22"/>
          <w:lang w:val="bg-BG"/>
        </w:rPr>
        <w:t xml:space="preserve"> </w:t>
      </w:r>
      <w:r w:rsidRPr="00BC513A">
        <w:rPr>
          <w:sz w:val="22"/>
          <w:szCs w:val="22"/>
          <w:lang w:val="bg-BG"/>
        </w:rPr>
        <w:t>г. е 94% от поставената цел спрямо 60% за 2012 г. и 26% за 2011</w:t>
      </w:r>
      <w:r w:rsidR="00D44A66">
        <w:rPr>
          <w:sz w:val="22"/>
          <w:szCs w:val="22"/>
          <w:lang w:val="bg-BG"/>
        </w:rPr>
        <w:t xml:space="preserve"> </w:t>
      </w:r>
      <w:r w:rsidRPr="00BC513A">
        <w:rPr>
          <w:sz w:val="22"/>
          <w:szCs w:val="22"/>
          <w:lang w:val="bg-BG"/>
        </w:rPr>
        <w:t>г.</w:t>
      </w:r>
    </w:p>
    <w:p w14:paraId="72445F27" w14:textId="77777777" w:rsidR="00E8617E" w:rsidRPr="00BC513A" w:rsidRDefault="00E8617E" w:rsidP="00E8617E">
      <w:pPr>
        <w:keepNext/>
        <w:spacing w:before="240" w:after="0" w:line="280" w:lineRule="atLeast"/>
        <w:jc w:val="both"/>
        <w:rPr>
          <w:rFonts w:ascii="Arial" w:hAnsi="Arial" w:cs="Arial"/>
          <w:b/>
          <w:iCs/>
          <w:color w:val="0070C0"/>
        </w:rPr>
      </w:pPr>
      <w:bookmarkStart w:id="146" w:name="_Toc391899942"/>
      <w:bookmarkStart w:id="147" w:name="_Toc504136227"/>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55</w:t>
      </w:r>
      <w:r w:rsidRPr="00BC513A">
        <w:rPr>
          <w:rFonts w:ascii="Arial" w:hAnsi="Arial" w:cs="Arial"/>
          <w:b/>
          <w:color w:val="0070C0"/>
          <w:sz w:val="20"/>
          <w:szCs w:val="20"/>
        </w:rPr>
        <w:fldChar w:fldCharType="end"/>
      </w:r>
      <w:r w:rsidRPr="00BC513A">
        <w:rPr>
          <w:rFonts w:ascii="Arial" w:hAnsi="Arial" w:cs="Arial"/>
          <w:b/>
          <w:color w:val="0070C0"/>
          <w:sz w:val="20"/>
          <w:szCs w:val="20"/>
        </w:rPr>
        <w:t>. Постигане на целите по мярка 214 въз основа на одобрени заявления (без повторение) до 31.12.2015г.</w:t>
      </w:r>
      <w:bookmarkEnd w:id="146"/>
      <w:bookmarkEnd w:id="147"/>
    </w:p>
    <w:tbl>
      <w:tblPr>
        <w:tblW w:w="91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15"/>
        <w:gridCol w:w="1582"/>
        <w:gridCol w:w="1182"/>
        <w:gridCol w:w="1001"/>
      </w:tblGrid>
      <w:tr w:rsidR="00E8617E" w:rsidRPr="00BC513A" w14:paraId="1370BCFF" w14:textId="77777777" w:rsidTr="00922731">
        <w:trPr>
          <w:trHeight w:val="540"/>
          <w:jc w:val="center"/>
        </w:trPr>
        <w:tc>
          <w:tcPr>
            <w:tcW w:w="5415" w:type="dxa"/>
            <w:shd w:val="clear" w:color="auto" w:fill="1F4E79" w:themeFill="accent1" w:themeFillShade="80"/>
            <w:noWrap/>
            <w:vAlign w:val="center"/>
            <w:hideMark/>
          </w:tcPr>
          <w:p w14:paraId="44034E7C"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1582" w:type="dxa"/>
            <w:shd w:val="clear" w:color="auto" w:fill="1F4E79" w:themeFill="accent1" w:themeFillShade="80"/>
            <w:vAlign w:val="center"/>
            <w:hideMark/>
          </w:tcPr>
          <w:p w14:paraId="4DE6B381"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 в ПРСР</w:t>
            </w:r>
          </w:p>
        </w:tc>
        <w:tc>
          <w:tcPr>
            <w:tcW w:w="1182" w:type="dxa"/>
            <w:shd w:val="clear" w:color="auto" w:fill="1F4E79" w:themeFill="accent1" w:themeFillShade="80"/>
            <w:vAlign w:val="center"/>
            <w:hideMark/>
          </w:tcPr>
          <w:p w14:paraId="26812824"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стойност</w:t>
            </w:r>
          </w:p>
        </w:tc>
        <w:tc>
          <w:tcPr>
            <w:tcW w:w="1001" w:type="dxa"/>
            <w:shd w:val="clear" w:color="auto" w:fill="1F4E79" w:themeFill="accent1" w:themeFillShade="80"/>
            <w:vAlign w:val="center"/>
            <w:hideMark/>
          </w:tcPr>
          <w:p w14:paraId="43EDC378"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w:t>
            </w:r>
          </w:p>
        </w:tc>
      </w:tr>
      <w:tr w:rsidR="00E8617E" w:rsidRPr="00BC513A" w14:paraId="7E06DE16" w14:textId="77777777" w:rsidTr="00922731">
        <w:trPr>
          <w:trHeight w:val="330"/>
          <w:jc w:val="center"/>
        </w:trPr>
        <w:tc>
          <w:tcPr>
            <w:tcW w:w="5415" w:type="dxa"/>
            <w:vAlign w:val="center"/>
            <w:hideMark/>
          </w:tcPr>
          <w:p w14:paraId="670F336A"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брой заявители, получили субсидии</w:t>
            </w:r>
          </w:p>
        </w:tc>
        <w:tc>
          <w:tcPr>
            <w:tcW w:w="1582" w:type="dxa"/>
            <w:noWrap/>
            <w:vAlign w:val="center"/>
            <w:hideMark/>
          </w:tcPr>
          <w:p w14:paraId="4D344CDD"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33 990</w:t>
            </w:r>
          </w:p>
        </w:tc>
        <w:tc>
          <w:tcPr>
            <w:tcW w:w="1182" w:type="dxa"/>
            <w:noWrap/>
            <w:vAlign w:val="center"/>
            <w:hideMark/>
          </w:tcPr>
          <w:p w14:paraId="6A758E94"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3 377</w:t>
            </w:r>
          </w:p>
        </w:tc>
        <w:tc>
          <w:tcPr>
            <w:tcW w:w="1001" w:type="dxa"/>
            <w:vAlign w:val="center"/>
            <w:hideMark/>
          </w:tcPr>
          <w:p w14:paraId="3AEBAADE"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10%</w:t>
            </w:r>
          </w:p>
        </w:tc>
      </w:tr>
      <w:tr w:rsidR="00E8617E" w:rsidRPr="00BC513A" w14:paraId="625BEF21" w14:textId="77777777" w:rsidTr="00922731">
        <w:trPr>
          <w:trHeight w:val="330"/>
          <w:jc w:val="center"/>
        </w:trPr>
        <w:tc>
          <w:tcPr>
            <w:tcW w:w="5415" w:type="dxa"/>
            <w:vAlign w:val="center"/>
            <w:hideMark/>
          </w:tcPr>
          <w:p w14:paraId="6882F138"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подпомогната площ /ха/</w:t>
            </w:r>
          </w:p>
        </w:tc>
        <w:tc>
          <w:tcPr>
            <w:tcW w:w="1582" w:type="dxa"/>
            <w:noWrap/>
            <w:vAlign w:val="center"/>
            <w:hideMark/>
          </w:tcPr>
          <w:p w14:paraId="026CDBAC"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700 000</w:t>
            </w:r>
          </w:p>
        </w:tc>
        <w:tc>
          <w:tcPr>
            <w:tcW w:w="1182" w:type="dxa"/>
            <w:noWrap/>
            <w:vAlign w:val="center"/>
            <w:hideMark/>
          </w:tcPr>
          <w:p w14:paraId="2533FF4C"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732 748</w:t>
            </w:r>
          </w:p>
        </w:tc>
        <w:tc>
          <w:tcPr>
            <w:tcW w:w="1001" w:type="dxa"/>
            <w:vAlign w:val="center"/>
            <w:hideMark/>
          </w:tcPr>
          <w:p w14:paraId="56D5C7B9"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105%</w:t>
            </w:r>
          </w:p>
        </w:tc>
      </w:tr>
      <w:tr w:rsidR="00E8617E" w:rsidRPr="00BC513A" w14:paraId="44FB622D" w14:textId="77777777" w:rsidTr="00922731">
        <w:trPr>
          <w:trHeight w:val="330"/>
          <w:jc w:val="center"/>
        </w:trPr>
        <w:tc>
          <w:tcPr>
            <w:tcW w:w="5415" w:type="dxa"/>
            <w:vAlign w:val="center"/>
            <w:hideMark/>
          </w:tcPr>
          <w:p w14:paraId="7BF1A68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брой договори</w:t>
            </w:r>
          </w:p>
        </w:tc>
        <w:tc>
          <w:tcPr>
            <w:tcW w:w="1582" w:type="dxa"/>
            <w:noWrap/>
            <w:vAlign w:val="center"/>
            <w:hideMark/>
          </w:tcPr>
          <w:p w14:paraId="008F0F5F"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42 480</w:t>
            </w:r>
          </w:p>
        </w:tc>
        <w:tc>
          <w:tcPr>
            <w:tcW w:w="1182" w:type="dxa"/>
            <w:noWrap/>
            <w:vAlign w:val="center"/>
            <w:hideMark/>
          </w:tcPr>
          <w:p w14:paraId="0B4D6025"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4 880</w:t>
            </w:r>
          </w:p>
        </w:tc>
        <w:tc>
          <w:tcPr>
            <w:tcW w:w="1001" w:type="dxa"/>
            <w:vAlign w:val="center"/>
            <w:hideMark/>
          </w:tcPr>
          <w:p w14:paraId="326E1A8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12%</w:t>
            </w:r>
          </w:p>
        </w:tc>
      </w:tr>
      <w:tr w:rsidR="00E8617E" w:rsidRPr="00BC513A" w14:paraId="0C397DE7" w14:textId="77777777" w:rsidTr="00922731">
        <w:trPr>
          <w:trHeight w:val="330"/>
          <w:jc w:val="center"/>
        </w:trPr>
        <w:tc>
          <w:tcPr>
            <w:tcW w:w="5415" w:type="dxa"/>
            <w:vAlign w:val="center"/>
            <w:hideMark/>
          </w:tcPr>
          <w:p w14:paraId="7AF226F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брой заявления, свързани с генетичните ресурси</w:t>
            </w:r>
          </w:p>
        </w:tc>
        <w:tc>
          <w:tcPr>
            <w:tcW w:w="1582" w:type="dxa"/>
            <w:noWrap/>
            <w:vAlign w:val="center"/>
            <w:hideMark/>
          </w:tcPr>
          <w:p w14:paraId="36CE7068"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1 000</w:t>
            </w:r>
          </w:p>
        </w:tc>
        <w:tc>
          <w:tcPr>
            <w:tcW w:w="1182" w:type="dxa"/>
            <w:noWrap/>
            <w:vAlign w:val="center"/>
            <w:hideMark/>
          </w:tcPr>
          <w:p w14:paraId="28BB1E2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609</w:t>
            </w:r>
          </w:p>
        </w:tc>
        <w:tc>
          <w:tcPr>
            <w:tcW w:w="1001" w:type="dxa"/>
            <w:vAlign w:val="center"/>
            <w:hideMark/>
          </w:tcPr>
          <w:p w14:paraId="2D7F6B06"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61%</w:t>
            </w:r>
          </w:p>
        </w:tc>
      </w:tr>
    </w:tbl>
    <w:p w14:paraId="149FCDA7" w14:textId="77777777" w:rsidR="00E8617E" w:rsidRPr="00BC513A" w:rsidRDefault="00E8617E" w:rsidP="00E8617E">
      <w:pPr>
        <w:spacing w:after="120" w:line="280" w:lineRule="atLeast"/>
        <w:jc w:val="both"/>
        <w:rPr>
          <w:rFonts w:ascii="Arial" w:eastAsia="Times New Roman" w:hAnsi="Arial" w:cs="Times New Roman"/>
          <w:sz w:val="20"/>
          <w:szCs w:val="20"/>
          <w:highlight w:val="yellow"/>
          <w:lang w:eastAsia="nl-NL"/>
        </w:rPr>
      </w:pPr>
      <w:r w:rsidRPr="00BC513A">
        <w:rPr>
          <w:rFonts w:ascii="Arial" w:eastAsia="Times New Roman" w:hAnsi="Arial" w:cs="Times New Roman"/>
          <w:sz w:val="20"/>
          <w:szCs w:val="20"/>
          <w:lang w:eastAsia="nl-NL"/>
        </w:rPr>
        <w:t>Източник: Годишен доклад за изпълнението на ПРСР 2007-2013 г. за 2015г.</w:t>
      </w:r>
    </w:p>
    <w:p w14:paraId="51A1452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Мярката стартира през 2008 г. с кампанията за директни плащания, която започва от 1 март до 15 май 2008 г. в съответствие с изписани правила и разпоредби. Още от началото възникват проблеми, тъй като Наредбата за прилагане на агроекологичната мярка № 12 / 3.04.2008 г. е официално публикувана едва на 22 април 2008 г., като заявителят има по-малко от месец за подаване на документите си. Наредбата е изменена още на 8 август 2008 г., а след това е отменена с Наредба № 11 / 6.04.2009 г., която е първоначално е изменена на 9.03.2010 г., след което е изменяна многократно. В началния период на прилагане на мярката са констатирани някои трудности, които са систематизирани в тригодишния доклад по следния начин:</w:t>
      </w:r>
    </w:p>
    <w:p w14:paraId="32E5C513"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Като цяло, съществуват следните основни проблеми с прилагането на мярка 214 (общи за всички схеми за агроекологични плащания): </w:t>
      </w:r>
    </w:p>
    <w:p w14:paraId="33C64BAF"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1. Малък брой кандидати.</w:t>
      </w:r>
    </w:p>
    <w:p w14:paraId="595253FC"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2. Твърде бавна обработка на заявленията </w:t>
      </w:r>
    </w:p>
    <w:p w14:paraId="466CDB77"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3. Висок дял от отхвърлените заявления.</w:t>
      </w:r>
    </w:p>
    <w:p w14:paraId="592C33CE"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4. Изключително висок размер на санкциите, доколкото има огромен брой одобрени заявления с разрешена субсидия от 0 лв.</w:t>
      </w:r>
    </w:p>
    <w:p w14:paraId="0FCC3BEF"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5. Не съществува реален договор за ангажимента при агроекологичните плащания.</w:t>
      </w:r>
    </w:p>
    <w:p w14:paraId="2923E7FD"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6. Недостатъчност на сравнима и по този начин достоверна информация за действителните области и бенефициенти на агроекологичните плащания (нови, продължаващи от предишни години, променени) през различните години.</w:t>
      </w:r>
    </w:p>
    <w:p w14:paraId="6187962C" w14:textId="2199255D"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За решаването на проблемите по прилагане на мярка 214 (голям дял неодобрени заявления и с платена сума 0 лв. през 2011</w:t>
      </w:r>
      <w:r w:rsidR="00BD460C">
        <w:rPr>
          <w:sz w:val="22"/>
          <w:szCs w:val="22"/>
          <w:lang w:val="bg-BG"/>
        </w:rPr>
        <w:t xml:space="preserve"> </w:t>
      </w:r>
      <w:r w:rsidRPr="00BC513A">
        <w:rPr>
          <w:sz w:val="22"/>
          <w:szCs w:val="22"/>
          <w:lang w:val="bg-BG"/>
        </w:rPr>
        <w:t>г. и 2012</w:t>
      </w:r>
      <w:r w:rsidR="00BD460C">
        <w:rPr>
          <w:sz w:val="22"/>
          <w:szCs w:val="22"/>
          <w:lang w:val="bg-BG"/>
        </w:rPr>
        <w:t xml:space="preserve"> </w:t>
      </w:r>
      <w:r w:rsidRPr="00BC513A">
        <w:rPr>
          <w:sz w:val="22"/>
          <w:szCs w:val="22"/>
          <w:lang w:val="bg-BG"/>
        </w:rPr>
        <w:t>г.), се провеждат информационни кампании през 2011</w:t>
      </w:r>
      <w:r w:rsidR="00BD460C">
        <w:rPr>
          <w:sz w:val="22"/>
          <w:szCs w:val="22"/>
          <w:lang w:val="bg-BG"/>
        </w:rPr>
        <w:t xml:space="preserve"> </w:t>
      </w:r>
      <w:r w:rsidRPr="00BC513A">
        <w:rPr>
          <w:sz w:val="22"/>
          <w:szCs w:val="22"/>
          <w:lang w:val="bg-BG"/>
        </w:rPr>
        <w:t>г., 2012</w:t>
      </w:r>
      <w:r w:rsidR="00BD460C">
        <w:rPr>
          <w:sz w:val="22"/>
          <w:szCs w:val="22"/>
          <w:lang w:val="bg-BG"/>
        </w:rPr>
        <w:t xml:space="preserve"> </w:t>
      </w:r>
      <w:r w:rsidRPr="00BC513A">
        <w:rPr>
          <w:sz w:val="22"/>
          <w:szCs w:val="22"/>
          <w:lang w:val="bg-BG"/>
        </w:rPr>
        <w:t>г. и 2013</w:t>
      </w:r>
      <w:r w:rsidR="00BD460C">
        <w:rPr>
          <w:sz w:val="22"/>
          <w:szCs w:val="22"/>
          <w:lang w:val="bg-BG"/>
        </w:rPr>
        <w:t xml:space="preserve"> </w:t>
      </w:r>
      <w:r w:rsidRPr="00BC513A">
        <w:rPr>
          <w:sz w:val="22"/>
          <w:szCs w:val="22"/>
          <w:lang w:val="bg-BG"/>
        </w:rPr>
        <w:t>г., както и се внасят изменения в нормативната уредба. Броят на подадените заявления расте от 1 463 през 2008 г</w:t>
      </w:r>
      <w:r w:rsidR="00BD460C">
        <w:rPr>
          <w:sz w:val="22"/>
          <w:szCs w:val="22"/>
          <w:lang w:val="bg-BG"/>
        </w:rPr>
        <w:t>.</w:t>
      </w:r>
      <w:r w:rsidRPr="00BC513A">
        <w:rPr>
          <w:sz w:val="22"/>
          <w:szCs w:val="22"/>
          <w:lang w:val="bg-BG"/>
        </w:rPr>
        <w:t xml:space="preserve"> до 4 242 през 2015</w:t>
      </w:r>
      <w:r w:rsidR="00BD460C" w:rsidRPr="00BC513A">
        <w:rPr>
          <w:sz w:val="22"/>
          <w:szCs w:val="22"/>
          <w:lang w:val="bg-BG"/>
        </w:rPr>
        <w:t> </w:t>
      </w:r>
      <w:r w:rsidRPr="00BC513A">
        <w:rPr>
          <w:sz w:val="22"/>
          <w:szCs w:val="22"/>
          <w:lang w:val="bg-BG"/>
        </w:rPr>
        <w:t>г</w:t>
      </w:r>
      <w:r w:rsidR="00BD460C">
        <w:rPr>
          <w:sz w:val="22"/>
          <w:szCs w:val="22"/>
          <w:lang w:val="bg-BG"/>
        </w:rPr>
        <w:t>.</w:t>
      </w:r>
      <w:r w:rsidRPr="00BC513A">
        <w:rPr>
          <w:sz w:val="22"/>
          <w:szCs w:val="22"/>
          <w:lang w:val="bg-BG"/>
        </w:rPr>
        <w:t>, като общо (без повторение) са 6 616, от които малко над половината (</w:t>
      </w:r>
      <w:r w:rsidRPr="00BC513A">
        <w:rPr>
          <w:sz w:val="20"/>
          <w:szCs w:val="20"/>
          <w:lang w:val="bg-BG"/>
        </w:rPr>
        <w:t>3 377) са с одобрено финансиране</w:t>
      </w:r>
      <w:r w:rsidRPr="00BC513A">
        <w:rPr>
          <w:sz w:val="22"/>
          <w:szCs w:val="22"/>
          <w:lang w:val="bg-BG"/>
        </w:rPr>
        <w:t>. Броят на кандидатите, които са одобрени за участие по мярката през първата година на нейното прилагане, е 1</w:t>
      </w:r>
      <w:r w:rsidR="00BD460C">
        <w:rPr>
          <w:sz w:val="22"/>
          <w:szCs w:val="22"/>
          <w:lang w:val="bg-BG"/>
        </w:rPr>
        <w:t> </w:t>
      </w:r>
      <w:r w:rsidRPr="00BC513A">
        <w:rPr>
          <w:sz w:val="22"/>
          <w:szCs w:val="22"/>
          <w:lang w:val="bg-BG"/>
        </w:rPr>
        <w:t>058, като през 2013 г. техният брой достига до 4</w:t>
      </w:r>
      <w:r w:rsidR="00BD460C">
        <w:rPr>
          <w:sz w:val="22"/>
          <w:szCs w:val="22"/>
          <w:lang w:val="bg-BG"/>
        </w:rPr>
        <w:t> </w:t>
      </w:r>
      <w:r w:rsidRPr="00BC513A">
        <w:rPr>
          <w:sz w:val="22"/>
          <w:szCs w:val="22"/>
          <w:lang w:val="bg-BG"/>
        </w:rPr>
        <w:t>955. Съгласно възможностите, предвидени в европейското законодателство, след 2013 г. не са поемани нови ангажименти по мярката.</w:t>
      </w:r>
    </w:p>
    <w:p w14:paraId="2998F7D8" w14:textId="0B3B2A38"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Прилагането на мярка 214 се подобрява с плавен ръст, който през 2008 и 2009 </w:t>
      </w:r>
      <w:r w:rsidR="00BD460C">
        <w:rPr>
          <w:sz w:val="22"/>
          <w:szCs w:val="22"/>
          <w:lang w:val="bg-BG"/>
        </w:rPr>
        <w:t xml:space="preserve">година </w:t>
      </w:r>
      <w:r w:rsidRPr="00BC513A">
        <w:rPr>
          <w:sz w:val="22"/>
          <w:szCs w:val="22"/>
          <w:lang w:val="bg-BG"/>
        </w:rPr>
        <w:t>е почти на едно ниво, увеличава се малко през 2010, ускорява се през 2011 и 2012</w:t>
      </w:r>
      <w:r w:rsidR="00BD460C">
        <w:rPr>
          <w:sz w:val="22"/>
          <w:szCs w:val="22"/>
          <w:lang w:val="bg-BG"/>
        </w:rPr>
        <w:t xml:space="preserve"> </w:t>
      </w:r>
      <w:r w:rsidRPr="00BC513A">
        <w:rPr>
          <w:sz w:val="22"/>
          <w:szCs w:val="22"/>
          <w:lang w:val="bg-BG"/>
        </w:rPr>
        <w:t>г., значително нараства през 2013</w:t>
      </w:r>
      <w:r w:rsidR="00BD460C">
        <w:rPr>
          <w:sz w:val="22"/>
          <w:szCs w:val="22"/>
          <w:lang w:val="bg-BG"/>
        </w:rPr>
        <w:t xml:space="preserve"> </w:t>
      </w:r>
      <w:r w:rsidRPr="00BC513A">
        <w:rPr>
          <w:sz w:val="22"/>
          <w:szCs w:val="22"/>
          <w:lang w:val="bg-BG"/>
        </w:rPr>
        <w:t xml:space="preserve">г., а от 2014г. темпът вече се забавя, но </w:t>
      </w:r>
      <w:r w:rsidR="00BD460C">
        <w:rPr>
          <w:sz w:val="22"/>
          <w:szCs w:val="22"/>
          <w:lang w:val="bg-BG"/>
        </w:rPr>
        <w:t xml:space="preserve">е </w:t>
      </w:r>
      <w:r w:rsidRPr="00BC513A">
        <w:rPr>
          <w:sz w:val="22"/>
          <w:szCs w:val="22"/>
          <w:lang w:val="bg-BG"/>
        </w:rPr>
        <w:t>значително над нивата преди 2013</w:t>
      </w:r>
      <w:r w:rsidR="00BD460C">
        <w:rPr>
          <w:sz w:val="22"/>
          <w:szCs w:val="22"/>
          <w:lang w:val="bg-BG"/>
        </w:rPr>
        <w:t xml:space="preserve"> </w:t>
      </w:r>
      <w:r w:rsidRPr="00BC513A">
        <w:rPr>
          <w:sz w:val="22"/>
          <w:szCs w:val="22"/>
          <w:lang w:val="bg-BG"/>
        </w:rPr>
        <w:t xml:space="preserve">г. </w:t>
      </w:r>
    </w:p>
    <w:p w14:paraId="6C68D57C" w14:textId="4471ACB2"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 мярка 214 през 2012</w:t>
      </w:r>
      <w:r w:rsidR="00BD460C">
        <w:rPr>
          <w:sz w:val="22"/>
          <w:szCs w:val="22"/>
          <w:lang w:val="bg-BG"/>
        </w:rPr>
        <w:t xml:space="preserve"> </w:t>
      </w:r>
      <w:r w:rsidRPr="00BC513A">
        <w:rPr>
          <w:sz w:val="22"/>
          <w:szCs w:val="22"/>
          <w:lang w:val="bg-BG"/>
        </w:rPr>
        <w:t>г. са платени почти 29.99 млн. евро, през 2013</w:t>
      </w:r>
      <w:r w:rsidR="00BD460C">
        <w:rPr>
          <w:sz w:val="22"/>
          <w:szCs w:val="22"/>
          <w:lang w:val="bg-BG"/>
        </w:rPr>
        <w:t xml:space="preserve"> </w:t>
      </w:r>
      <w:r w:rsidRPr="00BC513A">
        <w:rPr>
          <w:sz w:val="22"/>
          <w:szCs w:val="22"/>
          <w:lang w:val="bg-BG"/>
        </w:rPr>
        <w:t>г. достигат до 139.90 млн. евро (което е увеличение над 4 пъти), през 2014</w:t>
      </w:r>
      <w:r w:rsidR="00BD460C">
        <w:rPr>
          <w:sz w:val="22"/>
          <w:szCs w:val="22"/>
          <w:lang w:val="bg-BG"/>
        </w:rPr>
        <w:t xml:space="preserve"> </w:t>
      </w:r>
      <w:r w:rsidRPr="00BC513A">
        <w:rPr>
          <w:sz w:val="22"/>
          <w:szCs w:val="22"/>
          <w:lang w:val="bg-BG"/>
        </w:rPr>
        <w:t>г. платените средства достигат своя пик от 144.30 млн. евро (ръст с 3% спрямо 2013</w:t>
      </w:r>
      <w:r w:rsidR="00BD460C">
        <w:rPr>
          <w:sz w:val="22"/>
          <w:szCs w:val="22"/>
          <w:lang w:val="bg-BG"/>
        </w:rPr>
        <w:t xml:space="preserve"> </w:t>
      </w:r>
      <w:r w:rsidRPr="00BC513A">
        <w:rPr>
          <w:sz w:val="22"/>
          <w:szCs w:val="22"/>
          <w:lang w:val="bg-BG"/>
        </w:rPr>
        <w:t>г.). През 2013</w:t>
      </w:r>
      <w:r w:rsidR="00BD460C">
        <w:rPr>
          <w:sz w:val="22"/>
          <w:szCs w:val="22"/>
          <w:lang w:val="bg-BG"/>
        </w:rPr>
        <w:t xml:space="preserve"> </w:t>
      </w:r>
      <w:r w:rsidRPr="00BC513A">
        <w:rPr>
          <w:sz w:val="22"/>
          <w:szCs w:val="22"/>
          <w:lang w:val="bg-BG"/>
        </w:rPr>
        <w:t>г. е достигнато увеличение с почти 5 пъти в размера на подпомаганата площ спрямо 2012</w:t>
      </w:r>
      <w:r w:rsidR="00BD460C">
        <w:rPr>
          <w:sz w:val="22"/>
          <w:szCs w:val="22"/>
          <w:lang w:val="bg-BG"/>
        </w:rPr>
        <w:t xml:space="preserve"> </w:t>
      </w:r>
      <w:r w:rsidRPr="00BC513A">
        <w:rPr>
          <w:sz w:val="22"/>
          <w:szCs w:val="22"/>
          <w:lang w:val="bg-BG"/>
        </w:rPr>
        <w:t>г. (113 хил. ха за 2012</w:t>
      </w:r>
      <w:r w:rsidR="00BD460C">
        <w:rPr>
          <w:sz w:val="22"/>
          <w:szCs w:val="22"/>
          <w:lang w:val="bg-BG"/>
        </w:rPr>
        <w:t xml:space="preserve"> </w:t>
      </w:r>
      <w:r w:rsidRPr="00BC513A">
        <w:rPr>
          <w:sz w:val="22"/>
          <w:szCs w:val="22"/>
          <w:lang w:val="bg-BG"/>
        </w:rPr>
        <w:t>г.), а подпомогнатите стопанства са 1</w:t>
      </w:r>
      <w:r w:rsidR="00BD460C">
        <w:rPr>
          <w:sz w:val="22"/>
          <w:szCs w:val="22"/>
          <w:lang w:val="bg-BG"/>
        </w:rPr>
        <w:t> </w:t>
      </w:r>
      <w:r w:rsidRPr="00BC513A">
        <w:rPr>
          <w:sz w:val="22"/>
          <w:szCs w:val="22"/>
          <w:lang w:val="bg-BG"/>
        </w:rPr>
        <w:t>208, което е 12 пъти повече от 2012</w:t>
      </w:r>
      <w:r w:rsidR="00BD460C">
        <w:rPr>
          <w:sz w:val="22"/>
          <w:szCs w:val="22"/>
          <w:lang w:val="bg-BG"/>
        </w:rPr>
        <w:t xml:space="preserve"> </w:t>
      </w:r>
      <w:r w:rsidRPr="00BC513A">
        <w:rPr>
          <w:sz w:val="22"/>
          <w:szCs w:val="22"/>
          <w:lang w:val="bg-BG"/>
        </w:rPr>
        <w:t xml:space="preserve">г., когато са били 100 броя. </w:t>
      </w:r>
    </w:p>
    <w:p w14:paraId="0CD2E2D9" w14:textId="3F4FCF1A"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Данните от 2013, 2014 и 2015</w:t>
      </w:r>
      <w:r w:rsidR="00BD460C">
        <w:rPr>
          <w:sz w:val="22"/>
          <w:szCs w:val="22"/>
          <w:lang w:val="bg-BG"/>
        </w:rPr>
        <w:t xml:space="preserve"> </w:t>
      </w:r>
      <w:r w:rsidRPr="00BC513A">
        <w:rPr>
          <w:sz w:val="22"/>
          <w:szCs w:val="22"/>
          <w:lang w:val="bg-BG"/>
        </w:rPr>
        <w:t>г. показват значителен напредък по прилагане на мярката, а индикаторът за подпомогната площ е преизпълнен и за 2015</w:t>
      </w:r>
      <w:r w:rsidR="00BD460C">
        <w:rPr>
          <w:sz w:val="22"/>
          <w:szCs w:val="22"/>
          <w:lang w:val="bg-BG"/>
        </w:rPr>
        <w:t xml:space="preserve"> </w:t>
      </w:r>
      <w:r w:rsidRPr="00BC513A">
        <w:rPr>
          <w:sz w:val="22"/>
          <w:szCs w:val="22"/>
          <w:lang w:val="bg-BG"/>
        </w:rPr>
        <w:t>г. подпомаганата площ представлява 88.5% от общата подпомагана площ по всички направления (подмерки) по мярка 214, която е 732</w:t>
      </w:r>
      <w:r w:rsidR="00BD460C">
        <w:rPr>
          <w:sz w:val="22"/>
          <w:szCs w:val="22"/>
          <w:lang w:val="bg-BG"/>
        </w:rPr>
        <w:t> </w:t>
      </w:r>
      <w:r w:rsidRPr="00BC513A">
        <w:rPr>
          <w:sz w:val="22"/>
          <w:szCs w:val="22"/>
          <w:lang w:val="bg-BG"/>
        </w:rPr>
        <w:t>748 ha.</w:t>
      </w:r>
    </w:p>
    <w:p w14:paraId="1155486C"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На първо място от оторизираните публични средства през 2015</w:t>
      </w:r>
      <w:r w:rsidR="00BD460C">
        <w:rPr>
          <w:sz w:val="22"/>
          <w:szCs w:val="22"/>
          <w:lang w:val="bg-BG"/>
        </w:rPr>
        <w:t xml:space="preserve"> </w:t>
      </w:r>
      <w:r w:rsidRPr="00BC513A">
        <w:rPr>
          <w:sz w:val="22"/>
          <w:szCs w:val="22"/>
          <w:lang w:val="bg-BG"/>
        </w:rPr>
        <w:t>г. е направление „</w:t>
      </w:r>
      <w:r w:rsidRPr="00BC513A">
        <w:rPr>
          <w:i/>
          <w:sz w:val="22"/>
          <w:szCs w:val="22"/>
          <w:lang w:val="bg-BG"/>
        </w:rPr>
        <w:t>Въвеждане на сеитбообращение</w:t>
      </w:r>
      <w:r w:rsidRPr="00BC513A">
        <w:rPr>
          <w:sz w:val="22"/>
          <w:szCs w:val="22"/>
          <w:lang w:val="bg-BG"/>
        </w:rPr>
        <w:t xml:space="preserve">“ – 403,7 млн. евро, представляващо 87,23% от средствата по мярка 214. </w:t>
      </w:r>
    </w:p>
    <w:p w14:paraId="0FC80372"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Качественият анализ на одобрените заявления за 2015</w:t>
      </w:r>
      <w:r w:rsidR="00BD460C">
        <w:rPr>
          <w:sz w:val="22"/>
          <w:szCs w:val="22"/>
          <w:lang w:val="bg-BG"/>
        </w:rPr>
        <w:t xml:space="preserve"> </w:t>
      </w:r>
      <w:r w:rsidRPr="00BC513A">
        <w:rPr>
          <w:sz w:val="22"/>
          <w:szCs w:val="22"/>
          <w:lang w:val="bg-BG"/>
        </w:rPr>
        <w:t>г. показва, че броят на одобрените кандидати за подпомагане по мярката и броят договори представлява само съответно 10% и 12% от поставената в ПРСР цел. Подобно е ситуацията и за предишните години, така че индикаторът за подпомогнати стопани не е изпълнен – финансирани са малко на брой кандидати с големи площи земи.</w:t>
      </w:r>
    </w:p>
    <w:p w14:paraId="0738E656" w14:textId="2310BC2C"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От гледна точка брой земеделски стопани, участващи по мярката, най-висок е процентът на земеделските стопани </w:t>
      </w:r>
      <w:r w:rsidR="00BD460C">
        <w:rPr>
          <w:sz w:val="22"/>
          <w:szCs w:val="22"/>
          <w:lang w:val="bg-BG"/>
        </w:rPr>
        <w:t>–</w:t>
      </w:r>
      <w:r w:rsidRPr="00BC513A">
        <w:rPr>
          <w:sz w:val="22"/>
          <w:szCs w:val="22"/>
          <w:lang w:val="bg-BG"/>
        </w:rPr>
        <w:t xml:space="preserve"> растениевъди, които прилагат биологични методи на производство (почти 40%), следвани от кандидати, изпълняващи дейности за опазване на почвите и водите (24 %). На следващо място са стопаните, които извършват дейности, насочени към опазване и поддържане на земите с висока природна стойност и фермерите, които отглеждат застрашени от изчезване местни породи. От гледна точка на площите с ангажименти по мярката, най-голям е размер</w:t>
      </w:r>
      <w:r w:rsidR="00BD460C">
        <w:rPr>
          <w:sz w:val="22"/>
          <w:szCs w:val="22"/>
          <w:lang w:val="bg-BG"/>
        </w:rPr>
        <w:t>ът</w:t>
      </w:r>
      <w:r w:rsidRPr="00BC513A">
        <w:rPr>
          <w:sz w:val="22"/>
          <w:szCs w:val="22"/>
          <w:lang w:val="bg-BG"/>
        </w:rPr>
        <w:t xml:space="preserve"> им по направлението „Въвеждане на сеитбообращение за опазване на почвите и водите“, следвано от направление "Възстановяване и поддържане на затревени площи с висока природна стойност" и „Биологично земеделие“.</w:t>
      </w:r>
    </w:p>
    <w:p w14:paraId="2CE93461"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Чрез индикаторите за резултат се наблюдава:</w:t>
      </w:r>
    </w:p>
    <w:p w14:paraId="098B3D7D" w14:textId="540F9FDA" w:rsidR="00E8617E" w:rsidRPr="00BC513A" w:rsidRDefault="00E8617E" w:rsidP="00E8617E">
      <w:pPr>
        <w:pStyle w:val="DefaultText"/>
        <w:numPr>
          <w:ilvl w:val="0"/>
          <w:numId w:val="44"/>
        </w:numPr>
        <w:spacing w:after="120" w:line="300" w:lineRule="atLeast"/>
        <w:rPr>
          <w:sz w:val="22"/>
          <w:szCs w:val="22"/>
          <w:lang w:val="bg-BG"/>
        </w:rPr>
      </w:pPr>
      <w:r w:rsidRPr="00BC513A">
        <w:rPr>
          <w:sz w:val="22"/>
          <w:szCs w:val="22"/>
          <w:lang w:val="bg-BG"/>
        </w:rPr>
        <w:t xml:space="preserve">Опазване на био-разнообразието </w:t>
      </w:r>
      <w:r w:rsidR="00BD460C">
        <w:rPr>
          <w:sz w:val="22"/>
          <w:szCs w:val="22"/>
          <w:lang w:val="bg-BG"/>
        </w:rPr>
        <w:t>–</w:t>
      </w:r>
      <w:r w:rsidRPr="00BC513A">
        <w:rPr>
          <w:sz w:val="22"/>
          <w:szCs w:val="22"/>
          <w:lang w:val="bg-BG"/>
        </w:rPr>
        <w:t xml:space="preserve"> целева стойност 99 000 ha</w:t>
      </w:r>
    </w:p>
    <w:p w14:paraId="3DC2AC7E" w14:textId="76744D0D" w:rsidR="00E8617E" w:rsidRPr="00BC513A" w:rsidRDefault="00E8617E" w:rsidP="00E8617E">
      <w:pPr>
        <w:pStyle w:val="DefaultText"/>
        <w:numPr>
          <w:ilvl w:val="0"/>
          <w:numId w:val="44"/>
        </w:numPr>
        <w:spacing w:after="120" w:line="300" w:lineRule="atLeast"/>
        <w:rPr>
          <w:sz w:val="22"/>
          <w:szCs w:val="22"/>
          <w:lang w:val="bg-BG"/>
        </w:rPr>
      </w:pPr>
      <w:r w:rsidRPr="00BC513A">
        <w:rPr>
          <w:sz w:val="22"/>
          <w:szCs w:val="22"/>
          <w:lang w:val="bg-BG"/>
        </w:rPr>
        <w:t xml:space="preserve">Подобряване на качеството на водите </w:t>
      </w:r>
      <w:r w:rsidR="00BD460C">
        <w:rPr>
          <w:sz w:val="22"/>
          <w:szCs w:val="22"/>
          <w:lang w:val="bg-BG"/>
        </w:rPr>
        <w:t>–</w:t>
      </w:r>
      <w:r w:rsidRPr="00BC513A">
        <w:rPr>
          <w:sz w:val="22"/>
          <w:szCs w:val="22"/>
          <w:lang w:val="bg-BG"/>
        </w:rPr>
        <w:t xml:space="preserve"> целева стойност 1 000 ha</w:t>
      </w:r>
    </w:p>
    <w:p w14:paraId="70602D92" w14:textId="2720893C" w:rsidR="00E8617E" w:rsidRPr="00BC513A" w:rsidRDefault="00E8617E" w:rsidP="00E8617E">
      <w:pPr>
        <w:pStyle w:val="DefaultText"/>
        <w:numPr>
          <w:ilvl w:val="0"/>
          <w:numId w:val="44"/>
        </w:numPr>
        <w:spacing w:after="120" w:line="300" w:lineRule="atLeast"/>
        <w:rPr>
          <w:sz w:val="22"/>
          <w:szCs w:val="22"/>
          <w:lang w:val="bg-BG"/>
        </w:rPr>
      </w:pPr>
      <w:r w:rsidRPr="00BC513A">
        <w:rPr>
          <w:sz w:val="22"/>
          <w:szCs w:val="22"/>
          <w:lang w:val="bg-BG"/>
        </w:rPr>
        <w:t xml:space="preserve">Подобряване на качеството на почвите </w:t>
      </w:r>
      <w:r w:rsidR="00BD460C">
        <w:rPr>
          <w:sz w:val="22"/>
          <w:szCs w:val="22"/>
          <w:lang w:val="bg-BG"/>
        </w:rPr>
        <w:t>–</w:t>
      </w:r>
      <w:r w:rsidRPr="00BC513A">
        <w:rPr>
          <w:sz w:val="22"/>
          <w:szCs w:val="22"/>
          <w:lang w:val="bg-BG"/>
        </w:rPr>
        <w:t xml:space="preserve"> целева стойност 700 000 ha, от които върху 63 000 ha ще се прилага метод</w:t>
      </w:r>
      <w:r w:rsidR="00BD460C">
        <w:rPr>
          <w:sz w:val="22"/>
          <w:szCs w:val="22"/>
          <w:lang w:val="bg-BG"/>
        </w:rPr>
        <w:t>ът</w:t>
      </w:r>
      <w:r w:rsidRPr="00BC513A">
        <w:rPr>
          <w:sz w:val="22"/>
          <w:szCs w:val="22"/>
          <w:lang w:val="bg-BG"/>
        </w:rPr>
        <w:t xml:space="preserve"> на биологичното земеделие, </w:t>
      </w:r>
    </w:p>
    <w:p w14:paraId="34C1250A" w14:textId="0D7182D8"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По-долу е описан приносът на мярката за подобряването на всеки един индикаторите съгласно обобщената мониторингова таблица, приложение към Годишн</w:t>
      </w:r>
      <w:r w:rsidR="00BD460C">
        <w:rPr>
          <w:sz w:val="22"/>
          <w:szCs w:val="22"/>
          <w:lang w:val="bg-BG"/>
        </w:rPr>
        <w:t>ия</w:t>
      </w:r>
      <w:r w:rsidRPr="00BC513A">
        <w:rPr>
          <w:sz w:val="22"/>
          <w:szCs w:val="22"/>
          <w:lang w:val="bg-BG"/>
        </w:rPr>
        <w:t xml:space="preserve"> доклад за изпълнението на Програмата за развитие на селските райони (2007-2013 г.) в Република България за периода </w:t>
      </w:r>
      <w:r w:rsidR="00BD460C">
        <w:rPr>
          <w:sz w:val="22"/>
          <w:szCs w:val="22"/>
          <w:lang w:val="bg-BG"/>
        </w:rPr>
        <w:t xml:space="preserve">от </w:t>
      </w:r>
      <w:r w:rsidRPr="00BC513A">
        <w:rPr>
          <w:sz w:val="22"/>
          <w:szCs w:val="22"/>
          <w:lang w:val="bg-BG"/>
        </w:rPr>
        <w:t xml:space="preserve">1 януари </w:t>
      </w:r>
      <w:r w:rsidR="00BD460C">
        <w:rPr>
          <w:sz w:val="22"/>
          <w:szCs w:val="22"/>
          <w:lang w:val="bg-BG"/>
        </w:rPr>
        <w:t>до</w:t>
      </w:r>
      <w:r w:rsidRPr="00BC513A">
        <w:rPr>
          <w:sz w:val="22"/>
          <w:szCs w:val="22"/>
          <w:lang w:val="bg-BG"/>
        </w:rPr>
        <w:t xml:space="preserve"> 31 декември 2015г.:</w:t>
      </w:r>
    </w:p>
    <w:p w14:paraId="70B6B2CB"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При индикатора за „</w:t>
      </w:r>
      <w:r w:rsidRPr="00BC513A">
        <w:rPr>
          <w:i/>
          <w:sz w:val="22"/>
          <w:szCs w:val="22"/>
          <w:lang w:val="bg-BG"/>
        </w:rPr>
        <w:t>Опазване на био-разнообразието</w:t>
      </w:r>
      <w:r w:rsidRPr="00BC513A">
        <w:rPr>
          <w:sz w:val="22"/>
          <w:szCs w:val="22"/>
          <w:lang w:val="bg-BG"/>
        </w:rPr>
        <w:t>“ са отчетени 13 014 ha, показващи изпълнение от 13%.</w:t>
      </w:r>
    </w:p>
    <w:p w14:paraId="2BF5FE7F"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Съхраняването на био-разнообразието се постига чрез насърчаване на опазването на обработваеми земи с висока природна стойност (полу-естествени местообитания), които са застрашени в случай на промяна на начина на земеползване, интензификация на производството и/или изоставянето им, включително и чрез подкрепа за традиционните животновъдни практики в определени територии. Почти всички подмерки допринасят за опазване на био-разнообразието: Биологично растениевъдство, ВПС Поддържане на местообитанията, Поддържане на характеристики на ландшафта, Контрол на почвената ерозия. Като се вземе предвид, че и Въвеждането на сеитбообращение също подпомага за опазване на био-разнообразието, то може да се приеме, че са изпълнени целевите стойности за опазване на био-разнообразието. </w:t>
      </w:r>
    </w:p>
    <w:p w14:paraId="17312595"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При индикатора  „</w:t>
      </w:r>
      <w:r w:rsidRPr="00BC513A">
        <w:rPr>
          <w:i/>
          <w:sz w:val="22"/>
          <w:szCs w:val="22"/>
          <w:lang w:val="bg-BG"/>
        </w:rPr>
        <w:t>Подобряване на качеството на водите</w:t>
      </w:r>
      <w:r w:rsidRPr="00BC513A">
        <w:rPr>
          <w:sz w:val="22"/>
          <w:szCs w:val="22"/>
          <w:lang w:val="bg-BG"/>
        </w:rPr>
        <w:t xml:space="preserve">“  са отчетени 705 ha, което прави изпълнение от 7%. </w:t>
      </w:r>
    </w:p>
    <w:p w14:paraId="537B77A1"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При опазване на био-разнообразието се подобрява и качеството на водите, така че всички подмерки, които допринасят за опазване на био-разнообразието се очаква да допринасят и за Подобряване на качеството на водите. Може да се приеме, че са изпълнени и целевите стойности за Подобряване на качеството на водите.  </w:t>
      </w:r>
    </w:p>
    <w:p w14:paraId="42A945A9"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Индикаторът за резултат „</w:t>
      </w:r>
      <w:r w:rsidRPr="00BC513A">
        <w:rPr>
          <w:i/>
          <w:sz w:val="22"/>
          <w:szCs w:val="22"/>
          <w:lang w:val="bg-BG"/>
        </w:rPr>
        <w:t>Подобряване на качеството</w:t>
      </w:r>
      <w:r w:rsidRPr="00BC513A">
        <w:rPr>
          <w:sz w:val="22"/>
          <w:szCs w:val="22"/>
          <w:lang w:val="bg-BG"/>
        </w:rPr>
        <w:t xml:space="preserve"> </w:t>
      </w:r>
      <w:r w:rsidRPr="00BC513A">
        <w:rPr>
          <w:i/>
          <w:sz w:val="22"/>
          <w:szCs w:val="22"/>
          <w:lang w:val="bg-BG"/>
        </w:rPr>
        <w:t>на почвите</w:t>
      </w:r>
      <w:r w:rsidRPr="00BC513A">
        <w:rPr>
          <w:sz w:val="22"/>
          <w:szCs w:val="22"/>
          <w:lang w:val="bg-BG"/>
        </w:rPr>
        <w:t xml:space="preserve">“ получава най-висока оценка, където целева стойност е 700 000 ha, а постигнатата стойност на изпълнение е от 732 748 ha, така че индикаторът за подпомогната площ е преизпълнен с 5%, като основната причина се дължи на увеличаване използваните земеделски площи на стопанствата. </w:t>
      </w:r>
    </w:p>
    <w:p w14:paraId="72E24CFE" w14:textId="0F28B952" w:rsidR="00E8617E" w:rsidRDefault="00E8617E" w:rsidP="00E8617E">
      <w:pPr>
        <w:pStyle w:val="DefaultText"/>
        <w:spacing w:after="120" w:line="300" w:lineRule="atLeast"/>
        <w:ind w:firstLine="708"/>
        <w:rPr>
          <w:sz w:val="22"/>
          <w:szCs w:val="22"/>
          <w:lang w:val="bg-BG"/>
        </w:rPr>
      </w:pPr>
      <w:r w:rsidRPr="00BC513A">
        <w:rPr>
          <w:i/>
          <w:sz w:val="22"/>
          <w:szCs w:val="22"/>
          <w:lang w:val="bg-BG"/>
        </w:rPr>
        <w:t>Биологичното земеделие</w:t>
      </w:r>
      <w:r w:rsidRPr="00BC513A">
        <w:rPr>
          <w:sz w:val="22"/>
          <w:szCs w:val="22"/>
          <w:lang w:val="bg-BG"/>
        </w:rPr>
        <w:t xml:space="preserve"> в рамките на мярката се подпомага в две направления – биологично растениевъдство и биологично пчеларство. За него целта е 63 000 ha, а отчетените площите за биологично растениевъдство са в размер на 29 849 ha (брой договори 1 926), така че този индикатор е изпълнен 47%. За биологично пчеларство – има изпълнени 307 договора с 50 909 бро</w:t>
      </w:r>
      <w:r w:rsidR="00814BC4">
        <w:rPr>
          <w:sz w:val="22"/>
          <w:szCs w:val="22"/>
          <w:lang w:val="bg-BG"/>
        </w:rPr>
        <w:t>я кошери</w:t>
      </w:r>
      <w:r w:rsidRPr="00BC513A">
        <w:rPr>
          <w:sz w:val="22"/>
          <w:szCs w:val="22"/>
          <w:lang w:val="bg-BG"/>
        </w:rPr>
        <w:t>. При биологично земеделие се наблюдава висок годишен ръст на усвояването както при земеделските стопани</w:t>
      </w:r>
      <w:r w:rsidR="00814BC4">
        <w:rPr>
          <w:sz w:val="22"/>
          <w:szCs w:val="22"/>
          <w:lang w:val="bg-BG"/>
        </w:rPr>
        <w:t>,</w:t>
      </w:r>
      <w:r w:rsidRPr="00BC513A">
        <w:rPr>
          <w:sz w:val="22"/>
          <w:szCs w:val="22"/>
          <w:lang w:val="bg-BG"/>
        </w:rPr>
        <w:t xml:space="preserve"> така и при обхванатите площи, което показва, че интересът към него се засилва. Броят на заявленията се увеличава от около 200 през 2008 г. до 2</w:t>
      </w:r>
      <w:r w:rsidR="00814BC4">
        <w:rPr>
          <w:sz w:val="22"/>
          <w:szCs w:val="22"/>
          <w:lang w:val="bg-BG"/>
        </w:rPr>
        <w:t> </w:t>
      </w:r>
      <w:r w:rsidRPr="00BC513A">
        <w:rPr>
          <w:sz w:val="22"/>
          <w:szCs w:val="22"/>
          <w:lang w:val="bg-BG"/>
        </w:rPr>
        <w:t xml:space="preserve">428 през 2013 </w:t>
      </w:r>
      <w:r w:rsidR="00814BC4">
        <w:rPr>
          <w:sz w:val="22"/>
          <w:szCs w:val="22"/>
          <w:lang w:val="bg-BG"/>
        </w:rPr>
        <w:t xml:space="preserve">г. </w:t>
      </w:r>
      <w:r w:rsidRPr="00BC513A">
        <w:rPr>
          <w:sz w:val="22"/>
          <w:szCs w:val="22"/>
          <w:lang w:val="bg-BG"/>
        </w:rPr>
        <w:t>и слабо намалява до 2015 г., когато са 1 926. Повишението при декларираните площи е от 6</w:t>
      </w:r>
      <w:r w:rsidR="00814BC4">
        <w:rPr>
          <w:sz w:val="22"/>
          <w:szCs w:val="22"/>
          <w:lang w:val="bg-BG"/>
        </w:rPr>
        <w:t> </w:t>
      </w:r>
      <w:r w:rsidRPr="00BC513A">
        <w:rPr>
          <w:sz w:val="22"/>
          <w:szCs w:val="22"/>
          <w:lang w:val="bg-BG"/>
        </w:rPr>
        <w:t>400 ха (през 2008</w:t>
      </w:r>
      <w:r w:rsidR="00814BC4">
        <w:rPr>
          <w:sz w:val="22"/>
          <w:szCs w:val="22"/>
          <w:lang w:val="bg-BG"/>
        </w:rPr>
        <w:t xml:space="preserve"> г.</w:t>
      </w:r>
      <w:r w:rsidRPr="00BC513A">
        <w:rPr>
          <w:sz w:val="22"/>
          <w:szCs w:val="22"/>
          <w:lang w:val="bg-BG"/>
        </w:rPr>
        <w:t>) до 39 500 ха (2013</w:t>
      </w:r>
      <w:r w:rsidR="00814BC4">
        <w:rPr>
          <w:sz w:val="22"/>
          <w:szCs w:val="22"/>
          <w:lang w:val="bg-BG"/>
        </w:rPr>
        <w:t xml:space="preserve"> </w:t>
      </w:r>
      <w:r w:rsidRPr="00BC513A">
        <w:rPr>
          <w:sz w:val="22"/>
          <w:szCs w:val="22"/>
          <w:lang w:val="bg-BG"/>
        </w:rPr>
        <w:t>г.) и 29 849 през 2015 година.</w:t>
      </w:r>
    </w:p>
    <w:p w14:paraId="6EB09BFD" w14:textId="285A2A06" w:rsidR="00626DD4" w:rsidRDefault="008F34DE" w:rsidP="00626DD4">
      <w:pPr>
        <w:pStyle w:val="DefaultText"/>
        <w:spacing w:after="120" w:line="300" w:lineRule="atLeast"/>
        <w:ind w:firstLine="708"/>
        <w:rPr>
          <w:sz w:val="22"/>
          <w:szCs w:val="22"/>
          <w:lang w:val="bg-BG"/>
        </w:rPr>
      </w:pPr>
      <w:r w:rsidRPr="00205C7B">
        <w:rPr>
          <w:sz w:val="22"/>
          <w:szCs w:val="22"/>
          <w:lang w:val="bg-BG"/>
        </w:rPr>
        <w:t>Получената оценка на бенефициентите по време на теренните проучвания за ползите от мярката по отношение на екологичните цели е много положителна, като те считат, че подкрепата е допринесла предимно към</w:t>
      </w:r>
      <w:r w:rsidR="00626DD4" w:rsidRPr="00205C7B">
        <w:rPr>
          <w:sz w:val="22"/>
          <w:szCs w:val="22"/>
          <w:lang w:val="bg-BG"/>
        </w:rPr>
        <w:t xml:space="preserve"> прилагане на природосъобразни земеделски практики, поддържане на местообитанията и биоразнообразието, както и за подобряване на околната среда, поддържане на ландшафта и на ВПС на обработваемата земя и горското странство. Бенефициентите </w:t>
      </w:r>
      <w:r w:rsidRPr="00205C7B">
        <w:rPr>
          <w:sz w:val="22"/>
          <w:szCs w:val="22"/>
          <w:lang w:val="bg-BG"/>
        </w:rPr>
        <w:t>считат, че има малки</w:t>
      </w:r>
      <w:r w:rsidR="00626DD4" w:rsidRPr="00205C7B">
        <w:rPr>
          <w:sz w:val="22"/>
          <w:szCs w:val="22"/>
          <w:lang w:val="bg-BG"/>
        </w:rPr>
        <w:t xml:space="preserve"> ефекти върху качеството на водите, почвите и климатичните промени. </w:t>
      </w:r>
    </w:p>
    <w:p w14:paraId="7FA24722" w14:textId="77777777" w:rsidR="00626DD4" w:rsidRPr="00205C7B" w:rsidRDefault="00626DD4" w:rsidP="00626DD4">
      <w:pPr>
        <w:keepNext/>
        <w:spacing w:before="240" w:after="0" w:line="280" w:lineRule="atLeast"/>
        <w:jc w:val="both"/>
        <w:rPr>
          <w:rFonts w:ascii="Arial" w:hAnsi="Arial" w:cs="Arial"/>
          <w:b/>
          <w:iCs/>
          <w:color w:val="0070C0"/>
          <w:sz w:val="20"/>
          <w:szCs w:val="20"/>
        </w:rPr>
      </w:pPr>
      <w:bookmarkStart w:id="148" w:name="_Toc504136228"/>
      <w:r w:rsidRPr="00205C7B">
        <w:rPr>
          <w:rFonts w:ascii="Arial" w:hAnsi="Arial" w:cs="Arial"/>
          <w:b/>
          <w:color w:val="0070C0"/>
          <w:sz w:val="20"/>
          <w:szCs w:val="20"/>
        </w:rPr>
        <w:t xml:space="preserve">Таблица </w:t>
      </w:r>
      <w:r w:rsidRPr="00205C7B">
        <w:rPr>
          <w:rFonts w:ascii="Arial" w:hAnsi="Arial" w:cs="Arial"/>
          <w:b/>
          <w:color w:val="0070C0"/>
          <w:sz w:val="20"/>
          <w:szCs w:val="20"/>
        </w:rPr>
        <w:fldChar w:fldCharType="begin"/>
      </w:r>
      <w:r w:rsidRPr="00205C7B">
        <w:rPr>
          <w:rFonts w:ascii="Arial" w:hAnsi="Arial" w:cs="Arial"/>
          <w:b/>
          <w:color w:val="0070C0"/>
          <w:sz w:val="20"/>
          <w:szCs w:val="20"/>
        </w:rPr>
        <w:instrText xml:space="preserve"> SEQ Таблица \* ARABIC </w:instrText>
      </w:r>
      <w:r w:rsidRPr="00205C7B">
        <w:rPr>
          <w:rFonts w:ascii="Arial" w:hAnsi="Arial" w:cs="Arial"/>
          <w:b/>
          <w:color w:val="0070C0"/>
          <w:sz w:val="20"/>
          <w:szCs w:val="20"/>
        </w:rPr>
        <w:fldChar w:fldCharType="separate"/>
      </w:r>
      <w:r w:rsidR="0023010D">
        <w:rPr>
          <w:rFonts w:ascii="Arial" w:hAnsi="Arial" w:cs="Arial"/>
          <w:b/>
          <w:noProof/>
          <w:color w:val="0070C0"/>
          <w:sz w:val="20"/>
          <w:szCs w:val="20"/>
        </w:rPr>
        <w:t>56</w:t>
      </w:r>
      <w:r w:rsidRPr="00205C7B">
        <w:rPr>
          <w:rFonts w:ascii="Arial" w:hAnsi="Arial" w:cs="Arial"/>
          <w:b/>
          <w:color w:val="0070C0"/>
          <w:sz w:val="20"/>
          <w:szCs w:val="20"/>
        </w:rPr>
        <w:fldChar w:fldCharType="end"/>
      </w:r>
      <w:r w:rsidR="00047E2D">
        <w:rPr>
          <w:rFonts w:ascii="Arial" w:hAnsi="Arial" w:cs="Arial"/>
          <w:b/>
          <w:color w:val="0070C0"/>
          <w:sz w:val="20"/>
          <w:szCs w:val="20"/>
        </w:rPr>
        <w:t>.</w:t>
      </w:r>
      <w:r w:rsidRPr="00205C7B">
        <w:rPr>
          <w:rFonts w:ascii="Arial" w:hAnsi="Arial" w:cs="Arial"/>
          <w:b/>
          <w:color w:val="0070C0"/>
          <w:sz w:val="20"/>
          <w:szCs w:val="20"/>
        </w:rPr>
        <w:t xml:space="preserve"> </w:t>
      </w:r>
      <w:r w:rsidRPr="00205C7B">
        <w:rPr>
          <w:rFonts w:ascii="Arial" w:hAnsi="Arial" w:cs="Arial"/>
          <w:b/>
          <w:iCs/>
          <w:color w:val="0070C0"/>
          <w:sz w:val="20"/>
          <w:szCs w:val="20"/>
        </w:rPr>
        <w:t>Виждания на бенефициентите по мярка 214 за принос на мярката към нейните цели</w:t>
      </w:r>
      <w:bookmarkEnd w:id="148"/>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2"/>
        <w:gridCol w:w="3119"/>
      </w:tblGrid>
      <w:tr w:rsidR="00626DD4" w:rsidRPr="00205C7B" w14:paraId="405AAC1B" w14:textId="77777777" w:rsidTr="00213E30">
        <w:trPr>
          <w:trHeight w:val="419"/>
        </w:trPr>
        <w:tc>
          <w:tcPr>
            <w:tcW w:w="6232" w:type="dxa"/>
            <w:shd w:val="clear" w:color="auto" w:fill="1F4E79" w:themeFill="accent1" w:themeFillShade="80"/>
            <w:vAlign w:val="center"/>
          </w:tcPr>
          <w:p w14:paraId="0F8FD95E" w14:textId="77777777" w:rsidR="00626DD4" w:rsidRPr="00205C7B" w:rsidRDefault="00626DD4" w:rsidP="00D61809">
            <w:pPr>
              <w:spacing w:after="0" w:line="240" w:lineRule="auto"/>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Принос на мярка 21</w:t>
            </w:r>
            <w:r w:rsidR="00D61809" w:rsidRPr="00205C7B">
              <w:rPr>
                <w:rFonts w:ascii="Arial" w:eastAsia="Times New Roman" w:hAnsi="Arial" w:cs="Arial"/>
                <w:b/>
                <w:color w:val="FFFFFF" w:themeColor="background1"/>
                <w:sz w:val="20"/>
                <w:szCs w:val="20"/>
                <w:lang w:val="en-US" w:eastAsia="bg-BG"/>
              </w:rPr>
              <w:t>4</w:t>
            </w:r>
            <w:r w:rsidRPr="00205C7B">
              <w:rPr>
                <w:rFonts w:ascii="Arial" w:eastAsia="Times New Roman" w:hAnsi="Arial" w:cs="Arial"/>
                <w:b/>
                <w:color w:val="FFFFFF" w:themeColor="background1"/>
                <w:sz w:val="20"/>
                <w:szCs w:val="20"/>
                <w:lang w:eastAsia="bg-BG"/>
              </w:rPr>
              <w:t xml:space="preserve"> към</w:t>
            </w:r>
            <w:r w:rsidR="00213E30">
              <w:rPr>
                <w:rFonts w:ascii="Arial" w:eastAsia="Times New Roman" w:hAnsi="Arial" w:cs="Arial"/>
                <w:b/>
                <w:color w:val="FFFFFF" w:themeColor="background1"/>
                <w:sz w:val="20"/>
                <w:szCs w:val="20"/>
                <w:lang w:eastAsia="bg-BG"/>
              </w:rPr>
              <w:t>:</w:t>
            </w:r>
          </w:p>
        </w:tc>
        <w:tc>
          <w:tcPr>
            <w:tcW w:w="3119" w:type="dxa"/>
            <w:shd w:val="clear" w:color="auto" w:fill="1F4E79" w:themeFill="accent1" w:themeFillShade="80"/>
            <w:noWrap/>
            <w:vAlign w:val="center"/>
          </w:tcPr>
          <w:p w14:paraId="1C92A1EC" w14:textId="77777777" w:rsidR="00626DD4" w:rsidRPr="00205C7B" w:rsidRDefault="00626DD4" w:rsidP="00852D69">
            <w:pPr>
              <w:spacing w:after="0" w:line="240" w:lineRule="auto"/>
              <w:jc w:val="right"/>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Изключително много и много</w:t>
            </w:r>
          </w:p>
        </w:tc>
      </w:tr>
      <w:tr w:rsidR="00626DD4" w:rsidRPr="00205C7B" w14:paraId="397F338F" w14:textId="77777777" w:rsidTr="00852D69">
        <w:trPr>
          <w:trHeight w:val="308"/>
        </w:trPr>
        <w:tc>
          <w:tcPr>
            <w:tcW w:w="6232" w:type="dxa"/>
            <w:shd w:val="clear" w:color="auto" w:fill="auto"/>
            <w:vAlign w:val="center"/>
          </w:tcPr>
          <w:p w14:paraId="71896BAF" w14:textId="77777777" w:rsidR="00626DD4" w:rsidRPr="00205C7B" w:rsidRDefault="00626DD4" w:rsidP="00626DD4">
            <w:pPr>
              <w:spacing w:after="0" w:line="240" w:lineRule="auto"/>
              <w:rPr>
                <w:rFonts w:ascii="Arial" w:hAnsi="Arial" w:cs="Arial"/>
                <w:color w:val="000000"/>
                <w:sz w:val="20"/>
                <w:szCs w:val="20"/>
              </w:rPr>
            </w:pPr>
            <w:r w:rsidRPr="00205C7B">
              <w:rPr>
                <w:rFonts w:ascii="Arial" w:hAnsi="Arial" w:cs="Arial"/>
                <w:color w:val="000000"/>
                <w:sz w:val="20"/>
                <w:szCs w:val="20"/>
              </w:rPr>
              <w:t>Природосъобразни земеделски практики</w:t>
            </w:r>
          </w:p>
        </w:tc>
        <w:tc>
          <w:tcPr>
            <w:tcW w:w="3119" w:type="dxa"/>
            <w:shd w:val="clear" w:color="auto" w:fill="auto"/>
            <w:noWrap/>
            <w:vAlign w:val="bottom"/>
          </w:tcPr>
          <w:p w14:paraId="3FF51DA6" w14:textId="77777777" w:rsidR="00626DD4" w:rsidRPr="00205C7B" w:rsidRDefault="00626DD4" w:rsidP="00626DD4">
            <w:pPr>
              <w:spacing w:after="0" w:line="240" w:lineRule="auto"/>
              <w:jc w:val="right"/>
              <w:rPr>
                <w:rFonts w:ascii="Arial" w:hAnsi="Arial" w:cs="Arial"/>
                <w:color w:val="000000"/>
                <w:sz w:val="20"/>
                <w:szCs w:val="20"/>
              </w:rPr>
            </w:pPr>
            <w:r w:rsidRPr="00205C7B">
              <w:rPr>
                <w:rFonts w:ascii="Arial" w:hAnsi="Arial" w:cs="Arial"/>
                <w:color w:val="000000"/>
                <w:sz w:val="20"/>
                <w:szCs w:val="20"/>
              </w:rPr>
              <w:t>88%</w:t>
            </w:r>
          </w:p>
        </w:tc>
      </w:tr>
      <w:tr w:rsidR="00626DD4" w:rsidRPr="00205C7B" w14:paraId="479C4926" w14:textId="77777777" w:rsidTr="00852D69">
        <w:trPr>
          <w:trHeight w:val="269"/>
        </w:trPr>
        <w:tc>
          <w:tcPr>
            <w:tcW w:w="6232" w:type="dxa"/>
            <w:shd w:val="clear" w:color="auto" w:fill="auto"/>
            <w:vAlign w:val="center"/>
          </w:tcPr>
          <w:p w14:paraId="5FE9CF03" w14:textId="77777777" w:rsidR="00626DD4" w:rsidRPr="00205C7B" w:rsidRDefault="00626DD4" w:rsidP="00626DD4">
            <w:pPr>
              <w:spacing w:after="0" w:line="240" w:lineRule="auto"/>
              <w:rPr>
                <w:rFonts w:ascii="Arial" w:hAnsi="Arial" w:cs="Arial"/>
                <w:color w:val="000000"/>
                <w:sz w:val="20"/>
                <w:szCs w:val="20"/>
              </w:rPr>
            </w:pPr>
            <w:r w:rsidRPr="00205C7B">
              <w:rPr>
                <w:rFonts w:ascii="Arial" w:hAnsi="Arial" w:cs="Arial"/>
                <w:color w:val="000000"/>
                <w:sz w:val="20"/>
                <w:szCs w:val="20"/>
              </w:rPr>
              <w:t>Поддържане на местообитания и биоразнообразие</w:t>
            </w:r>
          </w:p>
        </w:tc>
        <w:tc>
          <w:tcPr>
            <w:tcW w:w="3119" w:type="dxa"/>
            <w:shd w:val="clear" w:color="auto" w:fill="auto"/>
            <w:noWrap/>
            <w:vAlign w:val="bottom"/>
          </w:tcPr>
          <w:p w14:paraId="27B78CAB" w14:textId="77777777" w:rsidR="00626DD4" w:rsidRPr="00205C7B" w:rsidRDefault="00626DD4" w:rsidP="00626DD4">
            <w:pPr>
              <w:spacing w:after="0" w:line="240" w:lineRule="auto"/>
              <w:jc w:val="right"/>
              <w:rPr>
                <w:rFonts w:ascii="Arial" w:hAnsi="Arial" w:cs="Arial"/>
                <w:color w:val="000000"/>
                <w:sz w:val="20"/>
                <w:szCs w:val="20"/>
              </w:rPr>
            </w:pPr>
            <w:r w:rsidRPr="00205C7B">
              <w:rPr>
                <w:rFonts w:ascii="Arial" w:hAnsi="Arial" w:cs="Arial"/>
                <w:color w:val="000000"/>
                <w:sz w:val="20"/>
                <w:szCs w:val="20"/>
              </w:rPr>
              <w:t>88%</w:t>
            </w:r>
          </w:p>
        </w:tc>
      </w:tr>
      <w:tr w:rsidR="00626DD4" w:rsidRPr="00205C7B" w14:paraId="0D2B86BC" w14:textId="77777777" w:rsidTr="00852D69">
        <w:trPr>
          <w:trHeight w:val="300"/>
        </w:trPr>
        <w:tc>
          <w:tcPr>
            <w:tcW w:w="6232" w:type="dxa"/>
            <w:shd w:val="clear" w:color="auto" w:fill="auto"/>
            <w:vAlign w:val="center"/>
          </w:tcPr>
          <w:p w14:paraId="51AF0627" w14:textId="77777777" w:rsidR="00626DD4" w:rsidRPr="00205C7B" w:rsidRDefault="00626DD4" w:rsidP="00626DD4">
            <w:pPr>
              <w:spacing w:after="0" w:line="240" w:lineRule="auto"/>
              <w:rPr>
                <w:rFonts w:ascii="Arial" w:hAnsi="Arial" w:cs="Arial"/>
                <w:color w:val="000000"/>
                <w:sz w:val="20"/>
                <w:szCs w:val="20"/>
              </w:rPr>
            </w:pPr>
            <w:r w:rsidRPr="00205C7B">
              <w:rPr>
                <w:rFonts w:ascii="Arial" w:hAnsi="Arial" w:cs="Arial"/>
                <w:color w:val="000000"/>
                <w:sz w:val="20"/>
                <w:szCs w:val="20"/>
              </w:rPr>
              <w:t>Поддържане на ландшафта</w:t>
            </w:r>
          </w:p>
        </w:tc>
        <w:tc>
          <w:tcPr>
            <w:tcW w:w="3119" w:type="dxa"/>
            <w:shd w:val="clear" w:color="auto" w:fill="auto"/>
            <w:noWrap/>
            <w:vAlign w:val="bottom"/>
          </w:tcPr>
          <w:p w14:paraId="428BEDB8" w14:textId="77777777" w:rsidR="00626DD4" w:rsidRPr="00205C7B" w:rsidRDefault="00626DD4" w:rsidP="00626DD4">
            <w:pPr>
              <w:spacing w:after="0" w:line="240" w:lineRule="auto"/>
              <w:jc w:val="right"/>
              <w:rPr>
                <w:rFonts w:ascii="Arial" w:hAnsi="Arial" w:cs="Arial"/>
                <w:color w:val="000000"/>
                <w:sz w:val="20"/>
                <w:szCs w:val="20"/>
              </w:rPr>
            </w:pPr>
            <w:r w:rsidRPr="00205C7B">
              <w:rPr>
                <w:rFonts w:ascii="Arial" w:hAnsi="Arial" w:cs="Arial"/>
                <w:color w:val="000000"/>
                <w:sz w:val="20"/>
                <w:szCs w:val="20"/>
              </w:rPr>
              <w:t>63%</w:t>
            </w:r>
          </w:p>
        </w:tc>
      </w:tr>
      <w:tr w:rsidR="00626DD4" w:rsidRPr="00205C7B" w14:paraId="29E0F2DC" w14:textId="77777777" w:rsidTr="00852D69">
        <w:trPr>
          <w:trHeight w:val="300"/>
        </w:trPr>
        <w:tc>
          <w:tcPr>
            <w:tcW w:w="6232" w:type="dxa"/>
            <w:shd w:val="clear" w:color="auto" w:fill="auto"/>
            <w:vAlign w:val="center"/>
          </w:tcPr>
          <w:p w14:paraId="59DC9A6F" w14:textId="77777777" w:rsidR="00626DD4" w:rsidRPr="00205C7B" w:rsidRDefault="00626DD4" w:rsidP="00626DD4">
            <w:pPr>
              <w:spacing w:after="0" w:line="240" w:lineRule="auto"/>
              <w:rPr>
                <w:rFonts w:ascii="Arial" w:hAnsi="Arial" w:cs="Arial"/>
                <w:color w:val="000000"/>
                <w:sz w:val="20"/>
                <w:szCs w:val="20"/>
              </w:rPr>
            </w:pPr>
            <w:r w:rsidRPr="00205C7B">
              <w:rPr>
                <w:rFonts w:ascii="Arial" w:hAnsi="Arial" w:cs="Arial"/>
                <w:color w:val="000000"/>
                <w:sz w:val="20"/>
                <w:szCs w:val="20"/>
              </w:rPr>
              <w:t>Качество на водите</w:t>
            </w:r>
          </w:p>
        </w:tc>
        <w:tc>
          <w:tcPr>
            <w:tcW w:w="3119" w:type="dxa"/>
            <w:shd w:val="clear" w:color="auto" w:fill="auto"/>
            <w:noWrap/>
            <w:vAlign w:val="bottom"/>
          </w:tcPr>
          <w:p w14:paraId="7F1D80BE" w14:textId="77777777" w:rsidR="00626DD4" w:rsidRPr="00205C7B" w:rsidRDefault="00626DD4" w:rsidP="00626DD4">
            <w:pPr>
              <w:spacing w:after="0" w:line="240" w:lineRule="auto"/>
              <w:jc w:val="right"/>
              <w:rPr>
                <w:rFonts w:ascii="Arial" w:hAnsi="Arial" w:cs="Arial"/>
                <w:color w:val="000000"/>
                <w:sz w:val="20"/>
                <w:szCs w:val="20"/>
              </w:rPr>
            </w:pPr>
            <w:r w:rsidRPr="00205C7B">
              <w:rPr>
                <w:rFonts w:ascii="Arial" w:hAnsi="Arial" w:cs="Arial"/>
                <w:color w:val="000000"/>
                <w:sz w:val="20"/>
                <w:szCs w:val="20"/>
              </w:rPr>
              <w:t>13%</w:t>
            </w:r>
          </w:p>
        </w:tc>
      </w:tr>
      <w:tr w:rsidR="00626DD4" w:rsidRPr="00205C7B" w14:paraId="514B9C47" w14:textId="77777777" w:rsidTr="00852D69">
        <w:trPr>
          <w:trHeight w:val="360"/>
        </w:trPr>
        <w:tc>
          <w:tcPr>
            <w:tcW w:w="6232" w:type="dxa"/>
            <w:shd w:val="clear" w:color="auto" w:fill="auto"/>
            <w:vAlign w:val="center"/>
          </w:tcPr>
          <w:p w14:paraId="35D1A2E3" w14:textId="77777777" w:rsidR="00626DD4" w:rsidRPr="00205C7B" w:rsidRDefault="00626DD4" w:rsidP="00626DD4">
            <w:pPr>
              <w:spacing w:after="0" w:line="240" w:lineRule="auto"/>
              <w:rPr>
                <w:rFonts w:ascii="Arial" w:hAnsi="Arial" w:cs="Arial"/>
                <w:color w:val="000000"/>
                <w:sz w:val="20"/>
                <w:szCs w:val="20"/>
              </w:rPr>
            </w:pPr>
            <w:r w:rsidRPr="00205C7B">
              <w:rPr>
                <w:rFonts w:ascii="Arial" w:hAnsi="Arial" w:cs="Arial"/>
                <w:color w:val="000000"/>
                <w:sz w:val="20"/>
                <w:szCs w:val="20"/>
              </w:rPr>
              <w:t>Качество на почвите</w:t>
            </w:r>
          </w:p>
        </w:tc>
        <w:tc>
          <w:tcPr>
            <w:tcW w:w="3119" w:type="dxa"/>
            <w:shd w:val="clear" w:color="auto" w:fill="auto"/>
            <w:noWrap/>
            <w:vAlign w:val="bottom"/>
          </w:tcPr>
          <w:p w14:paraId="4662A473" w14:textId="77777777" w:rsidR="00626DD4" w:rsidRPr="00205C7B" w:rsidRDefault="00626DD4" w:rsidP="00626DD4">
            <w:pPr>
              <w:spacing w:after="0" w:line="240" w:lineRule="auto"/>
              <w:jc w:val="right"/>
              <w:rPr>
                <w:rFonts w:ascii="Arial" w:hAnsi="Arial" w:cs="Arial"/>
                <w:color w:val="000000"/>
                <w:sz w:val="20"/>
                <w:szCs w:val="20"/>
              </w:rPr>
            </w:pPr>
            <w:r w:rsidRPr="00205C7B">
              <w:rPr>
                <w:rFonts w:ascii="Arial" w:hAnsi="Arial" w:cs="Arial"/>
                <w:color w:val="000000"/>
                <w:sz w:val="20"/>
                <w:szCs w:val="20"/>
              </w:rPr>
              <w:t>25%</w:t>
            </w:r>
          </w:p>
        </w:tc>
      </w:tr>
      <w:tr w:rsidR="00626DD4" w:rsidRPr="00205C7B" w14:paraId="73553797" w14:textId="77777777" w:rsidTr="00852D69">
        <w:trPr>
          <w:trHeight w:val="300"/>
        </w:trPr>
        <w:tc>
          <w:tcPr>
            <w:tcW w:w="6232" w:type="dxa"/>
            <w:shd w:val="clear" w:color="auto" w:fill="auto"/>
            <w:vAlign w:val="center"/>
          </w:tcPr>
          <w:p w14:paraId="5CB73B17" w14:textId="77777777" w:rsidR="00626DD4" w:rsidRPr="00205C7B" w:rsidRDefault="00626DD4" w:rsidP="00626DD4">
            <w:pPr>
              <w:spacing w:after="0" w:line="240" w:lineRule="auto"/>
              <w:rPr>
                <w:rFonts w:ascii="Arial" w:hAnsi="Arial" w:cs="Arial"/>
                <w:color w:val="000000"/>
                <w:sz w:val="20"/>
                <w:szCs w:val="20"/>
              </w:rPr>
            </w:pPr>
            <w:r w:rsidRPr="00205C7B">
              <w:rPr>
                <w:rFonts w:ascii="Arial" w:hAnsi="Arial" w:cs="Arial"/>
                <w:color w:val="000000"/>
                <w:sz w:val="20"/>
                <w:szCs w:val="20"/>
              </w:rPr>
              <w:t>Смекчаване на климатичните промени</w:t>
            </w:r>
          </w:p>
        </w:tc>
        <w:tc>
          <w:tcPr>
            <w:tcW w:w="3119" w:type="dxa"/>
            <w:shd w:val="clear" w:color="auto" w:fill="auto"/>
            <w:noWrap/>
            <w:vAlign w:val="bottom"/>
          </w:tcPr>
          <w:p w14:paraId="7C62BF63" w14:textId="77777777" w:rsidR="00626DD4" w:rsidRPr="00205C7B" w:rsidRDefault="00626DD4" w:rsidP="00626DD4">
            <w:pPr>
              <w:spacing w:after="0" w:line="240" w:lineRule="auto"/>
              <w:jc w:val="right"/>
              <w:rPr>
                <w:rFonts w:ascii="Arial" w:hAnsi="Arial" w:cs="Arial"/>
                <w:color w:val="000000"/>
                <w:sz w:val="20"/>
                <w:szCs w:val="20"/>
              </w:rPr>
            </w:pPr>
            <w:r w:rsidRPr="00205C7B">
              <w:rPr>
                <w:rFonts w:ascii="Arial" w:hAnsi="Arial" w:cs="Arial"/>
                <w:color w:val="000000"/>
                <w:sz w:val="20"/>
                <w:szCs w:val="20"/>
              </w:rPr>
              <w:t>13%</w:t>
            </w:r>
          </w:p>
        </w:tc>
      </w:tr>
      <w:tr w:rsidR="00626DD4" w:rsidRPr="00205C7B" w14:paraId="653F10D5" w14:textId="77777777" w:rsidTr="00852D69">
        <w:trPr>
          <w:trHeight w:val="300"/>
        </w:trPr>
        <w:tc>
          <w:tcPr>
            <w:tcW w:w="6232" w:type="dxa"/>
            <w:shd w:val="clear" w:color="auto" w:fill="auto"/>
            <w:vAlign w:val="center"/>
          </w:tcPr>
          <w:p w14:paraId="27429B29" w14:textId="77777777" w:rsidR="00626DD4" w:rsidRPr="00205C7B" w:rsidRDefault="00626DD4" w:rsidP="00626DD4">
            <w:pPr>
              <w:spacing w:after="0" w:line="240" w:lineRule="auto"/>
              <w:rPr>
                <w:rFonts w:ascii="Arial" w:hAnsi="Arial" w:cs="Arial"/>
                <w:color w:val="000000"/>
                <w:sz w:val="20"/>
                <w:szCs w:val="20"/>
              </w:rPr>
            </w:pPr>
            <w:r w:rsidRPr="00205C7B">
              <w:rPr>
                <w:rFonts w:ascii="Arial" w:hAnsi="Arial" w:cs="Arial"/>
                <w:color w:val="000000"/>
                <w:sz w:val="20"/>
                <w:szCs w:val="20"/>
              </w:rPr>
              <w:t>Подобряване на околната среда</w:t>
            </w:r>
          </w:p>
        </w:tc>
        <w:tc>
          <w:tcPr>
            <w:tcW w:w="3119" w:type="dxa"/>
            <w:shd w:val="clear" w:color="auto" w:fill="auto"/>
            <w:noWrap/>
            <w:vAlign w:val="bottom"/>
          </w:tcPr>
          <w:p w14:paraId="41473EC0" w14:textId="77777777" w:rsidR="00626DD4" w:rsidRPr="00205C7B" w:rsidRDefault="00626DD4" w:rsidP="00626DD4">
            <w:pPr>
              <w:spacing w:after="0" w:line="240" w:lineRule="auto"/>
              <w:jc w:val="right"/>
              <w:rPr>
                <w:rFonts w:ascii="Arial" w:hAnsi="Arial" w:cs="Arial"/>
                <w:color w:val="000000"/>
                <w:sz w:val="20"/>
                <w:szCs w:val="20"/>
              </w:rPr>
            </w:pPr>
            <w:r w:rsidRPr="00205C7B">
              <w:rPr>
                <w:rFonts w:ascii="Arial" w:hAnsi="Arial" w:cs="Arial"/>
                <w:color w:val="000000"/>
                <w:sz w:val="20"/>
                <w:szCs w:val="20"/>
              </w:rPr>
              <w:t>75%</w:t>
            </w:r>
          </w:p>
        </w:tc>
      </w:tr>
      <w:tr w:rsidR="00626DD4" w:rsidRPr="00205C7B" w14:paraId="23A92763" w14:textId="77777777" w:rsidTr="00852D69">
        <w:trPr>
          <w:trHeight w:val="300"/>
        </w:trPr>
        <w:tc>
          <w:tcPr>
            <w:tcW w:w="6232" w:type="dxa"/>
            <w:shd w:val="clear" w:color="auto" w:fill="auto"/>
            <w:vAlign w:val="center"/>
          </w:tcPr>
          <w:p w14:paraId="3F75A75A" w14:textId="77777777" w:rsidR="00626DD4" w:rsidRPr="00205C7B" w:rsidRDefault="00626DD4" w:rsidP="00626DD4">
            <w:pPr>
              <w:spacing w:after="0" w:line="240" w:lineRule="auto"/>
              <w:rPr>
                <w:rFonts w:ascii="Arial" w:hAnsi="Arial" w:cs="Arial"/>
                <w:color w:val="000000"/>
                <w:sz w:val="20"/>
                <w:szCs w:val="20"/>
              </w:rPr>
            </w:pPr>
            <w:r w:rsidRPr="00205C7B">
              <w:rPr>
                <w:rFonts w:ascii="Arial" w:hAnsi="Arial" w:cs="Arial"/>
                <w:color w:val="000000"/>
                <w:sz w:val="20"/>
                <w:szCs w:val="20"/>
              </w:rPr>
              <w:t>Поддръжка на ВПС на обработваемата земя и горското стопанство</w:t>
            </w:r>
          </w:p>
        </w:tc>
        <w:tc>
          <w:tcPr>
            <w:tcW w:w="3119" w:type="dxa"/>
            <w:shd w:val="clear" w:color="auto" w:fill="auto"/>
            <w:noWrap/>
            <w:vAlign w:val="bottom"/>
          </w:tcPr>
          <w:p w14:paraId="1FA1F7B9" w14:textId="77777777" w:rsidR="00626DD4" w:rsidRPr="00205C7B" w:rsidRDefault="00626DD4" w:rsidP="00626DD4">
            <w:pPr>
              <w:spacing w:after="0" w:line="240" w:lineRule="auto"/>
              <w:jc w:val="right"/>
              <w:rPr>
                <w:rFonts w:ascii="Arial" w:hAnsi="Arial" w:cs="Arial"/>
                <w:color w:val="000000"/>
                <w:sz w:val="20"/>
                <w:szCs w:val="20"/>
              </w:rPr>
            </w:pPr>
            <w:r w:rsidRPr="00205C7B">
              <w:rPr>
                <w:rFonts w:ascii="Arial" w:hAnsi="Arial" w:cs="Arial"/>
                <w:color w:val="000000"/>
                <w:sz w:val="20"/>
                <w:szCs w:val="20"/>
              </w:rPr>
              <w:t>63%</w:t>
            </w:r>
          </w:p>
        </w:tc>
      </w:tr>
    </w:tbl>
    <w:p w14:paraId="2B58B6C4" w14:textId="77777777" w:rsidR="00626DD4" w:rsidRPr="00A55F86" w:rsidRDefault="00626DD4" w:rsidP="00626DD4">
      <w:pPr>
        <w:pStyle w:val="DefaultText"/>
        <w:spacing w:after="120" w:line="300" w:lineRule="atLeast"/>
        <w:rPr>
          <w:szCs w:val="18"/>
          <w:lang w:val="bg-BG"/>
        </w:rPr>
      </w:pPr>
      <w:r w:rsidRPr="00205C7B">
        <w:rPr>
          <w:szCs w:val="18"/>
          <w:lang w:val="bg-BG"/>
        </w:rPr>
        <w:t>Източник: Теренни проучвания сред 8 бенефициента по мярка 214</w:t>
      </w:r>
    </w:p>
    <w:p w14:paraId="056840B8" w14:textId="1B19DD69"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Съгласно </w:t>
      </w:r>
      <w:r w:rsidRPr="00BC513A">
        <w:rPr>
          <w:b/>
          <w:sz w:val="22"/>
          <w:szCs w:val="22"/>
          <w:lang w:val="bg-BG"/>
        </w:rPr>
        <w:t>тригодишния доклад</w:t>
      </w:r>
      <w:r w:rsidRPr="00BC513A">
        <w:rPr>
          <w:sz w:val="22"/>
          <w:szCs w:val="22"/>
          <w:lang w:val="bg-BG"/>
        </w:rPr>
        <w:t xml:space="preserve"> за оценка на въздействието на ПРСР 2007-2013 върху околната среда се предполагат положителни ефекти в подпомогнатите </w:t>
      </w:r>
      <w:r w:rsidR="00814BC4">
        <w:rPr>
          <w:sz w:val="22"/>
          <w:szCs w:val="22"/>
          <w:lang w:val="bg-BG"/>
        </w:rPr>
        <w:t>стопанства</w:t>
      </w:r>
      <w:r w:rsidRPr="00BC513A">
        <w:rPr>
          <w:sz w:val="22"/>
          <w:szCs w:val="22"/>
          <w:lang w:val="bg-BG"/>
        </w:rPr>
        <w:t xml:space="preserve">. Но поради значителните забавяния в плащанията всяка година, значителните забавяния в обработката на заявленията, както и практиката на санкциониране на земеделските стопани за условия, които са променени след периода на кандидатстване, подкрепата на мярката не допринася много за устойчивостта на българското земеделие. Тя все още създава повече очаквания и понякога разочарования, отколкото положителни практически резултати. </w:t>
      </w:r>
    </w:p>
    <w:p w14:paraId="0B877936"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 следващия тригодишен период са предприети мерки за преодоляване на проблемите по мярката, като например ускоряването на обработката и на плащанията на голяма част от средствата за дадена кампания преди 31 декември на текущата година (постигнато от кампания 2011</w:t>
      </w:r>
      <w:r w:rsidR="00814BC4">
        <w:rPr>
          <w:sz w:val="22"/>
          <w:szCs w:val="22"/>
          <w:lang w:val="bg-BG"/>
        </w:rPr>
        <w:t xml:space="preserve"> </w:t>
      </w:r>
      <w:r w:rsidRPr="00BC513A">
        <w:rPr>
          <w:sz w:val="22"/>
          <w:szCs w:val="22"/>
          <w:lang w:val="bg-BG"/>
        </w:rPr>
        <w:t>г.), които дават резултати и се оценяват високо от бенефициентите по мярка 214, защото това им дава възможност да се подготвят за следващата стопанска година.</w:t>
      </w:r>
    </w:p>
    <w:p w14:paraId="6741C017"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223. Първоначално залесяване на неземеделски земи</w:t>
      </w:r>
    </w:p>
    <w:p w14:paraId="60732A64" w14:textId="196629A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Чрез мярка 223 се цели увеличаване на лесистостта, основано на местни дървесни видове, намаляване на ерозията, подобряване и водният баланс в околните територии. Включени са не-земеделски земи на цялата територия на страната, попадащи в райони, в общини с лесистост по-малка от 60% и в райони с висок и среден риск от ерозия на почвата, според националната класификация, направена от Изпълнителната </w:t>
      </w:r>
      <w:r w:rsidR="00814BC4">
        <w:rPr>
          <w:sz w:val="22"/>
          <w:szCs w:val="22"/>
          <w:lang w:val="bg-BG"/>
        </w:rPr>
        <w:t>а</w:t>
      </w:r>
      <w:r w:rsidRPr="00BC513A">
        <w:rPr>
          <w:sz w:val="22"/>
          <w:szCs w:val="22"/>
          <w:lang w:val="bg-BG"/>
        </w:rPr>
        <w:t xml:space="preserve">генция по </w:t>
      </w:r>
      <w:r w:rsidR="00814BC4">
        <w:rPr>
          <w:sz w:val="22"/>
          <w:szCs w:val="22"/>
          <w:lang w:val="bg-BG"/>
        </w:rPr>
        <w:t>п</w:t>
      </w:r>
      <w:r w:rsidRPr="00BC513A">
        <w:rPr>
          <w:sz w:val="22"/>
          <w:szCs w:val="22"/>
          <w:lang w:val="bg-BG"/>
        </w:rPr>
        <w:t xml:space="preserve">очвени </w:t>
      </w:r>
      <w:r w:rsidR="00814BC4">
        <w:rPr>
          <w:sz w:val="22"/>
          <w:szCs w:val="22"/>
          <w:lang w:val="bg-BG"/>
        </w:rPr>
        <w:t>р</w:t>
      </w:r>
      <w:r w:rsidRPr="00BC513A">
        <w:rPr>
          <w:sz w:val="22"/>
          <w:szCs w:val="22"/>
          <w:lang w:val="bg-BG"/>
        </w:rPr>
        <w:t>есурси.</w:t>
      </w:r>
    </w:p>
    <w:p w14:paraId="3D2E17B8" w14:textId="7F58BBD6"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Мярката предоставя подкрепа на собствениците на неземеделски земи </w:t>
      </w:r>
      <w:r w:rsidR="00814BC4">
        <w:rPr>
          <w:sz w:val="22"/>
          <w:szCs w:val="22"/>
          <w:lang w:val="bg-BG"/>
        </w:rPr>
        <w:t>–</w:t>
      </w:r>
      <w:r w:rsidRPr="00BC513A">
        <w:rPr>
          <w:sz w:val="22"/>
          <w:szCs w:val="22"/>
          <w:lang w:val="bg-BG"/>
        </w:rPr>
        <w:t xml:space="preserve"> изоставените земеделски земи и голини от горския фонд, за да ги превърнат в гори. Очаква се това да има предимно благоприятни екологични ефекти върху деградацията на почвата, причинени от вятърна и водна ерозия, но също така да допринесе за смекчаване на изменението на климата и да подкрепи природното биологично разнообразие. </w:t>
      </w:r>
    </w:p>
    <w:p w14:paraId="2C50BC12"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Анализът на напредъка по постигане на целите показва, че заложената цел за подпомогнати бенефициенти за залесяване се постига в незначителна степен – 3.8% на база одобрени заявления и 3.5% на база проекти с плащане, като се отбелязва лек спад спрямо 2014</w:t>
      </w:r>
      <w:r w:rsidR="00814BC4">
        <w:rPr>
          <w:sz w:val="22"/>
          <w:szCs w:val="22"/>
          <w:lang w:val="bg-BG"/>
        </w:rPr>
        <w:t xml:space="preserve"> </w:t>
      </w:r>
      <w:r w:rsidRPr="00BC513A">
        <w:rPr>
          <w:sz w:val="22"/>
          <w:szCs w:val="22"/>
          <w:lang w:val="bg-BG"/>
        </w:rPr>
        <w:t>г. по първия индикатор (стойност за 2014</w:t>
      </w:r>
      <w:r w:rsidR="00814BC4">
        <w:rPr>
          <w:sz w:val="22"/>
          <w:szCs w:val="22"/>
          <w:lang w:val="bg-BG"/>
        </w:rPr>
        <w:t xml:space="preserve"> </w:t>
      </w:r>
      <w:r w:rsidRPr="00BC513A">
        <w:rPr>
          <w:sz w:val="22"/>
          <w:szCs w:val="22"/>
          <w:lang w:val="bg-BG"/>
        </w:rPr>
        <w:t>г. 4.3%) и слабо нарастване при втория (стойност за 2014</w:t>
      </w:r>
      <w:r w:rsidR="00814BC4">
        <w:rPr>
          <w:sz w:val="22"/>
          <w:szCs w:val="22"/>
          <w:lang w:val="bg-BG"/>
        </w:rPr>
        <w:t xml:space="preserve"> </w:t>
      </w:r>
      <w:r w:rsidRPr="00BC513A">
        <w:rPr>
          <w:sz w:val="22"/>
          <w:szCs w:val="22"/>
          <w:lang w:val="bg-BG"/>
        </w:rPr>
        <w:t>г. 3%). По отношение на индикатора за залесени площи се запазва тенденцията преди 2015</w:t>
      </w:r>
      <w:r w:rsidR="00814BC4">
        <w:rPr>
          <w:sz w:val="22"/>
          <w:szCs w:val="22"/>
          <w:lang w:val="bg-BG"/>
        </w:rPr>
        <w:t xml:space="preserve"> </w:t>
      </w:r>
      <w:r w:rsidRPr="00BC513A">
        <w:rPr>
          <w:sz w:val="22"/>
          <w:szCs w:val="22"/>
          <w:lang w:val="bg-BG"/>
        </w:rPr>
        <w:t xml:space="preserve">г. и заложената цел от 10 000 ха се постига в по-голяма степен (28.8%) на база одобрени, отколкото на база проекти с плащане (26.2%). Въпреки малкия брой проекти, изпълнението на целите за залесени площи се изпълнява в по-голяма степен. </w:t>
      </w:r>
    </w:p>
    <w:p w14:paraId="304BCA4B" w14:textId="77777777" w:rsidR="00E8617E" w:rsidRPr="00BC513A" w:rsidRDefault="00E8617E" w:rsidP="00E8617E">
      <w:pPr>
        <w:keepNext/>
        <w:spacing w:before="240" w:after="0" w:line="280" w:lineRule="atLeast"/>
        <w:jc w:val="both"/>
        <w:rPr>
          <w:rFonts w:ascii="Arial" w:hAnsi="Arial" w:cs="Arial"/>
          <w:b/>
          <w:color w:val="0070C0"/>
          <w:sz w:val="20"/>
          <w:szCs w:val="20"/>
        </w:rPr>
      </w:pPr>
      <w:bookmarkStart w:id="149" w:name="_Toc391899946"/>
      <w:bookmarkStart w:id="150" w:name="_Toc504136229"/>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57</w:t>
      </w:r>
      <w:r w:rsidRPr="00BC513A">
        <w:rPr>
          <w:rFonts w:ascii="Arial" w:hAnsi="Arial" w:cs="Arial"/>
          <w:b/>
          <w:color w:val="0070C0"/>
          <w:sz w:val="20"/>
          <w:szCs w:val="20"/>
        </w:rPr>
        <w:fldChar w:fldCharType="end"/>
      </w:r>
      <w:r w:rsidRPr="00BC513A">
        <w:rPr>
          <w:rFonts w:ascii="Arial" w:hAnsi="Arial" w:cs="Arial"/>
          <w:b/>
          <w:color w:val="0070C0"/>
          <w:sz w:val="20"/>
          <w:szCs w:val="20"/>
        </w:rPr>
        <w:t>. Постигане целите на мярка 223 за изходни индикатори на база одобрени заявления и платени заявки към 31.12.2015г.</w:t>
      </w:r>
      <w:bookmarkEnd w:id="149"/>
      <w:bookmarkEnd w:id="150"/>
    </w:p>
    <w:tbl>
      <w:tblPr>
        <w:tblW w:w="9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58"/>
        <w:gridCol w:w="1019"/>
        <w:gridCol w:w="1276"/>
        <w:gridCol w:w="1417"/>
        <w:gridCol w:w="1276"/>
        <w:gridCol w:w="1407"/>
      </w:tblGrid>
      <w:tr w:rsidR="00E8617E" w:rsidRPr="00BC513A" w14:paraId="53A51B01" w14:textId="77777777" w:rsidTr="00922731">
        <w:trPr>
          <w:trHeight w:val="660"/>
          <w:jc w:val="center"/>
        </w:trPr>
        <w:tc>
          <w:tcPr>
            <w:tcW w:w="2658" w:type="dxa"/>
            <w:shd w:val="clear" w:color="auto" w:fill="1F4E79" w:themeFill="accent1" w:themeFillShade="80"/>
            <w:vAlign w:val="center"/>
            <w:hideMark/>
          </w:tcPr>
          <w:p w14:paraId="669C6B39"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1019" w:type="dxa"/>
            <w:shd w:val="clear" w:color="auto" w:fill="1F4E79" w:themeFill="accent1" w:themeFillShade="80"/>
            <w:noWrap/>
            <w:vAlign w:val="center"/>
            <w:hideMark/>
          </w:tcPr>
          <w:p w14:paraId="19CA4A98"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w:t>
            </w:r>
          </w:p>
        </w:tc>
        <w:tc>
          <w:tcPr>
            <w:tcW w:w="1276" w:type="dxa"/>
            <w:shd w:val="clear" w:color="auto" w:fill="1F4E79" w:themeFill="accent1" w:themeFillShade="80"/>
            <w:vAlign w:val="center"/>
            <w:hideMark/>
          </w:tcPr>
          <w:p w14:paraId="009C5761"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брой одобрени</w:t>
            </w:r>
          </w:p>
        </w:tc>
        <w:tc>
          <w:tcPr>
            <w:tcW w:w="1417" w:type="dxa"/>
            <w:shd w:val="clear" w:color="auto" w:fill="1F4E79" w:themeFill="accent1" w:themeFillShade="80"/>
            <w:vAlign w:val="center"/>
            <w:hideMark/>
          </w:tcPr>
          <w:p w14:paraId="08D0D386"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изпълнение %</w:t>
            </w:r>
          </w:p>
        </w:tc>
        <w:tc>
          <w:tcPr>
            <w:tcW w:w="1276" w:type="dxa"/>
            <w:shd w:val="clear" w:color="auto" w:fill="1F4E79" w:themeFill="accent1" w:themeFillShade="80"/>
            <w:vAlign w:val="center"/>
            <w:hideMark/>
          </w:tcPr>
          <w:p w14:paraId="4E4F6065"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брой с плащане</w:t>
            </w:r>
          </w:p>
        </w:tc>
        <w:tc>
          <w:tcPr>
            <w:tcW w:w="1407" w:type="dxa"/>
            <w:shd w:val="clear" w:color="auto" w:fill="1F4E79" w:themeFill="accent1" w:themeFillShade="80"/>
            <w:vAlign w:val="center"/>
            <w:hideMark/>
          </w:tcPr>
          <w:p w14:paraId="5631E82E"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изпълнение %</w:t>
            </w:r>
          </w:p>
        </w:tc>
      </w:tr>
      <w:tr w:rsidR="00E8617E" w:rsidRPr="00BC513A" w14:paraId="567F8A5A" w14:textId="77777777" w:rsidTr="00922731">
        <w:trPr>
          <w:trHeight w:val="723"/>
          <w:jc w:val="center"/>
        </w:trPr>
        <w:tc>
          <w:tcPr>
            <w:tcW w:w="2658" w:type="dxa"/>
            <w:vAlign w:val="center"/>
            <w:hideMark/>
          </w:tcPr>
          <w:p w14:paraId="0009DD98"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брой на бенефициентите</w:t>
            </w:r>
            <w:r w:rsidR="00814BC4">
              <w:rPr>
                <w:rFonts w:ascii="Arial" w:eastAsia="Times New Roman" w:hAnsi="Arial" w:cs="Times New Roman"/>
                <w:sz w:val="20"/>
                <w:szCs w:val="20"/>
                <w:lang w:eastAsia="nl-NL"/>
              </w:rPr>
              <w:t>,</w:t>
            </w:r>
            <w:r w:rsidRPr="00BC513A">
              <w:rPr>
                <w:rFonts w:ascii="Arial" w:eastAsia="Times New Roman" w:hAnsi="Arial" w:cs="Times New Roman"/>
                <w:sz w:val="20"/>
                <w:szCs w:val="20"/>
                <w:lang w:eastAsia="nl-NL"/>
              </w:rPr>
              <w:t xml:space="preserve"> получаващи помощ за залесяване</w:t>
            </w:r>
          </w:p>
        </w:tc>
        <w:tc>
          <w:tcPr>
            <w:tcW w:w="1019" w:type="dxa"/>
            <w:noWrap/>
            <w:vAlign w:val="center"/>
            <w:hideMark/>
          </w:tcPr>
          <w:p w14:paraId="1586B6BC"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2000</w:t>
            </w:r>
          </w:p>
        </w:tc>
        <w:tc>
          <w:tcPr>
            <w:tcW w:w="1276" w:type="dxa"/>
            <w:noWrap/>
            <w:vAlign w:val="center"/>
            <w:hideMark/>
          </w:tcPr>
          <w:p w14:paraId="6C1D0BB5"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76</w:t>
            </w:r>
          </w:p>
        </w:tc>
        <w:tc>
          <w:tcPr>
            <w:tcW w:w="1417" w:type="dxa"/>
            <w:noWrap/>
            <w:vAlign w:val="center"/>
            <w:hideMark/>
          </w:tcPr>
          <w:p w14:paraId="31571C34"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3.8%</w:t>
            </w:r>
          </w:p>
        </w:tc>
        <w:tc>
          <w:tcPr>
            <w:tcW w:w="1276" w:type="dxa"/>
            <w:noWrap/>
            <w:vAlign w:val="center"/>
            <w:hideMark/>
          </w:tcPr>
          <w:p w14:paraId="75E1CB7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69</w:t>
            </w:r>
          </w:p>
        </w:tc>
        <w:tc>
          <w:tcPr>
            <w:tcW w:w="1407" w:type="dxa"/>
            <w:noWrap/>
            <w:vAlign w:val="center"/>
            <w:hideMark/>
          </w:tcPr>
          <w:p w14:paraId="724830A8"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3.5%</w:t>
            </w:r>
          </w:p>
        </w:tc>
      </w:tr>
      <w:tr w:rsidR="00E8617E" w:rsidRPr="00BC513A" w14:paraId="32D8AD78" w14:textId="77777777" w:rsidTr="00922731">
        <w:trPr>
          <w:trHeight w:val="810"/>
          <w:jc w:val="center"/>
        </w:trPr>
        <w:tc>
          <w:tcPr>
            <w:tcW w:w="2658" w:type="dxa"/>
            <w:vAlign w:val="center"/>
            <w:hideMark/>
          </w:tcPr>
          <w:p w14:paraId="75EB7921"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размер на залесената площ – ha</w:t>
            </w:r>
          </w:p>
        </w:tc>
        <w:tc>
          <w:tcPr>
            <w:tcW w:w="1019" w:type="dxa"/>
            <w:noWrap/>
            <w:vAlign w:val="center"/>
            <w:hideMark/>
          </w:tcPr>
          <w:p w14:paraId="6592F068"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10000</w:t>
            </w:r>
          </w:p>
        </w:tc>
        <w:tc>
          <w:tcPr>
            <w:tcW w:w="1276" w:type="dxa"/>
            <w:noWrap/>
            <w:vAlign w:val="center"/>
            <w:hideMark/>
          </w:tcPr>
          <w:p w14:paraId="511DA4B7"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2 883</w:t>
            </w:r>
          </w:p>
        </w:tc>
        <w:tc>
          <w:tcPr>
            <w:tcW w:w="1417" w:type="dxa"/>
            <w:noWrap/>
            <w:vAlign w:val="center"/>
            <w:hideMark/>
          </w:tcPr>
          <w:p w14:paraId="7944DFA3"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28.83%</w:t>
            </w:r>
          </w:p>
        </w:tc>
        <w:tc>
          <w:tcPr>
            <w:tcW w:w="1276" w:type="dxa"/>
            <w:noWrap/>
            <w:vAlign w:val="center"/>
            <w:hideMark/>
          </w:tcPr>
          <w:p w14:paraId="62446447"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2 624</w:t>
            </w:r>
          </w:p>
        </w:tc>
        <w:tc>
          <w:tcPr>
            <w:tcW w:w="1407" w:type="dxa"/>
            <w:noWrap/>
            <w:vAlign w:val="center"/>
            <w:hideMark/>
          </w:tcPr>
          <w:p w14:paraId="74C7DF91"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26.24%</w:t>
            </w:r>
          </w:p>
        </w:tc>
      </w:tr>
    </w:tbl>
    <w:p w14:paraId="3D83AEBC" w14:textId="77777777" w:rsidR="00E8617E" w:rsidRPr="00F07F15" w:rsidRDefault="00E8617E" w:rsidP="00EF0C92">
      <w:pPr>
        <w:spacing w:after="240" w:line="280" w:lineRule="atLeast"/>
        <w:jc w:val="both"/>
        <w:rPr>
          <w:rFonts w:ascii="Arial" w:eastAsia="Times New Roman" w:hAnsi="Arial" w:cs="Times New Roman"/>
          <w:sz w:val="18"/>
          <w:szCs w:val="18"/>
          <w:highlight w:val="yellow"/>
          <w:lang w:eastAsia="nl-NL"/>
        </w:rPr>
      </w:pPr>
      <w:r w:rsidRPr="00F07F15">
        <w:rPr>
          <w:rFonts w:ascii="Arial" w:eastAsia="Times New Roman" w:hAnsi="Arial" w:cs="Times New Roman"/>
          <w:sz w:val="18"/>
          <w:szCs w:val="18"/>
          <w:lang w:eastAsia="nl-NL"/>
        </w:rPr>
        <w:t>Източник: Годишен доклад за изпълнението на ПРСР 2007-2013 г. за 2015г.</w:t>
      </w:r>
    </w:p>
    <w:p w14:paraId="7FD3297A" w14:textId="04DDC2F3"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Много е слаба активността на частните собственици на гори, които са със 7% (5 броя) от всички активни договори за 2015</w:t>
      </w:r>
      <w:r w:rsidR="00814BC4">
        <w:rPr>
          <w:sz w:val="22"/>
          <w:szCs w:val="22"/>
          <w:lang w:val="bg-BG"/>
        </w:rPr>
        <w:t xml:space="preserve"> </w:t>
      </w:r>
      <w:r w:rsidRPr="00BC513A">
        <w:rPr>
          <w:sz w:val="22"/>
          <w:szCs w:val="22"/>
          <w:lang w:val="bg-BG"/>
        </w:rPr>
        <w:t>г., а останалите са предимно общини и държавни горски и ловни стопанства</w:t>
      </w:r>
      <w:r w:rsidR="00814BC4">
        <w:rPr>
          <w:sz w:val="22"/>
          <w:szCs w:val="22"/>
          <w:lang w:val="bg-BG"/>
        </w:rPr>
        <w:t xml:space="preserve"> </w:t>
      </w:r>
      <w:r w:rsidRPr="00BC513A">
        <w:rPr>
          <w:sz w:val="22"/>
          <w:szCs w:val="22"/>
          <w:lang w:val="bg-BG"/>
        </w:rPr>
        <w:t xml:space="preserve">– 93% от одобрените проекти. </w:t>
      </w:r>
    </w:p>
    <w:p w14:paraId="62EB1C96"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От анализа на постигане на целите е видно, че с извършеното залесяване се постигат в най-голяма степен заложените цели за съхраняване качество на почвата – 49%, като след това е подкрепата на биоразнообразието и горско стопанство с висока природна стойност с 8%,  качеството на водата е със 7%, на смекчаване на промените в климата е с 3% и най-слабо е изпълнението на предотвратяване на маргинализацията и изоставянето на земята с 2%. </w:t>
      </w:r>
    </w:p>
    <w:p w14:paraId="70B49CA7" w14:textId="77777777" w:rsidR="00E8617E" w:rsidRPr="00BC513A" w:rsidRDefault="00E8617E" w:rsidP="00E8617E">
      <w:pPr>
        <w:keepNext/>
        <w:spacing w:before="240" w:after="0" w:line="280" w:lineRule="atLeast"/>
        <w:jc w:val="both"/>
        <w:rPr>
          <w:rFonts w:ascii="Arial" w:hAnsi="Arial" w:cs="Arial"/>
          <w:b/>
          <w:color w:val="0070C0"/>
          <w:sz w:val="20"/>
          <w:szCs w:val="20"/>
        </w:rPr>
      </w:pPr>
      <w:bookmarkStart w:id="151" w:name="_Toc504136230"/>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58</w:t>
      </w:r>
      <w:r w:rsidRPr="00BC513A">
        <w:rPr>
          <w:rFonts w:ascii="Arial" w:hAnsi="Arial" w:cs="Arial"/>
          <w:b/>
          <w:color w:val="0070C0"/>
          <w:sz w:val="20"/>
          <w:szCs w:val="20"/>
        </w:rPr>
        <w:fldChar w:fldCharType="end"/>
      </w:r>
      <w:r w:rsidRPr="00BC513A">
        <w:rPr>
          <w:rFonts w:ascii="Arial" w:hAnsi="Arial" w:cs="Arial"/>
          <w:b/>
          <w:color w:val="0070C0"/>
          <w:sz w:val="20"/>
          <w:szCs w:val="20"/>
        </w:rPr>
        <w:t>. Показатели за резултат на мярка 223 и изпълнението им</w:t>
      </w:r>
      <w:bookmarkEnd w:id="151"/>
      <w:r w:rsidRPr="00BC513A">
        <w:rPr>
          <w:rFonts w:ascii="Arial" w:hAnsi="Arial" w:cs="Arial"/>
          <w:b/>
          <w:color w:val="0070C0"/>
          <w:sz w:val="20"/>
          <w:szCs w:val="20"/>
        </w:rPr>
        <w:t xml:space="preserve"> </w:t>
      </w:r>
    </w:p>
    <w:tbl>
      <w:tblPr>
        <w:tblW w:w="9160" w:type="dxa"/>
        <w:jc w:val="center"/>
        <w:tblBorders>
          <w:top w:val="threeDEmboss" w:sz="6" w:space="0" w:color="595959"/>
          <w:left w:val="threeDEmboss" w:sz="6" w:space="0" w:color="595959"/>
          <w:bottom w:val="threeDEmboss" w:sz="6" w:space="0" w:color="595959"/>
          <w:right w:val="threeDEmboss" w:sz="6" w:space="0" w:color="595959"/>
          <w:insideH w:val="single" w:sz="6" w:space="0" w:color="595959"/>
          <w:insideV w:val="single" w:sz="6" w:space="0" w:color="595959"/>
        </w:tblBorders>
        <w:tblLook w:val="04A0" w:firstRow="1" w:lastRow="0" w:firstColumn="1" w:lastColumn="0" w:noHBand="0" w:noVBand="1"/>
      </w:tblPr>
      <w:tblGrid>
        <w:gridCol w:w="4360"/>
        <w:gridCol w:w="960"/>
        <w:gridCol w:w="960"/>
        <w:gridCol w:w="960"/>
        <w:gridCol w:w="960"/>
        <w:gridCol w:w="960"/>
      </w:tblGrid>
      <w:tr w:rsidR="00E8617E" w:rsidRPr="00BC513A" w14:paraId="7A855AEE" w14:textId="77777777" w:rsidTr="00922731">
        <w:trPr>
          <w:trHeight w:val="315"/>
          <w:jc w:val="center"/>
        </w:trPr>
        <w:tc>
          <w:tcPr>
            <w:tcW w:w="4360"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5BEA9DAA"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960"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52AF6B48"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цел </w:t>
            </w:r>
          </w:p>
          <w:p w14:paraId="2EB391E8"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ха</w:t>
            </w:r>
          </w:p>
        </w:tc>
        <w:tc>
          <w:tcPr>
            <w:tcW w:w="1920" w:type="dxa"/>
            <w:gridSpan w:val="2"/>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39F14893"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одобрени </w:t>
            </w:r>
          </w:p>
        </w:tc>
        <w:tc>
          <w:tcPr>
            <w:tcW w:w="1920" w:type="dxa"/>
            <w:gridSpan w:val="2"/>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7879FA54"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платени</w:t>
            </w:r>
          </w:p>
        </w:tc>
      </w:tr>
      <w:tr w:rsidR="00E8617E" w:rsidRPr="00BC513A" w14:paraId="2B485002" w14:textId="77777777" w:rsidTr="00922731">
        <w:trPr>
          <w:trHeight w:val="3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FE4462" w14:textId="77777777" w:rsidR="00E8617E" w:rsidRPr="00BC513A" w:rsidRDefault="00E8617E" w:rsidP="00922731">
            <w:pPr>
              <w:spacing w:after="0" w:line="240" w:lineRule="auto"/>
              <w:rPr>
                <w:rFonts w:ascii="Arial" w:eastAsia="Times New Roman" w:hAnsi="Arial" w:cs="Times New Roman"/>
                <w:bCs/>
                <w:sz w:val="20"/>
                <w:szCs w:val="20"/>
                <w:highlight w:val="yellow"/>
                <w:lang w:eastAsia="nl-N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926167" w14:textId="77777777" w:rsidR="00E8617E" w:rsidRPr="00BC513A" w:rsidRDefault="00E8617E" w:rsidP="00922731">
            <w:pPr>
              <w:spacing w:after="0" w:line="240" w:lineRule="auto"/>
              <w:rPr>
                <w:rFonts w:ascii="Arial" w:eastAsia="Times New Roman" w:hAnsi="Arial" w:cs="Times New Roman"/>
                <w:bCs/>
                <w:sz w:val="20"/>
                <w:szCs w:val="20"/>
                <w:highlight w:val="yellow"/>
                <w:lang w:eastAsia="nl-NL"/>
              </w:rPr>
            </w:pPr>
          </w:p>
        </w:tc>
        <w:tc>
          <w:tcPr>
            <w:tcW w:w="960"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73AFABA5"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 ха</w:t>
            </w:r>
          </w:p>
        </w:tc>
        <w:tc>
          <w:tcPr>
            <w:tcW w:w="960"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3558C344"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 %</w:t>
            </w:r>
          </w:p>
        </w:tc>
        <w:tc>
          <w:tcPr>
            <w:tcW w:w="960"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2947D7F4"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 ха</w:t>
            </w:r>
          </w:p>
        </w:tc>
        <w:tc>
          <w:tcPr>
            <w:tcW w:w="960"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443473B9"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 %</w:t>
            </w:r>
          </w:p>
        </w:tc>
      </w:tr>
      <w:tr w:rsidR="00E8617E" w:rsidRPr="00BC513A" w14:paraId="690D781A" w14:textId="77777777" w:rsidTr="00922731">
        <w:trPr>
          <w:trHeight w:val="498"/>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1032215D"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Площ с успешно управление на земята допринасяща за:  </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36AEF2"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 </w:t>
            </w:r>
          </w:p>
        </w:tc>
        <w:tc>
          <w:tcPr>
            <w:tcW w:w="960" w:type="dxa"/>
            <w:tcBorders>
              <w:top w:val="single" w:sz="4" w:space="0" w:color="auto"/>
              <w:left w:val="single" w:sz="4" w:space="0" w:color="auto"/>
              <w:bottom w:val="single" w:sz="4" w:space="0" w:color="auto"/>
              <w:right w:val="single" w:sz="4" w:space="0" w:color="auto"/>
            </w:tcBorders>
            <w:vAlign w:val="center"/>
            <w:hideMark/>
          </w:tcPr>
          <w:p w14:paraId="42E262AA"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 </w:t>
            </w:r>
          </w:p>
        </w:tc>
        <w:tc>
          <w:tcPr>
            <w:tcW w:w="960" w:type="dxa"/>
            <w:tcBorders>
              <w:top w:val="single" w:sz="4" w:space="0" w:color="auto"/>
              <w:left w:val="single" w:sz="4" w:space="0" w:color="auto"/>
              <w:bottom w:val="single" w:sz="4" w:space="0" w:color="auto"/>
              <w:right w:val="single" w:sz="4" w:space="0" w:color="auto"/>
            </w:tcBorders>
            <w:vAlign w:val="center"/>
            <w:hideMark/>
          </w:tcPr>
          <w:p w14:paraId="01EFEB34"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 </w:t>
            </w:r>
          </w:p>
        </w:tc>
        <w:tc>
          <w:tcPr>
            <w:tcW w:w="960" w:type="dxa"/>
            <w:tcBorders>
              <w:top w:val="single" w:sz="4" w:space="0" w:color="auto"/>
              <w:left w:val="single" w:sz="4" w:space="0" w:color="auto"/>
              <w:bottom w:val="single" w:sz="4" w:space="0" w:color="auto"/>
              <w:right w:val="single" w:sz="4" w:space="0" w:color="auto"/>
            </w:tcBorders>
            <w:vAlign w:val="center"/>
            <w:hideMark/>
          </w:tcPr>
          <w:p w14:paraId="6C1EDC64"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 </w:t>
            </w:r>
          </w:p>
        </w:tc>
        <w:tc>
          <w:tcPr>
            <w:tcW w:w="960" w:type="dxa"/>
            <w:tcBorders>
              <w:top w:val="single" w:sz="4" w:space="0" w:color="auto"/>
              <w:left w:val="single" w:sz="4" w:space="0" w:color="auto"/>
              <w:bottom w:val="single" w:sz="4" w:space="0" w:color="auto"/>
              <w:right w:val="single" w:sz="4" w:space="0" w:color="auto"/>
            </w:tcBorders>
            <w:vAlign w:val="center"/>
            <w:hideMark/>
          </w:tcPr>
          <w:p w14:paraId="76F9D28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 </w:t>
            </w:r>
          </w:p>
        </w:tc>
      </w:tr>
      <w:tr w:rsidR="00E8617E" w:rsidRPr="00BC513A" w14:paraId="70E4D8CF" w14:textId="77777777" w:rsidTr="00922731">
        <w:trPr>
          <w:trHeight w:val="435"/>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44C5642C"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 xml:space="preserve">(а) Биоразнообразието и горско стопанство  с висока природна стойност  </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3A0C6F2"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6000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9FD1F63"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532</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EA9DAE6"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9%</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53FA3C4"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482</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57A5391"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8%</w:t>
            </w:r>
          </w:p>
        </w:tc>
      </w:tr>
      <w:tr w:rsidR="00E8617E" w:rsidRPr="00BC513A" w14:paraId="7C122B74" w14:textId="77777777" w:rsidTr="00922731">
        <w:trPr>
          <w:trHeight w:val="435"/>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165E7636"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(б) Качество на водата</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0E9B695"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3000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10E381C"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260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98B7D09"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9%</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748AD9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217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A3771B6"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7%</w:t>
            </w:r>
          </w:p>
        </w:tc>
      </w:tr>
      <w:tr w:rsidR="00E8617E" w:rsidRPr="00BC513A" w14:paraId="0E607BDC" w14:textId="77777777" w:rsidTr="00922731">
        <w:trPr>
          <w:trHeight w:val="525"/>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601A0743"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(в) Смекчаване на промените в климата</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1957492"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8000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DA60012"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293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45D961F"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4%</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554E619"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250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50C27D3"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w:t>
            </w:r>
          </w:p>
        </w:tc>
      </w:tr>
      <w:tr w:rsidR="00E8617E" w:rsidRPr="00BC513A" w14:paraId="0879F835" w14:textId="77777777" w:rsidTr="00922731">
        <w:trPr>
          <w:trHeight w:val="525"/>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267C4EDC"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(г) Съхраняване качество на почвата</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EA20A5"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3000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5F321C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1 528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B64705F"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51%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737974C"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1 456</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AB40D96"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49%</w:t>
            </w:r>
          </w:p>
        </w:tc>
      </w:tr>
      <w:tr w:rsidR="00E8617E" w:rsidRPr="00BC513A" w14:paraId="4E4C0410" w14:textId="77777777" w:rsidTr="00922731">
        <w:trPr>
          <w:trHeight w:val="435"/>
          <w:jc w:val="center"/>
        </w:trPr>
        <w:tc>
          <w:tcPr>
            <w:tcW w:w="4360" w:type="dxa"/>
            <w:tcBorders>
              <w:top w:val="single" w:sz="4" w:space="0" w:color="auto"/>
              <w:left w:val="single" w:sz="4" w:space="0" w:color="auto"/>
              <w:bottom w:val="single" w:sz="4" w:space="0" w:color="auto"/>
              <w:right w:val="single" w:sz="4" w:space="0" w:color="auto"/>
            </w:tcBorders>
            <w:vAlign w:val="center"/>
            <w:hideMark/>
          </w:tcPr>
          <w:p w14:paraId="4A33AC05"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 xml:space="preserve">(д) Предотвратяване на маргинализацията и изоставянето на земята </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5B2072"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10000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1F88D15"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269</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749260A"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C450515"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219</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EE0B9FD"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w:t>
            </w:r>
          </w:p>
        </w:tc>
      </w:tr>
    </w:tbl>
    <w:p w14:paraId="5544BBE5" w14:textId="77777777" w:rsidR="00E8617E" w:rsidRPr="00F07F15" w:rsidRDefault="00E8617E" w:rsidP="00EF0C92">
      <w:pPr>
        <w:spacing w:after="240" w:line="280" w:lineRule="atLeast"/>
        <w:jc w:val="both"/>
        <w:rPr>
          <w:rFonts w:ascii="Arial" w:eastAsia="Times New Roman" w:hAnsi="Arial" w:cs="Times New Roman"/>
          <w:sz w:val="18"/>
          <w:szCs w:val="18"/>
          <w:highlight w:val="yellow"/>
          <w:lang w:eastAsia="nl-NL"/>
        </w:rPr>
      </w:pPr>
      <w:r w:rsidRPr="00F07F15">
        <w:rPr>
          <w:rFonts w:ascii="Arial" w:eastAsia="Times New Roman" w:hAnsi="Arial" w:cs="Times New Roman"/>
          <w:sz w:val="18"/>
          <w:szCs w:val="18"/>
          <w:lang w:eastAsia="nl-NL"/>
        </w:rPr>
        <w:t>Източник: Годишен доклад за изпълнението на ПРСР 2007-2013 г. за 2015г.</w:t>
      </w:r>
    </w:p>
    <w:p w14:paraId="48E9111D" w14:textId="00FC445D"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Както е посочено в годишния доклад за изпълнението на ПРСР (2007-2013 г.) за периода </w:t>
      </w:r>
      <w:r w:rsidR="00312CE3">
        <w:rPr>
          <w:sz w:val="22"/>
          <w:szCs w:val="22"/>
          <w:lang w:val="bg-BG"/>
        </w:rPr>
        <w:t xml:space="preserve">от </w:t>
      </w:r>
      <w:r w:rsidRPr="00BC513A">
        <w:rPr>
          <w:sz w:val="22"/>
          <w:szCs w:val="22"/>
          <w:lang w:val="bg-BG"/>
        </w:rPr>
        <w:t xml:space="preserve">1 януари </w:t>
      </w:r>
      <w:r w:rsidR="00312CE3">
        <w:rPr>
          <w:sz w:val="22"/>
          <w:szCs w:val="22"/>
          <w:lang w:val="bg-BG"/>
        </w:rPr>
        <w:t>до</w:t>
      </w:r>
      <w:r w:rsidRPr="00BC513A">
        <w:rPr>
          <w:sz w:val="22"/>
          <w:szCs w:val="22"/>
          <w:lang w:val="bg-BG"/>
        </w:rPr>
        <w:t xml:space="preserve"> 31 декември 2015</w:t>
      </w:r>
      <w:r w:rsidR="00312CE3">
        <w:rPr>
          <w:sz w:val="22"/>
          <w:szCs w:val="22"/>
          <w:lang w:val="bg-BG"/>
        </w:rPr>
        <w:t xml:space="preserve"> </w:t>
      </w:r>
      <w:r w:rsidRPr="00BC513A">
        <w:rPr>
          <w:sz w:val="22"/>
          <w:szCs w:val="22"/>
          <w:lang w:val="bg-BG"/>
        </w:rPr>
        <w:t>г., „</w:t>
      </w:r>
      <w:r w:rsidRPr="00BC513A">
        <w:rPr>
          <w:i/>
          <w:sz w:val="22"/>
          <w:szCs w:val="22"/>
          <w:lang w:val="bg-BG"/>
        </w:rPr>
        <w:t>при поставянето на тези индикатори е взето предвид, че едно и също залесяване може да се отнася към няколко от тях и ако съберем площта на резултантните индикатори се получава сума точно три пъти по-голяма от площта на изходните индикатори</w:t>
      </w:r>
      <w:r w:rsidRPr="00BC513A">
        <w:rPr>
          <w:sz w:val="22"/>
          <w:szCs w:val="22"/>
          <w:lang w:val="bg-BG"/>
        </w:rPr>
        <w:t>“. Явно, при заложен резултантен индикатор за предотвратяване на маргинализацията и изоставянето на земята в размер на 10</w:t>
      </w:r>
      <w:r w:rsidR="00312CE3">
        <w:rPr>
          <w:sz w:val="22"/>
          <w:szCs w:val="22"/>
          <w:lang w:val="bg-BG"/>
        </w:rPr>
        <w:t> </w:t>
      </w:r>
      <w:r w:rsidRPr="00BC513A">
        <w:rPr>
          <w:sz w:val="22"/>
          <w:szCs w:val="22"/>
          <w:lang w:val="bg-BG"/>
        </w:rPr>
        <w:t>000 ha е взето предвид, че всяко едно залесяване има принос към този индикатор. В такъв случай, изпълнението на този индикатор е едно и също с изпълнението на изходните индикатори – 26.24%. Предвид че всички останали резултантни индикатори са част от изходните индикатори, а именно 10 000 ha, може да бъде допуснато, че изпълнението им е същото</w:t>
      </w:r>
      <w:r w:rsidR="00312CE3">
        <w:rPr>
          <w:sz w:val="22"/>
          <w:szCs w:val="22"/>
          <w:lang w:val="bg-BG"/>
        </w:rPr>
        <w:t>,</w:t>
      </w:r>
      <w:r w:rsidRPr="00BC513A">
        <w:rPr>
          <w:sz w:val="22"/>
          <w:szCs w:val="22"/>
          <w:lang w:val="bg-BG"/>
        </w:rPr>
        <w:t xml:space="preserve"> т.е – 26.24%. Преобладават площите</w:t>
      </w:r>
      <w:r w:rsidR="00312CE3">
        <w:rPr>
          <w:sz w:val="22"/>
          <w:szCs w:val="22"/>
          <w:lang w:val="bg-BG"/>
        </w:rPr>
        <w:t>,</w:t>
      </w:r>
      <w:r w:rsidRPr="00BC513A">
        <w:rPr>
          <w:sz w:val="22"/>
          <w:szCs w:val="22"/>
          <w:lang w:val="bg-BG"/>
        </w:rPr>
        <w:t xml:space="preserve"> залесени с широколистни дървесни видове – 82% от одобрените, следват смесените площи – 14.3%, бързо растящи видове </w:t>
      </w:r>
      <w:r w:rsidR="00312CE3">
        <w:rPr>
          <w:sz w:val="22"/>
          <w:szCs w:val="22"/>
          <w:lang w:val="bg-BG"/>
        </w:rPr>
        <w:t>–</w:t>
      </w:r>
      <w:r w:rsidRPr="00BC513A">
        <w:rPr>
          <w:sz w:val="22"/>
          <w:szCs w:val="22"/>
          <w:lang w:val="bg-BG"/>
        </w:rPr>
        <w:t xml:space="preserve"> 3% и иглолистни малко под един процент.“</w:t>
      </w:r>
    </w:p>
    <w:p w14:paraId="304265F8" w14:textId="68D742E1"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При отчета за приноса на мярката за подобряването на всеки един от 5-те индикатора в обобщената мониторингова таблица за продукт изпълнението на целите за отделните индикатори е различно от това, представено в Годишния доклад за изпълнението на ПРСР 2007-2013 г. в за периода </w:t>
      </w:r>
      <w:r w:rsidR="00312CE3">
        <w:rPr>
          <w:sz w:val="22"/>
          <w:szCs w:val="22"/>
          <w:lang w:val="bg-BG"/>
        </w:rPr>
        <w:t xml:space="preserve">от </w:t>
      </w:r>
      <w:r w:rsidRPr="00BC513A">
        <w:rPr>
          <w:sz w:val="22"/>
          <w:szCs w:val="22"/>
          <w:lang w:val="bg-BG"/>
        </w:rPr>
        <w:t xml:space="preserve">1 януари </w:t>
      </w:r>
      <w:r w:rsidR="00312CE3">
        <w:rPr>
          <w:sz w:val="22"/>
          <w:szCs w:val="22"/>
          <w:lang w:val="bg-BG"/>
        </w:rPr>
        <w:t>до</w:t>
      </w:r>
      <w:r w:rsidRPr="00BC513A">
        <w:rPr>
          <w:sz w:val="22"/>
          <w:szCs w:val="22"/>
          <w:lang w:val="bg-BG"/>
        </w:rPr>
        <w:t xml:space="preserve"> 31 декември 2015</w:t>
      </w:r>
      <w:r w:rsidR="00312CE3">
        <w:rPr>
          <w:sz w:val="22"/>
          <w:szCs w:val="22"/>
          <w:lang w:val="bg-BG"/>
        </w:rPr>
        <w:t xml:space="preserve"> </w:t>
      </w:r>
      <w:r w:rsidRPr="00BC513A">
        <w:rPr>
          <w:sz w:val="22"/>
          <w:szCs w:val="22"/>
          <w:lang w:val="bg-BG"/>
        </w:rPr>
        <w:t>г. и показано в таблицата по-горе, но сумарните площи, на които е извършено залесяване са еднакви и са 2</w:t>
      </w:r>
      <w:r w:rsidR="00312CE3">
        <w:rPr>
          <w:sz w:val="22"/>
          <w:szCs w:val="22"/>
          <w:lang w:val="bg-BG"/>
        </w:rPr>
        <w:t> </w:t>
      </w:r>
      <w:r w:rsidRPr="00BC513A">
        <w:rPr>
          <w:sz w:val="22"/>
          <w:szCs w:val="22"/>
          <w:lang w:val="bg-BG"/>
        </w:rPr>
        <w:t>624</w:t>
      </w:r>
      <w:r w:rsidR="00312CE3">
        <w:rPr>
          <w:sz w:val="22"/>
          <w:szCs w:val="22"/>
          <w:lang w:val="bg-BG"/>
        </w:rPr>
        <w:t xml:space="preserve"> </w:t>
      </w:r>
      <w:r w:rsidRPr="00BC513A">
        <w:rPr>
          <w:sz w:val="22"/>
          <w:szCs w:val="22"/>
          <w:lang w:val="bg-BG"/>
        </w:rPr>
        <w:t>ha.</w:t>
      </w:r>
    </w:p>
    <w:p w14:paraId="7E4EAC2A" w14:textId="77777777" w:rsidR="00E8617E" w:rsidRDefault="00E8617E" w:rsidP="00E8617E">
      <w:pPr>
        <w:pStyle w:val="DefaultText"/>
        <w:spacing w:after="120" w:line="300" w:lineRule="atLeast"/>
        <w:ind w:firstLine="708"/>
        <w:rPr>
          <w:sz w:val="22"/>
          <w:szCs w:val="22"/>
          <w:lang w:val="bg-BG"/>
        </w:rPr>
      </w:pPr>
      <w:r w:rsidRPr="00BC513A">
        <w:rPr>
          <w:sz w:val="22"/>
          <w:szCs w:val="22"/>
          <w:lang w:val="bg-BG"/>
        </w:rPr>
        <w:t>Мярката не постига изпълнение на целите на нито един от индикаторите и създаването на горски площи за поддържане на природните ресурси е много слабо. По мярката е имало изключително слаба активност от страна на частните стопани, a също така и за останалите, тъй като общините имат малко свободна земя за залесяване, а и кандидатстват само след като не са отпаднали и не са одобрени по други мерки. Поради това бюджетът на мярката е намаляван многократно, с повече от четири пъти, но индикаторите не са променяни.</w:t>
      </w:r>
    </w:p>
    <w:p w14:paraId="2B2FB5A1" w14:textId="77777777" w:rsidR="00BD36BB" w:rsidRPr="00205C7B" w:rsidRDefault="00BD36BB" w:rsidP="00E8617E">
      <w:pPr>
        <w:pStyle w:val="DefaultText"/>
        <w:spacing w:after="120" w:line="300" w:lineRule="atLeast"/>
        <w:ind w:firstLine="708"/>
        <w:rPr>
          <w:sz w:val="22"/>
          <w:szCs w:val="22"/>
          <w:lang w:val="bg-BG"/>
        </w:rPr>
      </w:pPr>
      <w:r w:rsidRPr="00205C7B">
        <w:rPr>
          <w:sz w:val="22"/>
          <w:szCs w:val="22"/>
          <w:lang w:val="bg-BG"/>
        </w:rPr>
        <w:t>В същото време оценката на бенефициентите за ползите от мярката по отношение на екологичните цели е много положителна, как</w:t>
      </w:r>
      <w:r w:rsidR="008F34DE" w:rsidRPr="00205C7B">
        <w:rPr>
          <w:sz w:val="22"/>
          <w:szCs w:val="22"/>
          <w:lang w:val="bg-BG"/>
        </w:rPr>
        <w:t xml:space="preserve">то е видно от таблицата по-долу. </w:t>
      </w:r>
    </w:p>
    <w:p w14:paraId="6057AA64" w14:textId="77777777" w:rsidR="00BD36BB" w:rsidRPr="00205C7B" w:rsidRDefault="00BD36BB" w:rsidP="00BD36BB">
      <w:pPr>
        <w:keepNext/>
        <w:spacing w:before="240" w:after="0" w:line="280" w:lineRule="atLeast"/>
        <w:jc w:val="both"/>
        <w:rPr>
          <w:rFonts w:ascii="Arial" w:hAnsi="Arial" w:cs="Arial"/>
          <w:b/>
          <w:iCs/>
          <w:color w:val="0070C0"/>
          <w:sz w:val="20"/>
          <w:szCs w:val="20"/>
        </w:rPr>
      </w:pPr>
      <w:bookmarkStart w:id="152" w:name="_Toc504136231"/>
      <w:r w:rsidRPr="00205C7B">
        <w:rPr>
          <w:rFonts w:ascii="Arial" w:hAnsi="Arial" w:cs="Arial"/>
          <w:b/>
          <w:color w:val="0070C0"/>
          <w:sz w:val="20"/>
          <w:szCs w:val="20"/>
        </w:rPr>
        <w:t xml:space="preserve">Таблица </w:t>
      </w:r>
      <w:r w:rsidRPr="00205C7B">
        <w:rPr>
          <w:rFonts w:ascii="Arial" w:hAnsi="Arial" w:cs="Arial"/>
          <w:b/>
          <w:color w:val="0070C0"/>
          <w:sz w:val="20"/>
          <w:szCs w:val="20"/>
        </w:rPr>
        <w:fldChar w:fldCharType="begin"/>
      </w:r>
      <w:r w:rsidRPr="00205C7B">
        <w:rPr>
          <w:rFonts w:ascii="Arial" w:hAnsi="Arial" w:cs="Arial"/>
          <w:b/>
          <w:color w:val="0070C0"/>
          <w:sz w:val="20"/>
          <w:szCs w:val="20"/>
        </w:rPr>
        <w:instrText xml:space="preserve"> SEQ Таблица \* ARABIC </w:instrText>
      </w:r>
      <w:r w:rsidRPr="00205C7B">
        <w:rPr>
          <w:rFonts w:ascii="Arial" w:hAnsi="Arial" w:cs="Arial"/>
          <w:b/>
          <w:color w:val="0070C0"/>
          <w:sz w:val="20"/>
          <w:szCs w:val="20"/>
        </w:rPr>
        <w:fldChar w:fldCharType="separate"/>
      </w:r>
      <w:r w:rsidR="0023010D">
        <w:rPr>
          <w:rFonts w:ascii="Arial" w:hAnsi="Arial" w:cs="Arial"/>
          <w:b/>
          <w:noProof/>
          <w:color w:val="0070C0"/>
          <w:sz w:val="20"/>
          <w:szCs w:val="20"/>
        </w:rPr>
        <w:t>59</w:t>
      </w:r>
      <w:r w:rsidRPr="00205C7B">
        <w:rPr>
          <w:rFonts w:ascii="Arial" w:hAnsi="Arial" w:cs="Arial"/>
          <w:b/>
          <w:color w:val="0070C0"/>
          <w:sz w:val="20"/>
          <w:szCs w:val="20"/>
        </w:rPr>
        <w:fldChar w:fldCharType="end"/>
      </w:r>
      <w:r w:rsidR="00047E2D">
        <w:rPr>
          <w:rFonts w:ascii="Arial" w:hAnsi="Arial" w:cs="Arial"/>
          <w:b/>
          <w:color w:val="0070C0"/>
          <w:sz w:val="20"/>
          <w:szCs w:val="20"/>
        </w:rPr>
        <w:t>.</w:t>
      </w:r>
      <w:r w:rsidRPr="00205C7B">
        <w:rPr>
          <w:rFonts w:ascii="Arial" w:hAnsi="Arial" w:cs="Arial"/>
          <w:b/>
          <w:color w:val="0070C0"/>
          <w:sz w:val="20"/>
          <w:szCs w:val="20"/>
        </w:rPr>
        <w:t xml:space="preserve"> </w:t>
      </w:r>
      <w:r w:rsidRPr="00205C7B">
        <w:rPr>
          <w:rFonts w:ascii="Arial" w:hAnsi="Arial" w:cs="Arial"/>
          <w:b/>
          <w:iCs/>
          <w:color w:val="0070C0"/>
          <w:sz w:val="20"/>
          <w:szCs w:val="20"/>
        </w:rPr>
        <w:t>Виждания на бенефициентите по мярка 223 за принос на мярката към нейните цели</w:t>
      </w:r>
      <w:bookmarkEnd w:id="152"/>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2"/>
        <w:gridCol w:w="3119"/>
      </w:tblGrid>
      <w:tr w:rsidR="00BD36BB" w:rsidRPr="00205C7B" w14:paraId="2F1AB66B" w14:textId="77777777" w:rsidTr="00213E30">
        <w:trPr>
          <w:trHeight w:val="371"/>
        </w:trPr>
        <w:tc>
          <w:tcPr>
            <w:tcW w:w="6232" w:type="dxa"/>
            <w:shd w:val="clear" w:color="auto" w:fill="1F4E79" w:themeFill="accent1" w:themeFillShade="80"/>
            <w:vAlign w:val="center"/>
          </w:tcPr>
          <w:p w14:paraId="1E30B46B" w14:textId="77777777" w:rsidR="00BD36BB" w:rsidRPr="00205C7B" w:rsidRDefault="00BD36BB" w:rsidP="0039326F">
            <w:pPr>
              <w:spacing w:after="0" w:line="240" w:lineRule="auto"/>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Принос на мярка 2</w:t>
            </w:r>
            <w:r w:rsidR="0039326F" w:rsidRPr="00205C7B">
              <w:rPr>
                <w:rFonts w:ascii="Arial" w:eastAsia="Times New Roman" w:hAnsi="Arial" w:cs="Arial"/>
                <w:b/>
                <w:color w:val="FFFFFF" w:themeColor="background1"/>
                <w:sz w:val="20"/>
                <w:szCs w:val="20"/>
                <w:lang w:val="en-US" w:eastAsia="bg-BG"/>
              </w:rPr>
              <w:t>23</w:t>
            </w:r>
            <w:r w:rsidRPr="00205C7B">
              <w:rPr>
                <w:rFonts w:ascii="Arial" w:eastAsia="Times New Roman" w:hAnsi="Arial" w:cs="Arial"/>
                <w:b/>
                <w:color w:val="FFFFFF" w:themeColor="background1"/>
                <w:sz w:val="20"/>
                <w:szCs w:val="20"/>
                <w:lang w:eastAsia="bg-BG"/>
              </w:rPr>
              <w:t xml:space="preserve"> към</w:t>
            </w:r>
            <w:r w:rsidR="00213E30">
              <w:rPr>
                <w:rFonts w:ascii="Arial" w:eastAsia="Times New Roman" w:hAnsi="Arial" w:cs="Arial"/>
                <w:b/>
                <w:color w:val="FFFFFF" w:themeColor="background1"/>
                <w:sz w:val="20"/>
                <w:szCs w:val="20"/>
                <w:lang w:eastAsia="bg-BG"/>
              </w:rPr>
              <w:t>:</w:t>
            </w:r>
          </w:p>
        </w:tc>
        <w:tc>
          <w:tcPr>
            <w:tcW w:w="3119" w:type="dxa"/>
            <w:shd w:val="clear" w:color="auto" w:fill="1F4E79" w:themeFill="accent1" w:themeFillShade="80"/>
            <w:noWrap/>
            <w:vAlign w:val="center"/>
          </w:tcPr>
          <w:p w14:paraId="4D862A89" w14:textId="77777777" w:rsidR="00BD36BB" w:rsidRPr="00205C7B" w:rsidRDefault="00BD36BB" w:rsidP="00852D69">
            <w:pPr>
              <w:spacing w:after="0" w:line="240" w:lineRule="auto"/>
              <w:jc w:val="right"/>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Изключително много и много</w:t>
            </w:r>
          </w:p>
        </w:tc>
      </w:tr>
      <w:tr w:rsidR="00BD36BB" w:rsidRPr="00205C7B" w14:paraId="76EAF08A" w14:textId="77777777" w:rsidTr="00852D69">
        <w:trPr>
          <w:trHeight w:val="308"/>
        </w:trPr>
        <w:tc>
          <w:tcPr>
            <w:tcW w:w="6232" w:type="dxa"/>
            <w:shd w:val="clear" w:color="auto" w:fill="auto"/>
            <w:vAlign w:val="center"/>
          </w:tcPr>
          <w:p w14:paraId="2ED4E8E2" w14:textId="77777777" w:rsidR="00BD36BB" w:rsidRPr="00205C7B" w:rsidRDefault="00BD36BB" w:rsidP="0039326F">
            <w:pPr>
              <w:spacing w:after="0" w:line="240" w:lineRule="auto"/>
              <w:rPr>
                <w:rFonts w:ascii="Arial" w:hAnsi="Arial" w:cs="Arial"/>
                <w:color w:val="000000"/>
                <w:sz w:val="20"/>
                <w:szCs w:val="20"/>
              </w:rPr>
            </w:pPr>
            <w:r w:rsidRPr="00205C7B">
              <w:rPr>
                <w:rFonts w:ascii="Arial" w:hAnsi="Arial" w:cs="Arial"/>
                <w:color w:val="000000"/>
                <w:sz w:val="20"/>
                <w:szCs w:val="20"/>
              </w:rPr>
              <w:t>Създаване на горски площи</w:t>
            </w:r>
          </w:p>
        </w:tc>
        <w:tc>
          <w:tcPr>
            <w:tcW w:w="3119" w:type="dxa"/>
            <w:shd w:val="clear" w:color="auto" w:fill="auto"/>
            <w:noWrap/>
            <w:vAlign w:val="bottom"/>
          </w:tcPr>
          <w:p w14:paraId="38F700EA" w14:textId="77777777" w:rsidR="00BD36BB" w:rsidRPr="00205C7B" w:rsidRDefault="00BD36BB" w:rsidP="00BD36BB">
            <w:pPr>
              <w:spacing w:after="0" w:line="240" w:lineRule="auto"/>
              <w:jc w:val="right"/>
              <w:rPr>
                <w:rFonts w:ascii="Arial" w:hAnsi="Arial" w:cs="Arial"/>
                <w:color w:val="000000"/>
                <w:sz w:val="20"/>
                <w:szCs w:val="20"/>
              </w:rPr>
            </w:pPr>
            <w:r w:rsidRPr="00205C7B">
              <w:rPr>
                <w:rFonts w:ascii="Arial" w:hAnsi="Arial" w:cs="Arial"/>
                <w:color w:val="000000"/>
                <w:sz w:val="20"/>
                <w:szCs w:val="20"/>
              </w:rPr>
              <w:t>100%</w:t>
            </w:r>
          </w:p>
        </w:tc>
      </w:tr>
      <w:tr w:rsidR="00BD36BB" w:rsidRPr="00205C7B" w14:paraId="67C5E8FD" w14:textId="77777777" w:rsidTr="00852D69">
        <w:trPr>
          <w:trHeight w:val="269"/>
        </w:trPr>
        <w:tc>
          <w:tcPr>
            <w:tcW w:w="6232" w:type="dxa"/>
            <w:shd w:val="clear" w:color="auto" w:fill="auto"/>
            <w:vAlign w:val="center"/>
          </w:tcPr>
          <w:p w14:paraId="2E1ACEAD" w14:textId="77777777" w:rsidR="00BD36BB" w:rsidRPr="00205C7B" w:rsidRDefault="00BD36BB" w:rsidP="0039326F">
            <w:pPr>
              <w:spacing w:after="0" w:line="240" w:lineRule="auto"/>
              <w:rPr>
                <w:rFonts w:ascii="Arial" w:hAnsi="Arial" w:cs="Arial"/>
                <w:color w:val="000000"/>
                <w:sz w:val="20"/>
                <w:szCs w:val="20"/>
              </w:rPr>
            </w:pPr>
            <w:r w:rsidRPr="00205C7B">
              <w:rPr>
                <w:rFonts w:ascii="Arial" w:hAnsi="Arial" w:cs="Arial"/>
                <w:color w:val="000000"/>
                <w:sz w:val="20"/>
                <w:szCs w:val="20"/>
              </w:rPr>
              <w:t>Поддържане на екологичните функции на горите</w:t>
            </w:r>
          </w:p>
        </w:tc>
        <w:tc>
          <w:tcPr>
            <w:tcW w:w="3119" w:type="dxa"/>
            <w:shd w:val="clear" w:color="auto" w:fill="auto"/>
            <w:noWrap/>
            <w:vAlign w:val="bottom"/>
          </w:tcPr>
          <w:p w14:paraId="55779618" w14:textId="77777777" w:rsidR="00BD36BB" w:rsidRPr="00205C7B" w:rsidRDefault="00BD36BB" w:rsidP="00BD36BB">
            <w:pPr>
              <w:spacing w:after="0" w:line="240" w:lineRule="auto"/>
              <w:jc w:val="right"/>
              <w:rPr>
                <w:rFonts w:ascii="Arial" w:hAnsi="Arial" w:cs="Arial"/>
                <w:color w:val="000000"/>
                <w:sz w:val="20"/>
                <w:szCs w:val="20"/>
              </w:rPr>
            </w:pPr>
            <w:r w:rsidRPr="00205C7B">
              <w:rPr>
                <w:rFonts w:ascii="Arial" w:hAnsi="Arial" w:cs="Arial"/>
                <w:color w:val="000000"/>
                <w:sz w:val="20"/>
                <w:szCs w:val="20"/>
              </w:rPr>
              <w:t>80%</w:t>
            </w:r>
          </w:p>
        </w:tc>
      </w:tr>
      <w:tr w:rsidR="00BD36BB" w:rsidRPr="00205C7B" w14:paraId="2DBC01EA" w14:textId="77777777" w:rsidTr="00852D69">
        <w:trPr>
          <w:trHeight w:val="300"/>
        </w:trPr>
        <w:tc>
          <w:tcPr>
            <w:tcW w:w="6232" w:type="dxa"/>
            <w:shd w:val="clear" w:color="auto" w:fill="auto"/>
            <w:vAlign w:val="center"/>
          </w:tcPr>
          <w:p w14:paraId="2E881CAF" w14:textId="77777777" w:rsidR="00BD36BB" w:rsidRPr="00205C7B" w:rsidRDefault="00BD36BB" w:rsidP="0039326F">
            <w:pPr>
              <w:spacing w:after="0" w:line="240" w:lineRule="auto"/>
              <w:rPr>
                <w:rFonts w:ascii="Arial" w:hAnsi="Arial" w:cs="Arial"/>
                <w:color w:val="000000"/>
                <w:sz w:val="20"/>
                <w:szCs w:val="20"/>
              </w:rPr>
            </w:pPr>
            <w:r w:rsidRPr="00205C7B">
              <w:rPr>
                <w:rFonts w:ascii="Arial" w:hAnsi="Arial" w:cs="Arial"/>
                <w:color w:val="000000"/>
                <w:sz w:val="20"/>
                <w:szCs w:val="20"/>
              </w:rPr>
              <w:t>Предотвратяване на природни бедствия и пожари</w:t>
            </w:r>
          </w:p>
        </w:tc>
        <w:tc>
          <w:tcPr>
            <w:tcW w:w="3119" w:type="dxa"/>
            <w:shd w:val="clear" w:color="auto" w:fill="auto"/>
            <w:noWrap/>
            <w:vAlign w:val="bottom"/>
          </w:tcPr>
          <w:p w14:paraId="36C13932" w14:textId="77777777" w:rsidR="00BD36BB" w:rsidRPr="00205C7B" w:rsidRDefault="00BD36BB" w:rsidP="00BD36BB">
            <w:pPr>
              <w:spacing w:after="0" w:line="240" w:lineRule="auto"/>
              <w:jc w:val="right"/>
              <w:rPr>
                <w:rFonts w:ascii="Arial" w:hAnsi="Arial" w:cs="Arial"/>
                <w:color w:val="000000"/>
                <w:sz w:val="20"/>
                <w:szCs w:val="20"/>
              </w:rPr>
            </w:pPr>
            <w:r w:rsidRPr="00205C7B">
              <w:rPr>
                <w:rFonts w:ascii="Arial" w:hAnsi="Arial" w:cs="Arial"/>
                <w:color w:val="000000"/>
                <w:sz w:val="20"/>
                <w:szCs w:val="20"/>
              </w:rPr>
              <w:t>60%</w:t>
            </w:r>
          </w:p>
        </w:tc>
      </w:tr>
      <w:tr w:rsidR="00BD36BB" w:rsidRPr="00205C7B" w14:paraId="00B6E69D" w14:textId="77777777" w:rsidTr="00852D69">
        <w:trPr>
          <w:trHeight w:val="300"/>
        </w:trPr>
        <w:tc>
          <w:tcPr>
            <w:tcW w:w="6232" w:type="dxa"/>
            <w:shd w:val="clear" w:color="auto" w:fill="auto"/>
            <w:vAlign w:val="center"/>
          </w:tcPr>
          <w:p w14:paraId="20A2442D" w14:textId="77777777" w:rsidR="00BD36BB" w:rsidRPr="00205C7B" w:rsidRDefault="00BD36BB" w:rsidP="0039326F">
            <w:pPr>
              <w:spacing w:after="0" w:line="240" w:lineRule="auto"/>
              <w:rPr>
                <w:rFonts w:ascii="Arial" w:hAnsi="Arial" w:cs="Arial"/>
                <w:color w:val="000000"/>
                <w:sz w:val="20"/>
                <w:szCs w:val="20"/>
              </w:rPr>
            </w:pPr>
            <w:r w:rsidRPr="00205C7B">
              <w:rPr>
                <w:rFonts w:ascii="Arial" w:hAnsi="Arial" w:cs="Arial"/>
                <w:color w:val="000000"/>
                <w:sz w:val="20"/>
                <w:szCs w:val="20"/>
              </w:rPr>
              <w:t>Поддържане на ландшафта</w:t>
            </w:r>
          </w:p>
        </w:tc>
        <w:tc>
          <w:tcPr>
            <w:tcW w:w="3119" w:type="dxa"/>
            <w:shd w:val="clear" w:color="auto" w:fill="auto"/>
            <w:noWrap/>
            <w:vAlign w:val="bottom"/>
          </w:tcPr>
          <w:p w14:paraId="0C1E47D8" w14:textId="77777777" w:rsidR="00BD36BB" w:rsidRPr="00205C7B" w:rsidRDefault="00BD36BB" w:rsidP="00BD36BB">
            <w:pPr>
              <w:spacing w:after="0" w:line="240" w:lineRule="auto"/>
              <w:jc w:val="right"/>
              <w:rPr>
                <w:rFonts w:ascii="Arial" w:hAnsi="Arial" w:cs="Arial"/>
                <w:color w:val="000000"/>
                <w:sz w:val="20"/>
                <w:szCs w:val="20"/>
              </w:rPr>
            </w:pPr>
            <w:r w:rsidRPr="00205C7B">
              <w:rPr>
                <w:rFonts w:ascii="Arial" w:hAnsi="Arial" w:cs="Arial"/>
                <w:color w:val="000000"/>
                <w:sz w:val="20"/>
                <w:szCs w:val="20"/>
              </w:rPr>
              <w:t>100%</w:t>
            </w:r>
          </w:p>
        </w:tc>
      </w:tr>
      <w:tr w:rsidR="00BD36BB" w:rsidRPr="00205C7B" w14:paraId="534711FB" w14:textId="77777777" w:rsidTr="00852D69">
        <w:trPr>
          <w:trHeight w:val="360"/>
        </w:trPr>
        <w:tc>
          <w:tcPr>
            <w:tcW w:w="6232" w:type="dxa"/>
            <w:shd w:val="clear" w:color="auto" w:fill="auto"/>
            <w:vAlign w:val="center"/>
          </w:tcPr>
          <w:p w14:paraId="03B9D0E8" w14:textId="77777777" w:rsidR="00BD36BB" w:rsidRPr="00205C7B" w:rsidRDefault="00BD36BB" w:rsidP="00BD36BB">
            <w:pPr>
              <w:spacing w:after="0" w:line="240" w:lineRule="auto"/>
              <w:rPr>
                <w:rFonts w:ascii="Arial" w:hAnsi="Arial" w:cs="Arial"/>
                <w:color w:val="000000"/>
                <w:sz w:val="20"/>
                <w:szCs w:val="20"/>
              </w:rPr>
            </w:pPr>
            <w:r w:rsidRPr="00205C7B">
              <w:rPr>
                <w:rFonts w:ascii="Arial" w:hAnsi="Arial" w:cs="Arial"/>
                <w:color w:val="000000"/>
                <w:sz w:val="20"/>
                <w:szCs w:val="20"/>
              </w:rPr>
              <w:t>Смекчаване на климатичните промени</w:t>
            </w:r>
          </w:p>
        </w:tc>
        <w:tc>
          <w:tcPr>
            <w:tcW w:w="3119" w:type="dxa"/>
            <w:shd w:val="clear" w:color="auto" w:fill="auto"/>
            <w:noWrap/>
            <w:vAlign w:val="bottom"/>
          </w:tcPr>
          <w:p w14:paraId="0A900CC8" w14:textId="77777777" w:rsidR="00BD36BB" w:rsidRPr="00205C7B" w:rsidRDefault="00BD36BB" w:rsidP="00BD36BB">
            <w:pPr>
              <w:spacing w:after="0" w:line="240" w:lineRule="auto"/>
              <w:jc w:val="right"/>
              <w:rPr>
                <w:rFonts w:ascii="Arial" w:hAnsi="Arial" w:cs="Arial"/>
                <w:color w:val="000000"/>
                <w:sz w:val="20"/>
                <w:szCs w:val="20"/>
              </w:rPr>
            </w:pPr>
            <w:r w:rsidRPr="00205C7B">
              <w:rPr>
                <w:rFonts w:ascii="Arial" w:hAnsi="Arial" w:cs="Arial"/>
                <w:color w:val="000000"/>
                <w:sz w:val="20"/>
                <w:szCs w:val="20"/>
              </w:rPr>
              <w:t>80%</w:t>
            </w:r>
          </w:p>
        </w:tc>
      </w:tr>
      <w:tr w:rsidR="00BD36BB" w:rsidRPr="00205C7B" w14:paraId="51548080" w14:textId="77777777" w:rsidTr="00852D69">
        <w:trPr>
          <w:trHeight w:val="300"/>
        </w:trPr>
        <w:tc>
          <w:tcPr>
            <w:tcW w:w="6232" w:type="dxa"/>
            <w:shd w:val="clear" w:color="auto" w:fill="auto"/>
            <w:vAlign w:val="center"/>
          </w:tcPr>
          <w:p w14:paraId="6889A307" w14:textId="77777777" w:rsidR="00BD36BB" w:rsidRPr="00205C7B" w:rsidRDefault="00BD36BB" w:rsidP="00BD36BB">
            <w:pPr>
              <w:spacing w:after="0" w:line="240" w:lineRule="auto"/>
              <w:rPr>
                <w:rFonts w:ascii="Arial" w:hAnsi="Arial" w:cs="Arial"/>
                <w:color w:val="000000"/>
                <w:sz w:val="20"/>
                <w:szCs w:val="20"/>
              </w:rPr>
            </w:pPr>
            <w:r w:rsidRPr="00205C7B">
              <w:rPr>
                <w:rFonts w:ascii="Arial" w:hAnsi="Arial" w:cs="Arial"/>
                <w:color w:val="000000"/>
                <w:sz w:val="20"/>
                <w:szCs w:val="20"/>
              </w:rPr>
              <w:t>Подобряване на околната среда</w:t>
            </w:r>
          </w:p>
        </w:tc>
        <w:tc>
          <w:tcPr>
            <w:tcW w:w="3119" w:type="dxa"/>
            <w:shd w:val="clear" w:color="auto" w:fill="auto"/>
            <w:noWrap/>
            <w:vAlign w:val="bottom"/>
          </w:tcPr>
          <w:p w14:paraId="03403596" w14:textId="77777777" w:rsidR="00BD36BB" w:rsidRPr="00205C7B" w:rsidRDefault="00BD36BB" w:rsidP="00BD36BB">
            <w:pPr>
              <w:spacing w:after="0" w:line="240" w:lineRule="auto"/>
              <w:jc w:val="right"/>
              <w:rPr>
                <w:rFonts w:ascii="Arial" w:hAnsi="Arial" w:cs="Arial"/>
                <w:color w:val="000000"/>
                <w:sz w:val="20"/>
                <w:szCs w:val="20"/>
              </w:rPr>
            </w:pPr>
            <w:r w:rsidRPr="00205C7B">
              <w:rPr>
                <w:rFonts w:ascii="Arial" w:hAnsi="Arial" w:cs="Arial"/>
                <w:color w:val="000000"/>
                <w:sz w:val="20"/>
                <w:szCs w:val="20"/>
              </w:rPr>
              <w:t>80%</w:t>
            </w:r>
          </w:p>
        </w:tc>
      </w:tr>
      <w:tr w:rsidR="00BD36BB" w:rsidRPr="00205C7B" w14:paraId="0120EE31" w14:textId="77777777" w:rsidTr="00852D69">
        <w:trPr>
          <w:trHeight w:val="300"/>
        </w:trPr>
        <w:tc>
          <w:tcPr>
            <w:tcW w:w="6232" w:type="dxa"/>
            <w:shd w:val="clear" w:color="auto" w:fill="auto"/>
            <w:vAlign w:val="center"/>
          </w:tcPr>
          <w:p w14:paraId="31D29382" w14:textId="77777777" w:rsidR="00BD36BB" w:rsidRPr="00205C7B" w:rsidRDefault="00BD36BB" w:rsidP="00BD36BB">
            <w:pPr>
              <w:spacing w:after="0" w:line="240" w:lineRule="auto"/>
              <w:rPr>
                <w:rFonts w:ascii="Arial" w:hAnsi="Arial" w:cs="Arial"/>
                <w:color w:val="000000"/>
                <w:sz w:val="20"/>
                <w:szCs w:val="20"/>
              </w:rPr>
            </w:pPr>
            <w:r w:rsidRPr="00205C7B">
              <w:rPr>
                <w:rFonts w:ascii="Arial" w:hAnsi="Arial" w:cs="Arial"/>
                <w:color w:val="000000"/>
                <w:sz w:val="20"/>
                <w:szCs w:val="20"/>
              </w:rPr>
              <w:t>Поддръжка на ВПС на горското стопанство</w:t>
            </w:r>
          </w:p>
        </w:tc>
        <w:tc>
          <w:tcPr>
            <w:tcW w:w="3119" w:type="dxa"/>
            <w:shd w:val="clear" w:color="auto" w:fill="auto"/>
            <w:noWrap/>
            <w:vAlign w:val="bottom"/>
          </w:tcPr>
          <w:p w14:paraId="7671A702" w14:textId="77777777" w:rsidR="00BD36BB" w:rsidRPr="00205C7B" w:rsidRDefault="00BD36BB" w:rsidP="00BD36BB">
            <w:pPr>
              <w:spacing w:after="0" w:line="240" w:lineRule="auto"/>
              <w:jc w:val="right"/>
              <w:rPr>
                <w:rFonts w:ascii="Arial" w:hAnsi="Arial" w:cs="Arial"/>
                <w:color w:val="000000"/>
                <w:sz w:val="20"/>
                <w:szCs w:val="20"/>
              </w:rPr>
            </w:pPr>
            <w:r w:rsidRPr="00205C7B">
              <w:rPr>
                <w:rFonts w:ascii="Arial" w:hAnsi="Arial" w:cs="Arial"/>
                <w:color w:val="000000"/>
                <w:sz w:val="20"/>
                <w:szCs w:val="20"/>
              </w:rPr>
              <w:t>100%</w:t>
            </w:r>
          </w:p>
        </w:tc>
      </w:tr>
    </w:tbl>
    <w:p w14:paraId="675E8805" w14:textId="77777777" w:rsidR="00BD36BB" w:rsidRPr="00205C7B" w:rsidRDefault="00BD36BB" w:rsidP="00BD36BB">
      <w:pPr>
        <w:pStyle w:val="DefaultText"/>
        <w:spacing w:after="120" w:line="300" w:lineRule="atLeast"/>
        <w:rPr>
          <w:szCs w:val="18"/>
          <w:lang w:val="bg-BG"/>
        </w:rPr>
      </w:pPr>
      <w:r w:rsidRPr="00205C7B">
        <w:rPr>
          <w:szCs w:val="18"/>
          <w:lang w:val="bg-BG"/>
        </w:rPr>
        <w:t>Източник: Теренни проучвания сред 5 бенефициента по мярка 223</w:t>
      </w:r>
    </w:p>
    <w:p w14:paraId="309506D4" w14:textId="77777777" w:rsidR="00E8617E" w:rsidRPr="00BC513A" w:rsidRDefault="00E8617E" w:rsidP="00E8617E">
      <w:pPr>
        <w:pStyle w:val="DefaultText"/>
        <w:keepNext/>
        <w:spacing w:before="240" w:after="120" w:line="300" w:lineRule="atLeast"/>
        <w:ind w:firstLine="709"/>
        <w:rPr>
          <w:i/>
          <w:sz w:val="22"/>
          <w:szCs w:val="22"/>
          <w:lang w:val="bg-BG"/>
        </w:rPr>
      </w:pPr>
      <w:r w:rsidRPr="00205C7B">
        <w:rPr>
          <w:i/>
          <w:sz w:val="22"/>
          <w:szCs w:val="22"/>
          <w:lang w:val="bg-BG"/>
        </w:rPr>
        <w:t>226. Възстановяване на горския потенциал и въвеждане на превантивни</w:t>
      </w:r>
      <w:r w:rsidRPr="00BC513A">
        <w:rPr>
          <w:i/>
          <w:sz w:val="22"/>
          <w:szCs w:val="22"/>
          <w:lang w:val="bg-BG"/>
        </w:rPr>
        <w:t xml:space="preserve"> дейности</w:t>
      </w:r>
    </w:p>
    <w:p w14:paraId="6033BE3E"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С Мярка 226 се цели възстановяване на горите, повредени от горски пожари и други природни бедствия и </w:t>
      </w:r>
      <w:r w:rsidR="00BD36BB">
        <w:rPr>
          <w:sz w:val="22"/>
          <w:szCs w:val="22"/>
          <w:lang w:val="bg-BG"/>
        </w:rPr>
        <w:t>предприемане</w:t>
      </w:r>
      <w:r w:rsidRPr="00BC513A">
        <w:rPr>
          <w:sz w:val="22"/>
          <w:szCs w:val="22"/>
          <w:lang w:val="bg-BG"/>
        </w:rPr>
        <w:t xml:space="preserve"> на превантивни дейности за борба с горските пожари на цялата територия на страната. Така собствениците на гори могат да управляват устойчиво своите горски стопанства, като имат принос за поддържането на ландшафта и съществуващото биоразнообразие.</w:t>
      </w:r>
    </w:p>
    <w:p w14:paraId="3C163873"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Анализът на постигане на целите показва, че изпълнението на поставената цел на индикатора „</w:t>
      </w:r>
      <w:r w:rsidRPr="00BC513A">
        <w:rPr>
          <w:i/>
          <w:sz w:val="22"/>
          <w:szCs w:val="22"/>
          <w:lang w:val="bg-BG"/>
        </w:rPr>
        <w:t>брой подпомогнати дейности</w:t>
      </w:r>
      <w:r w:rsidRPr="00BC513A">
        <w:rPr>
          <w:sz w:val="22"/>
          <w:szCs w:val="22"/>
          <w:lang w:val="bg-BG"/>
        </w:rPr>
        <w:t xml:space="preserve">“ е 13.7% на база на проекти с плащане, а на индикатора за залесени площи изпълнението е 196%  на база проекти с плащане, като поставената цел е от 170 000 ha. </w:t>
      </w:r>
    </w:p>
    <w:p w14:paraId="3B806B25" w14:textId="77777777" w:rsidR="00E8617E" w:rsidRPr="00BC513A" w:rsidRDefault="00E8617E" w:rsidP="00E8617E">
      <w:pPr>
        <w:keepNext/>
        <w:spacing w:before="240" w:after="0" w:line="280" w:lineRule="atLeast"/>
        <w:jc w:val="both"/>
        <w:rPr>
          <w:rFonts w:ascii="Arial" w:hAnsi="Arial" w:cs="Arial"/>
          <w:b/>
          <w:iCs/>
          <w:color w:val="0070C0"/>
        </w:rPr>
      </w:pPr>
      <w:bookmarkStart w:id="153" w:name="_Toc391899951"/>
      <w:bookmarkStart w:id="154" w:name="_Toc504136232"/>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60</w:t>
      </w:r>
      <w:r w:rsidRPr="00BC513A">
        <w:rPr>
          <w:rFonts w:ascii="Arial" w:hAnsi="Arial" w:cs="Arial"/>
          <w:b/>
          <w:color w:val="0070C0"/>
          <w:sz w:val="20"/>
          <w:szCs w:val="20"/>
        </w:rPr>
        <w:fldChar w:fldCharType="end"/>
      </w:r>
      <w:r w:rsidRPr="00BC513A">
        <w:rPr>
          <w:rFonts w:ascii="Arial" w:hAnsi="Arial" w:cs="Arial"/>
          <w:b/>
          <w:color w:val="0070C0"/>
          <w:sz w:val="20"/>
          <w:szCs w:val="20"/>
        </w:rPr>
        <w:t>. Постигане целите за възстановителни дейности по мярка 226 на база одобрени заявления и проекти с плащане към 31.12. 2015 г.</w:t>
      </w:r>
      <w:bookmarkEnd w:id="153"/>
      <w:bookmarkEnd w:id="154"/>
    </w:p>
    <w:tbl>
      <w:tblPr>
        <w:tblW w:w="8966" w:type="dxa"/>
        <w:jc w:val="center"/>
        <w:tblBorders>
          <w:top w:val="threeDEmboss" w:sz="6" w:space="0" w:color="595959"/>
          <w:left w:val="threeDEmboss" w:sz="6" w:space="0" w:color="595959"/>
          <w:bottom w:val="threeDEmboss" w:sz="6" w:space="0" w:color="595959"/>
          <w:right w:val="threeDEmboss" w:sz="6" w:space="0" w:color="595959"/>
          <w:insideH w:val="single" w:sz="6" w:space="0" w:color="595959"/>
          <w:insideV w:val="single" w:sz="6" w:space="0" w:color="595959"/>
        </w:tblBorders>
        <w:tblLook w:val="04A0" w:firstRow="1" w:lastRow="0" w:firstColumn="1" w:lastColumn="0" w:noHBand="0" w:noVBand="1"/>
      </w:tblPr>
      <w:tblGrid>
        <w:gridCol w:w="4909"/>
        <w:gridCol w:w="1280"/>
        <w:gridCol w:w="1356"/>
        <w:gridCol w:w="1421"/>
      </w:tblGrid>
      <w:tr w:rsidR="00E8617E" w:rsidRPr="00BC513A" w14:paraId="584C9B83" w14:textId="77777777" w:rsidTr="00922731">
        <w:trPr>
          <w:trHeight w:val="513"/>
          <w:jc w:val="center"/>
        </w:trPr>
        <w:tc>
          <w:tcPr>
            <w:tcW w:w="4909"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489B3C56" w14:textId="77777777" w:rsidR="00E8617E" w:rsidRPr="00BC513A" w:rsidRDefault="00213E30" w:rsidP="00922731">
            <w:pPr>
              <w:spacing w:after="0" w:line="240" w:lineRule="auto"/>
              <w:jc w:val="center"/>
              <w:rPr>
                <w:rFonts w:ascii="Arial" w:hAnsi="Arial" w:cs="Arial"/>
                <w:b/>
                <w:color w:val="FFFFFF" w:themeColor="background1"/>
                <w:sz w:val="20"/>
                <w:szCs w:val="20"/>
              </w:rPr>
            </w:pPr>
            <w:r>
              <w:rPr>
                <w:rFonts w:ascii="Arial" w:hAnsi="Arial" w:cs="Arial"/>
                <w:b/>
                <w:color w:val="FFFFFF" w:themeColor="background1"/>
                <w:sz w:val="20"/>
                <w:szCs w:val="20"/>
              </w:rPr>
              <w:t>И</w:t>
            </w:r>
            <w:r w:rsidR="00E8617E" w:rsidRPr="00BC513A">
              <w:rPr>
                <w:rFonts w:ascii="Arial" w:hAnsi="Arial" w:cs="Arial"/>
                <w:b/>
                <w:color w:val="FFFFFF" w:themeColor="background1"/>
                <w:sz w:val="20"/>
                <w:szCs w:val="20"/>
              </w:rPr>
              <w:t>ндикатор</w:t>
            </w:r>
          </w:p>
        </w:tc>
        <w:tc>
          <w:tcPr>
            <w:tcW w:w="1280"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06669D8A"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 </w:t>
            </w:r>
          </w:p>
        </w:tc>
        <w:tc>
          <w:tcPr>
            <w:tcW w:w="2777" w:type="dxa"/>
            <w:gridSpan w:val="2"/>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29B678FF"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дейности по проекти с плащане </w:t>
            </w:r>
          </w:p>
        </w:tc>
      </w:tr>
      <w:tr w:rsidR="00E8617E" w:rsidRPr="00BC513A" w14:paraId="77DE4F22" w14:textId="77777777" w:rsidTr="00922731">
        <w:trPr>
          <w:trHeight w:val="255"/>
          <w:jc w:val="center"/>
        </w:trPr>
        <w:tc>
          <w:tcPr>
            <w:tcW w:w="4909"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0DF6D85E" w14:textId="77777777" w:rsidR="00E8617E" w:rsidRPr="00BC513A" w:rsidRDefault="00E8617E" w:rsidP="00922731">
            <w:pPr>
              <w:spacing w:after="0" w:line="240" w:lineRule="auto"/>
              <w:jc w:val="center"/>
              <w:rPr>
                <w:rFonts w:ascii="Arial" w:hAnsi="Arial" w:cs="Arial"/>
                <w:b/>
                <w:color w:val="FFFFFF" w:themeColor="background1"/>
                <w:sz w:val="20"/>
                <w:szCs w:val="20"/>
              </w:rPr>
            </w:pPr>
          </w:p>
        </w:tc>
        <w:tc>
          <w:tcPr>
            <w:tcW w:w="1280"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51D75794" w14:textId="77777777" w:rsidR="00E8617E" w:rsidRPr="00BC513A" w:rsidRDefault="00E8617E" w:rsidP="00922731">
            <w:pPr>
              <w:spacing w:after="0" w:line="240" w:lineRule="auto"/>
              <w:jc w:val="center"/>
              <w:rPr>
                <w:rFonts w:ascii="Arial" w:hAnsi="Arial" w:cs="Arial"/>
                <w:b/>
                <w:color w:val="FFFFFF" w:themeColor="background1"/>
                <w:sz w:val="20"/>
                <w:szCs w:val="20"/>
              </w:rPr>
            </w:pPr>
          </w:p>
        </w:tc>
        <w:tc>
          <w:tcPr>
            <w:tcW w:w="1356"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4D47A2E7"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стойност</w:t>
            </w:r>
          </w:p>
        </w:tc>
        <w:tc>
          <w:tcPr>
            <w:tcW w:w="1421"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50416576"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w:t>
            </w:r>
          </w:p>
        </w:tc>
      </w:tr>
      <w:tr w:rsidR="00E8617E" w:rsidRPr="00BC513A" w14:paraId="18BD0CD1" w14:textId="77777777" w:rsidTr="00922731">
        <w:trPr>
          <w:trHeight w:val="435"/>
          <w:jc w:val="center"/>
        </w:trPr>
        <w:tc>
          <w:tcPr>
            <w:tcW w:w="4909" w:type="dxa"/>
            <w:tcBorders>
              <w:top w:val="single" w:sz="4" w:space="0" w:color="auto"/>
              <w:left w:val="single" w:sz="4" w:space="0" w:color="auto"/>
              <w:bottom w:val="single" w:sz="4" w:space="0" w:color="auto"/>
              <w:right w:val="single" w:sz="4" w:space="0" w:color="auto"/>
            </w:tcBorders>
            <w:vAlign w:val="center"/>
            <w:hideMark/>
          </w:tcPr>
          <w:p w14:paraId="268EC171"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брой подпомогнати дейности*</w:t>
            </w:r>
          </w:p>
        </w:tc>
        <w:tc>
          <w:tcPr>
            <w:tcW w:w="1280" w:type="dxa"/>
            <w:tcBorders>
              <w:top w:val="single" w:sz="4" w:space="0" w:color="auto"/>
              <w:left w:val="single" w:sz="4" w:space="0" w:color="auto"/>
              <w:bottom w:val="single" w:sz="4" w:space="0" w:color="auto"/>
              <w:right w:val="single" w:sz="4" w:space="0" w:color="auto"/>
            </w:tcBorders>
            <w:noWrap/>
            <w:vAlign w:val="center"/>
            <w:hideMark/>
          </w:tcPr>
          <w:p w14:paraId="4D9FC9B7"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2 000</w:t>
            </w:r>
          </w:p>
        </w:tc>
        <w:tc>
          <w:tcPr>
            <w:tcW w:w="1356" w:type="dxa"/>
            <w:tcBorders>
              <w:top w:val="single" w:sz="4" w:space="0" w:color="auto"/>
              <w:left w:val="single" w:sz="4" w:space="0" w:color="auto"/>
              <w:bottom w:val="single" w:sz="4" w:space="0" w:color="auto"/>
              <w:right w:val="single" w:sz="4" w:space="0" w:color="auto"/>
            </w:tcBorders>
            <w:noWrap/>
            <w:vAlign w:val="center"/>
            <w:hideMark/>
          </w:tcPr>
          <w:p w14:paraId="060A5E21"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274</w:t>
            </w:r>
          </w:p>
        </w:tc>
        <w:tc>
          <w:tcPr>
            <w:tcW w:w="1421" w:type="dxa"/>
            <w:tcBorders>
              <w:top w:val="single" w:sz="4" w:space="0" w:color="auto"/>
              <w:left w:val="single" w:sz="4" w:space="0" w:color="auto"/>
              <w:bottom w:val="single" w:sz="4" w:space="0" w:color="auto"/>
              <w:right w:val="single" w:sz="4" w:space="0" w:color="auto"/>
            </w:tcBorders>
            <w:noWrap/>
            <w:vAlign w:val="center"/>
            <w:hideMark/>
          </w:tcPr>
          <w:p w14:paraId="56C9DA0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13,7%</w:t>
            </w:r>
          </w:p>
        </w:tc>
      </w:tr>
      <w:tr w:rsidR="00E8617E" w:rsidRPr="00BC513A" w14:paraId="696814B3" w14:textId="77777777" w:rsidTr="00922731">
        <w:trPr>
          <w:trHeight w:val="435"/>
          <w:jc w:val="center"/>
        </w:trPr>
        <w:tc>
          <w:tcPr>
            <w:tcW w:w="4909" w:type="dxa"/>
            <w:tcBorders>
              <w:top w:val="single" w:sz="4" w:space="0" w:color="auto"/>
              <w:left w:val="single" w:sz="4" w:space="0" w:color="auto"/>
              <w:bottom w:val="single" w:sz="4" w:space="0" w:color="auto"/>
              <w:right w:val="single" w:sz="4" w:space="0" w:color="auto"/>
            </w:tcBorders>
            <w:vAlign w:val="center"/>
            <w:hideMark/>
          </w:tcPr>
          <w:p w14:paraId="27A16719"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подпомогната площ увредени гори – ха</w:t>
            </w:r>
          </w:p>
        </w:tc>
        <w:tc>
          <w:tcPr>
            <w:tcW w:w="1280" w:type="dxa"/>
            <w:tcBorders>
              <w:top w:val="single" w:sz="4" w:space="0" w:color="auto"/>
              <w:left w:val="single" w:sz="4" w:space="0" w:color="auto"/>
              <w:bottom w:val="single" w:sz="4" w:space="0" w:color="auto"/>
              <w:right w:val="single" w:sz="4" w:space="0" w:color="auto"/>
            </w:tcBorders>
            <w:noWrap/>
            <w:vAlign w:val="center"/>
            <w:hideMark/>
          </w:tcPr>
          <w:p w14:paraId="75FCF442"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170 000</w:t>
            </w:r>
          </w:p>
        </w:tc>
        <w:tc>
          <w:tcPr>
            <w:tcW w:w="1356" w:type="dxa"/>
            <w:tcBorders>
              <w:top w:val="single" w:sz="4" w:space="0" w:color="auto"/>
              <w:left w:val="single" w:sz="4" w:space="0" w:color="auto"/>
              <w:bottom w:val="single" w:sz="4" w:space="0" w:color="auto"/>
              <w:right w:val="single" w:sz="4" w:space="0" w:color="auto"/>
            </w:tcBorders>
            <w:noWrap/>
            <w:vAlign w:val="center"/>
            <w:hideMark/>
          </w:tcPr>
          <w:p w14:paraId="0433817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333 194</w:t>
            </w:r>
          </w:p>
        </w:tc>
        <w:tc>
          <w:tcPr>
            <w:tcW w:w="1421" w:type="dxa"/>
            <w:tcBorders>
              <w:top w:val="single" w:sz="4" w:space="0" w:color="auto"/>
              <w:left w:val="single" w:sz="4" w:space="0" w:color="auto"/>
              <w:bottom w:val="single" w:sz="4" w:space="0" w:color="auto"/>
              <w:right w:val="single" w:sz="4" w:space="0" w:color="auto"/>
            </w:tcBorders>
            <w:noWrap/>
            <w:vAlign w:val="center"/>
            <w:hideMark/>
          </w:tcPr>
          <w:p w14:paraId="46F96A19"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196%</w:t>
            </w:r>
          </w:p>
        </w:tc>
      </w:tr>
    </w:tbl>
    <w:p w14:paraId="58EF0C24" w14:textId="77777777" w:rsidR="00E8617E" w:rsidRPr="00F07F15" w:rsidRDefault="00E8617E" w:rsidP="00E8617E">
      <w:pPr>
        <w:spacing w:after="0" w:line="280" w:lineRule="atLeast"/>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 в рамките на един проект може да има повече от една дейност</w:t>
      </w:r>
    </w:p>
    <w:p w14:paraId="65B1973E" w14:textId="77777777" w:rsidR="00E8617E" w:rsidRPr="00F07F15" w:rsidRDefault="00E8617E" w:rsidP="00E8617E">
      <w:pPr>
        <w:spacing w:after="120" w:line="280" w:lineRule="atLeast"/>
        <w:jc w:val="both"/>
        <w:rPr>
          <w:rFonts w:ascii="Arial" w:eastAsia="Times New Roman" w:hAnsi="Arial" w:cs="Times New Roman"/>
          <w:sz w:val="18"/>
          <w:szCs w:val="18"/>
          <w:highlight w:val="yellow"/>
          <w:lang w:eastAsia="nl-NL"/>
        </w:rPr>
      </w:pPr>
      <w:r w:rsidRPr="00F07F15">
        <w:rPr>
          <w:rFonts w:ascii="Arial" w:eastAsia="Times New Roman" w:hAnsi="Arial" w:cs="Times New Roman"/>
          <w:sz w:val="18"/>
          <w:szCs w:val="18"/>
          <w:lang w:eastAsia="nl-NL"/>
        </w:rPr>
        <w:t>Източник: Годишен доклад за изпълнението на ПРСР 2007-2013 г. за 2015г.</w:t>
      </w:r>
    </w:p>
    <w:p w14:paraId="5E8169BE" w14:textId="34F04379"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Анализът на индикаторите за резултат за площ с успешно управление на земята на база проекти с окончателно плащане показва високо изпълнение за всички индикатори </w:t>
      </w:r>
      <w:r w:rsidR="00312CE3">
        <w:rPr>
          <w:sz w:val="22"/>
          <w:szCs w:val="22"/>
          <w:lang w:val="bg-BG"/>
        </w:rPr>
        <w:t>–</w:t>
      </w:r>
      <w:r w:rsidRPr="00BC513A">
        <w:rPr>
          <w:sz w:val="22"/>
          <w:szCs w:val="22"/>
          <w:lang w:val="bg-BG"/>
        </w:rPr>
        <w:t xml:space="preserve"> 196%. Това надвишаване на изпълнението показва интереса на стопаните и необходимостта от мярката. </w:t>
      </w:r>
    </w:p>
    <w:p w14:paraId="25C28042" w14:textId="77777777" w:rsidR="00E8617E" w:rsidRPr="00BC513A" w:rsidRDefault="00E8617E" w:rsidP="00E8617E">
      <w:pPr>
        <w:spacing w:after="0" w:line="280" w:lineRule="atLeast"/>
        <w:jc w:val="both"/>
        <w:rPr>
          <w:rFonts w:ascii="Arial" w:hAnsi="Arial" w:cs="Arial"/>
          <w:b/>
          <w:iCs/>
          <w:color w:val="0070C0"/>
        </w:rPr>
      </w:pPr>
      <w:bookmarkStart w:id="155" w:name="_Toc504136233"/>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61</w:t>
      </w:r>
      <w:r w:rsidRPr="00BC513A">
        <w:rPr>
          <w:rFonts w:ascii="Arial" w:hAnsi="Arial" w:cs="Arial"/>
          <w:b/>
          <w:color w:val="0070C0"/>
          <w:sz w:val="20"/>
          <w:szCs w:val="20"/>
        </w:rPr>
        <w:fldChar w:fldCharType="end"/>
      </w:r>
      <w:r w:rsidRPr="00BC513A">
        <w:rPr>
          <w:rFonts w:ascii="Arial" w:hAnsi="Arial" w:cs="Arial"/>
          <w:b/>
          <w:color w:val="0070C0"/>
          <w:sz w:val="20"/>
          <w:szCs w:val="20"/>
        </w:rPr>
        <w:t>. Постигане на индикаторите за резултат по мярка 226</w:t>
      </w:r>
      <w:bookmarkEnd w:id="155"/>
    </w:p>
    <w:tbl>
      <w:tblPr>
        <w:tblW w:w="8983" w:type="dxa"/>
        <w:jc w:val="center"/>
        <w:tblBorders>
          <w:top w:val="threeDEmboss" w:sz="6" w:space="0" w:color="595959"/>
          <w:left w:val="threeDEmboss" w:sz="6" w:space="0" w:color="595959"/>
          <w:bottom w:val="threeDEmboss" w:sz="6" w:space="0" w:color="595959"/>
          <w:right w:val="threeDEmboss" w:sz="6" w:space="0" w:color="595959"/>
          <w:insideH w:val="single" w:sz="6" w:space="0" w:color="595959"/>
          <w:insideV w:val="single" w:sz="6" w:space="0" w:color="595959"/>
        </w:tblBorders>
        <w:tblLook w:val="04A0" w:firstRow="1" w:lastRow="0" w:firstColumn="1" w:lastColumn="0" w:noHBand="0" w:noVBand="1"/>
      </w:tblPr>
      <w:tblGrid>
        <w:gridCol w:w="5006"/>
        <w:gridCol w:w="1300"/>
        <w:gridCol w:w="1518"/>
        <w:gridCol w:w="1159"/>
      </w:tblGrid>
      <w:tr w:rsidR="00E8617E" w:rsidRPr="00BC513A" w14:paraId="3AD04E74" w14:textId="77777777" w:rsidTr="00922731">
        <w:trPr>
          <w:trHeight w:val="315"/>
          <w:jc w:val="center"/>
        </w:trPr>
        <w:tc>
          <w:tcPr>
            <w:tcW w:w="5006"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31BF1C79"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1300"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0BB42627"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w:t>
            </w:r>
          </w:p>
        </w:tc>
        <w:tc>
          <w:tcPr>
            <w:tcW w:w="2677" w:type="dxa"/>
            <w:gridSpan w:val="2"/>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192851A1" w14:textId="77777777" w:rsidR="00E8617E" w:rsidRPr="00BC513A" w:rsidRDefault="00E8617E" w:rsidP="00922731">
            <w:pPr>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изпълнение </w:t>
            </w:r>
          </w:p>
        </w:tc>
      </w:tr>
      <w:tr w:rsidR="00E8617E" w:rsidRPr="00BC513A" w14:paraId="06A688D6" w14:textId="77777777" w:rsidTr="00922731">
        <w:trPr>
          <w:trHeight w:val="315"/>
          <w:jc w:val="center"/>
        </w:trPr>
        <w:tc>
          <w:tcPr>
            <w:tcW w:w="5006"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645E7E1F" w14:textId="77777777" w:rsidR="00E8617E" w:rsidRPr="00BC513A" w:rsidRDefault="00E8617E" w:rsidP="00922731">
            <w:pPr>
              <w:spacing w:after="0" w:line="240" w:lineRule="auto"/>
              <w:jc w:val="center"/>
              <w:rPr>
                <w:rFonts w:ascii="Arial" w:hAnsi="Arial" w:cs="Arial"/>
                <w:b/>
                <w:color w:val="FFFFFF" w:themeColor="background1"/>
                <w:sz w:val="20"/>
                <w:szCs w:val="20"/>
              </w:rPr>
            </w:pPr>
          </w:p>
        </w:tc>
        <w:tc>
          <w:tcPr>
            <w:tcW w:w="1300"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18195E21" w14:textId="77777777" w:rsidR="00E8617E" w:rsidRPr="00BC513A" w:rsidRDefault="00E8617E" w:rsidP="00922731">
            <w:pPr>
              <w:spacing w:after="0" w:line="280" w:lineRule="atLeast"/>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ха</w:t>
            </w:r>
          </w:p>
        </w:tc>
        <w:tc>
          <w:tcPr>
            <w:tcW w:w="1518"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203CDCED" w14:textId="77777777" w:rsidR="00E8617E" w:rsidRPr="00BC513A" w:rsidRDefault="00E8617E" w:rsidP="00922731">
            <w:pPr>
              <w:spacing w:after="0" w:line="280" w:lineRule="atLeast"/>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Стойност ха</w:t>
            </w:r>
          </w:p>
        </w:tc>
        <w:tc>
          <w:tcPr>
            <w:tcW w:w="1159"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59F427C5" w14:textId="77777777" w:rsidR="00E8617E" w:rsidRPr="00BC513A" w:rsidRDefault="00E8617E" w:rsidP="00922731">
            <w:pPr>
              <w:spacing w:after="0" w:line="280" w:lineRule="atLeast"/>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w:t>
            </w:r>
          </w:p>
        </w:tc>
      </w:tr>
      <w:tr w:rsidR="00E8617E" w:rsidRPr="00BC513A" w14:paraId="429750D4" w14:textId="77777777" w:rsidTr="00922731">
        <w:trPr>
          <w:trHeight w:val="600"/>
          <w:jc w:val="center"/>
        </w:trPr>
        <w:tc>
          <w:tcPr>
            <w:tcW w:w="8983" w:type="dxa"/>
            <w:gridSpan w:val="4"/>
            <w:tcBorders>
              <w:top w:val="single" w:sz="4" w:space="0" w:color="auto"/>
              <w:left w:val="single" w:sz="4" w:space="0" w:color="auto"/>
              <w:bottom w:val="single" w:sz="4" w:space="0" w:color="auto"/>
              <w:right w:val="single" w:sz="4" w:space="0" w:color="auto"/>
            </w:tcBorders>
            <w:vAlign w:val="center"/>
            <w:hideMark/>
          </w:tcPr>
          <w:p w14:paraId="3DDC2C2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Площ с успешно управление на земята допринасяща за: </w:t>
            </w:r>
          </w:p>
        </w:tc>
      </w:tr>
      <w:tr w:rsidR="00E8617E" w:rsidRPr="00BC513A" w14:paraId="7E06708C" w14:textId="77777777" w:rsidTr="00922731">
        <w:trPr>
          <w:trHeight w:val="525"/>
          <w:jc w:val="center"/>
        </w:trPr>
        <w:tc>
          <w:tcPr>
            <w:tcW w:w="5006" w:type="dxa"/>
            <w:tcBorders>
              <w:top w:val="single" w:sz="4" w:space="0" w:color="auto"/>
              <w:left w:val="single" w:sz="4" w:space="0" w:color="auto"/>
              <w:bottom w:val="single" w:sz="4" w:space="0" w:color="auto"/>
              <w:right w:val="single" w:sz="4" w:space="0" w:color="auto"/>
            </w:tcBorders>
            <w:vAlign w:val="center"/>
            <w:hideMark/>
          </w:tcPr>
          <w:p w14:paraId="42049B6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 xml:space="preserve">(а) Биоразнообразието и горско стопанство  с висока природна стойност  </w:t>
            </w:r>
          </w:p>
        </w:tc>
        <w:tc>
          <w:tcPr>
            <w:tcW w:w="1300" w:type="dxa"/>
            <w:tcBorders>
              <w:top w:val="single" w:sz="4" w:space="0" w:color="auto"/>
              <w:left w:val="single" w:sz="4" w:space="0" w:color="auto"/>
              <w:bottom w:val="single" w:sz="4" w:space="0" w:color="auto"/>
              <w:right w:val="single" w:sz="4" w:space="0" w:color="auto"/>
            </w:tcBorders>
            <w:noWrap/>
            <w:vAlign w:val="center"/>
            <w:hideMark/>
          </w:tcPr>
          <w:p w14:paraId="45C97AD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170 000 ха</w:t>
            </w:r>
          </w:p>
        </w:tc>
        <w:tc>
          <w:tcPr>
            <w:tcW w:w="1518" w:type="dxa"/>
            <w:tcBorders>
              <w:top w:val="single" w:sz="4" w:space="0" w:color="auto"/>
              <w:left w:val="single" w:sz="4" w:space="0" w:color="auto"/>
              <w:bottom w:val="single" w:sz="4" w:space="0" w:color="auto"/>
              <w:right w:val="single" w:sz="4" w:space="0" w:color="auto"/>
            </w:tcBorders>
            <w:noWrap/>
            <w:vAlign w:val="center"/>
            <w:hideMark/>
          </w:tcPr>
          <w:p w14:paraId="5D7AFA4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333 194</w:t>
            </w:r>
          </w:p>
        </w:tc>
        <w:tc>
          <w:tcPr>
            <w:tcW w:w="1159" w:type="dxa"/>
            <w:tcBorders>
              <w:top w:val="single" w:sz="4" w:space="0" w:color="auto"/>
              <w:left w:val="single" w:sz="4" w:space="0" w:color="auto"/>
              <w:bottom w:val="single" w:sz="4" w:space="0" w:color="auto"/>
              <w:right w:val="single" w:sz="4" w:space="0" w:color="auto"/>
            </w:tcBorders>
            <w:noWrap/>
            <w:vAlign w:val="center"/>
            <w:hideMark/>
          </w:tcPr>
          <w:p w14:paraId="51DF4928"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196%</w:t>
            </w:r>
          </w:p>
        </w:tc>
      </w:tr>
      <w:tr w:rsidR="00E8617E" w:rsidRPr="00BC513A" w14:paraId="383FB27C" w14:textId="77777777" w:rsidTr="00922731">
        <w:trPr>
          <w:trHeight w:val="435"/>
          <w:jc w:val="center"/>
        </w:trPr>
        <w:tc>
          <w:tcPr>
            <w:tcW w:w="5006" w:type="dxa"/>
            <w:tcBorders>
              <w:top w:val="single" w:sz="4" w:space="0" w:color="auto"/>
              <w:left w:val="single" w:sz="4" w:space="0" w:color="auto"/>
              <w:bottom w:val="single" w:sz="4" w:space="0" w:color="auto"/>
              <w:right w:val="single" w:sz="4" w:space="0" w:color="auto"/>
            </w:tcBorders>
            <w:vAlign w:val="center"/>
            <w:hideMark/>
          </w:tcPr>
          <w:p w14:paraId="5818B613"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(б) Качество на водата</w:t>
            </w:r>
          </w:p>
        </w:tc>
        <w:tc>
          <w:tcPr>
            <w:tcW w:w="1300" w:type="dxa"/>
            <w:tcBorders>
              <w:top w:val="single" w:sz="4" w:space="0" w:color="auto"/>
              <w:left w:val="single" w:sz="4" w:space="0" w:color="auto"/>
              <w:bottom w:val="single" w:sz="4" w:space="0" w:color="auto"/>
              <w:right w:val="single" w:sz="4" w:space="0" w:color="auto"/>
            </w:tcBorders>
            <w:noWrap/>
            <w:vAlign w:val="center"/>
            <w:hideMark/>
          </w:tcPr>
          <w:p w14:paraId="470DE3A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170 000 ха</w:t>
            </w:r>
          </w:p>
        </w:tc>
        <w:tc>
          <w:tcPr>
            <w:tcW w:w="1518" w:type="dxa"/>
            <w:tcBorders>
              <w:top w:val="single" w:sz="4" w:space="0" w:color="auto"/>
              <w:left w:val="single" w:sz="4" w:space="0" w:color="auto"/>
              <w:bottom w:val="single" w:sz="4" w:space="0" w:color="auto"/>
              <w:right w:val="single" w:sz="4" w:space="0" w:color="auto"/>
            </w:tcBorders>
            <w:noWrap/>
            <w:vAlign w:val="center"/>
            <w:hideMark/>
          </w:tcPr>
          <w:p w14:paraId="7AE23A1A"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333 194</w:t>
            </w:r>
          </w:p>
        </w:tc>
        <w:tc>
          <w:tcPr>
            <w:tcW w:w="1159" w:type="dxa"/>
            <w:tcBorders>
              <w:top w:val="single" w:sz="4" w:space="0" w:color="auto"/>
              <w:left w:val="single" w:sz="4" w:space="0" w:color="auto"/>
              <w:bottom w:val="single" w:sz="4" w:space="0" w:color="auto"/>
              <w:right w:val="single" w:sz="4" w:space="0" w:color="auto"/>
            </w:tcBorders>
            <w:noWrap/>
            <w:vAlign w:val="center"/>
            <w:hideMark/>
          </w:tcPr>
          <w:p w14:paraId="53DBF48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196%</w:t>
            </w:r>
          </w:p>
        </w:tc>
      </w:tr>
      <w:tr w:rsidR="00E8617E" w:rsidRPr="00BC513A" w14:paraId="0C083DC5" w14:textId="77777777" w:rsidTr="00922731">
        <w:trPr>
          <w:trHeight w:val="435"/>
          <w:jc w:val="center"/>
        </w:trPr>
        <w:tc>
          <w:tcPr>
            <w:tcW w:w="5006" w:type="dxa"/>
            <w:tcBorders>
              <w:top w:val="single" w:sz="4" w:space="0" w:color="auto"/>
              <w:left w:val="single" w:sz="4" w:space="0" w:color="auto"/>
              <w:bottom w:val="single" w:sz="4" w:space="0" w:color="auto"/>
              <w:right w:val="single" w:sz="4" w:space="0" w:color="auto"/>
            </w:tcBorders>
            <w:vAlign w:val="center"/>
            <w:hideMark/>
          </w:tcPr>
          <w:p w14:paraId="7EAF0CA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(в) Смекчаване на промените в климата</w:t>
            </w:r>
          </w:p>
        </w:tc>
        <w:tc>
          <w:tcPr>
            <w:tcW w:w="1300" w:type="dxa"/>
            <w:tcBorders>
              <w:top w:val="single" w:sz="4" w:space="0" w:color="auto"/>
              <w:left w:val="single" w:sz="4" w:space="0" w:color="auto"/>
              <w:bottom w:val="single" w:sz="4" w:space="0" w:color="auto"/>
              <w:right w:val="single" w:sz="4" w:space="0" w:color="auto"/>
            </w:tcBorders>
            <w:noWrap/>
            <w:vAlign w:val="center"/>
            <w:hideMark/>
          </w:tcPr>
          <w:p w14:paraId="1C860338"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170 000 ха</w:t>
            </w:r>
          </w:p>
        </w:tc>
        <w:tc>
          <w:tcPr>
            <w:tcW w:w="1518" w:type="dxa"/>
            <w:tcBorders>
              <w:top w:val="single" w:sz="4" w:space="0" w:color="auto"/>
              <w:left w:val="single" w:sz="4" w:space="0" w:color="auto"/>
              <w:bottom w:val="single" w:sz="4" w:space="0" w:color="auto"/>
              <w:right w:val="single" w:sz="4" w:space="0" w:color="auto"/>
            </w:tcBorders>
            <w:noWrap/>
            <w:vAlign w:val="center"/>
            <w:hideMark/>
          </w:tcPr>
          <w:p w14:paraId="5C364200"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333 194</w:t>
            </w:r>
          </w:p>
        </w:tc>
        <w:tc>
          <w:tcPr>
            <w:tcW w:w="1159" w:type="dxa"/>
            <w:tcBorders>
              <w:top w:val="single" w:sz="4" w:space="0" w:color="auto"/>
              <w:left w:val="single" w:sz="4" w:space="0" w:color="auto"/>
              <w:bottom w:val="single" w:sz="4" w:space="0" w:color="auto"/>
              <w:right w:val="single" w:sz="4" w:space="0" w:color="auto"/>
            </w:tcBorders>
            <w:noWrap/>
            <w:vAlign w:val="center"/>
            <w:hideMark/>
          </w:tcPr>
          <w:p w14:paraId="288EDED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196%</w:t>
            </w:r>
          </w:p>
        </w:tc>
      </w:tr>
      <w:tr w:rsidR="00E8617E" w:rsidRPr="00BC513A" w14:paraId="3D81BEF3" w14:textId="77777777" w:rsidTr="00922731">
        <w:trPr>
          <w:trHeight w:val="435"/>
          <w:jc w:val="center"/>
        </w:trPr>
        <w:tc>
          <w:tcPr>
            <w:tcW w:w="5006" w:type="dxa"/>
            <w:tcBorders>
              <w:top w:val="single" w:sz="4" w:space="0" w:color="auto"/>
              <w:left w:val="single" w:sz="4" w:space="0" w:color="auto"/>
              <w:bottom w:val="single" w:sz="4" w:space="0" w:color="auto"/>
              <w:right w:val="single" w:sz="4" w:space="0" w:color="auto"/>
            </w:tcBorders>
            <w:vAlign w:val="center"/>
            <w:hideMark/>
          </w:tcPr>
          <w:p w14:paraId="3336699C"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 xml:space="preserve">(г) Качество на почвата </w:t>
            </w:r>
          </w:p>
        </w:tc>
        <w:tc>
          <w:tcPr>
            <w:tcW w:w="1300" w:type="dxa"/>
            <w:tcBorders>
              <w:top w:val="single" w:sz="4" w:space="0" w:color="auto"/>
              <w:left w:val="single" w:sz="4" w:space="0" w:color="auto"/>
              <w:bottom w:val="single" w:sz="4" w:space="0" w:color="auto"/>
              <w:right w:val="single" w:sz="4" w:space="0" w:color="auto"/>
            </w:tcBorders>
            <w:noWrap/>
            <w:vAlign w:val="center"/>
            <w:hideMark/>
          </w:tcPr>
          <w:p w14:paraId="497E649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170 000 ха</w:t>
            </w:r>
          </w:p>
        </w:tc>
        <w:tc>
          <w:tcPr>
            <w:tcW w:w="1518" w:type="dxa"/>
            <w:tcBorders>
              <w:top w:val="single" w:sz="4" w:space="0" w:color="auto"/>
              <w:left w:val="single" w:sz="4" w:space="0" w:color="auto"/>
              <w:bottom w:val="single" w:sz="4" w:space="0" w:color="auto"/>
              <w:right w:val="single" w:sz="4" w:space="0" w:color="auto"/>
            </w:tcBorders>
            <w:noWrap/>
            <w:vAlign w:val="center"/>
            <w:hideMark/>
          </w:tcPr>
          <w:p w14:paraId="10E66D79"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333 194</w:t>
            </w:r>
          </w:p>
        </w:tc>
        <w:tc>
          <w:tcPr>
            <w:tcW w:w="1159" w:type="dxa"/>
            <w:tcBorders>
              <w:top w:val="single" w:sz="4" w:space="0" w:color="auto"/>
              <w:left w:val="single" w:sz="4" w:space="0" w:color="auto"/>
              <w:bottom w:val="single" w:sz="4" w:space="0" w:color="auto"/>
              <w:right w:val="single" w:sz="4" w:space="0" w:color="auto"/>
            </w:tcBorders>
            <w:noWrap/>
            <w:vAlign w:val="center"/>
            <w:hideMark/>
          </w:tcPr>
          <w:p w14:paraId="7302624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196%</w:t>
            </w:r>
          </w:p>
        </w:tc>
      </w:tr>
      <w:tr w:rsidR="00E8617E" w:rsidRPr="00BC513A" w14:paraId="51536810" w14:textId="77777777" w:rsidTr="00922731">
        <w:trPr>
          <w:trHeight w:val="435"/>
          <w:jc w:val="center"/>
        </w:trPr>
        <w:tc>
          <w:tcPr>
            <w:tcW w:w="5006" w:type="dxa"/>
            <w:tcBorders>
              <w:top w:val="single" w:sz="4" w:space="0" w:color="auto"/>
              <w:left w:val="single" w:sz="4" w:space="0" w:color="auto"/>
              <w:bottom w:val="single" w:sz="4" w:space="0" w:color="auto"/>
              <w:right w:val="single" w:sz="4" w:space="0" w:color="auto"/>
            </w:tcBorders>
            <w:vAlign w:val="center"/>
            <w:hideMark/>
          </w:tcPr>
          <w:p w14:paraId="358732BD"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(д) Избягване на маргинализацията и изоставяне на земята</w:t>
            </w:r>
          </w:p>
        </w:tc>
        <w:tc>
          <w:tcPr>
            <w:tcW w:w="1300" w:type="dxa"/>
            <w:tcBorders>
              <w:top w:val="single" w:sz="4" w:space="0" w:color="auto"/>
              <w:left w:val="single" w:sz="4" w:space="0" w:color="auto"/>
              <w:bottom w:val="single" w:sz="4" w:space="0" w:color="auto"/>
              <w:right w:val="single" w:sz="4" w:space="0" w:color="auto"/>
            </w:tcBorders>
            <w:noWrap/>
            <w:vAlign w:val="center"/>
            <w:hideMark/>
          </w:tcPr>
          <w:p w14:paraId="1EB25AEC"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170 000 ха</w:t>
            </w:r>
          </w:p>
        </w:tc>
        <w:tc>
          <w:tcPr>
            <w:tcW w:w="1518" w:type="dxa"/>
            <w:tcBorders>
              <w:top w:val="single" w:sz="4" w:space="0" w:color="auto"/>
              <w:left w:val="single" w:sz="4" w:space="0" w:color="auto"/>
              <w:bottom w:val="single" w:sz="4" w:space="0" w:color="auto"/>
              <w:right w:val="single" w:sz="4" w:space="0" w:color="auto"/>
            </w:tcBorders>
            <w:noWrap/>
            <w:vAlign w:val="center"/>
            <w:hideMark/>
          </w:tcPr>
          <w:p w14:paraId="3B56D68B"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333 194</w:t>
            </w:r>
          </w:p>
        </w:tc>
        <w:tc>
          <w:tcPr>
            <w:tcW w:w="1159" w:type="dxa"/>
            <w:tcBorders>
              <w:top w:val="single" w:sz="4" w:space="0" w:color="auto"/>
              <w:left w:val="single" w:sz="4" w:space="0" w:color="auto"/>
              <w:bottom w:val="single" w:sz="4" w:space="0" w:color="auto"/>
              <w:right w:val="single" w:sz="4" w:space="0" w:color="auto"/>
            </w:tcBorders>
            <w:noWrap/>
            <w:vAlign w:val="center"/>
            <w:hideMark/>
          </w:tcPr>
          <w:p w14:paraId="0D715EED" w14:textId="77777777" w:rsidR="00E8617E" w:rsidRPr="00BC513A" w:rsidRDefault="00E8617E" w:rsidP="00922731">
            <w:pPr>
              <w:spacing w:after="0" w:line="280" w:lineRule="atLeast"/>
              <w:jc w:val="both"/>
              <w:rPr>
                <w:rFonts w:ascii="Arial" w:eastAsia="Times New Roman" w:hAnsi="Arial" w:cs="Times New Roman"/>
                <w:sz w:val="20"/>
                <w:szCs w:val="20"/>
                <w:lang w:eastAsia="nl-NL"/>
              </w:rPr>
            </w:pPr>
            <w:r w:rsidRPr="00BC513A">
              <w:rPr>
                <w:rFonts w:ascii="Arial" w:eastAsia="Times New Roman" w:hAnsi="Arial" w:cs="Times New Roman"/>
                <w:sz w:val="20"/>
                <w:szCs w:val="20"/>
                <w:lang w:eastAsia="nl-NL"/>
              </w:rPr>
              <w:t>196%</w:t>
            </w:r>
          </w:p>
        </w:tc>
      </w:tr>
    </w:tbl>
    <w:p w14:paraId="07CC0FF9" w14:textId="77777777" w:rsidR="00E8617E" w:rsidRPr="00F07F15" w:rsidRDefault="00E8617E" w:rsidP="00E8617E">
      <w:pPr>
        <w:spacing w:after="120" w:line="280" w:lineRule="atLeast"/>
        <w:jc w:val="both"/>
        <w:rPr>
          <w:rFonts w:ascii="Arial" w:eastAsia="Times New Roman" w:hAnsi="Arial" w:cs="Times New Roman"/>
          <w:sz w:val="18"/>
          <w:szCs w:val="18"/>
          <w:highlight w:val="yellow"/>
          <w:lang w:eastAsia="nl-NL"/>
        </w:rPr>
      </w:pPr>
      <w:r w:rsidRPr="00F07F15">
        <w:rPr>
          <w:rFonts w:ascii="Arial" w:eastAsia="Times New Roman" w:hAnsi="Arial" w:cs="Times New Roman"/>
          <w:sz w:val="18"/>
          <w:szCs w:val="18"/>
          <w:lang w:eastAsia="nl-NL"/>
        </w:rPr>
        <w:t>Източник: Годишен доклад за изпълнението на ПРСР 2007-2013 г. за 2015г.</w:t>
      </w:r>
    </w:p>
    <w:p w14:paraId="3A8D74FC" w14:textId="77777777" w:rsidR="001C6AE5" w:rsidRPr="00205C7B" w:rsidRDefault="001C6AE5" w:rsidP="001C6AE5">
      <w:pPr>
        <w:pStyle w:val="DefaultText"/>
        <w:spacing w:after="120" w:line="300" w:lineRule="atLeast"/>
        <w:ind w:firstLine="708"/>
        <w:rPr>
          <w:sz w:val="22"/>
          <w:szCs w:val="22"/>
          <w:lang w:val="bg-BG"/>
        </w:rPr>
      </w:pPr>
      <w:r w:rsidRPr="00205C7B">
        <w:rPr>
          <w:sz w:val="22"/>
          <w:szCs w:val="22"/>
          <w:lang w:val="bg-BG"/>
        </w:rPr>
        <w:t>Както и при предходната мярка, повечето от посетените бенефициенти по мярката считат, че ефектите от подкрепата за постигане на заложените екологични цели са много положителни.</w:t>
      </w:r>
      <w:r w:rsidR="008F34DE" w:rsidRPr="00205C7B">
        <w:rPr>
          <w:sz w:val="22"/>
          <w:szCs w:val="22"/>
          <w:lang w:val="bg-BG"/>
        </w:rPr>
        <w:t xml:space="preserve"> Най-високо оценени са ефектите върху повишаване на устойчивото управление на горите и подобряване на околната среда, както и поддържането на горите.</w:t>
      </w:r>
    </w:p>
    <w:p w14:paraId="5FCDC3DB" w14:textId="77777777" w:rsidR="001C6AE5" w:rsidRPr="00205C7B" w:rsidRDefault="001C6AE5" w:rsidP="001C6AE5">
      <w:pPr>
        <w:keepNext/>
        <w:spacing w:before="240" w:after="0" w:line="280" w:lineRule="atLeast"/>
        <w:jc w:val="both"/>
        <w:rPr>
          <w:rFonts w:ascii="Arial" w:hAnsi="Arial" w:cs="Arial"/>
          <w:b/>
          <w:iCs/>
          <w:color w:val="0070C0"/>
          <w:sz w:val="20"/>
          <w:szCs w:val="20"/>
        </w:rPr>
      </w:pPr>
      <w:bookmarkStart w:id="156" w:name="_Toc504136234"/>
      <w:r w:rsidRPr="00205C7B">
        <w:rPr>
          <w:rFonts w:ascii="Arial" w:hAnsi="Arial" w:cs="Arial"/>
          <w:b/>
          <w:color w:val="0070C0"/>
          <w:sz w:val="20"/>
          <w:szCs w:val="20"/>
        </w:rPr>
        <w:t xml:space="preserve">Таблица </w:t>
      </w:r>
      <w:r w:rsidRPr="00205C7B">
        <w:rPr>
          <w:rFonts w:ascii="Arial" w:hAnsi="Arial" w:cs="Arial"/>
          <w:b/>
          <w:color w:val="0070C0"/>
          <w:sz w:val="20"/>
          <w:szCs w:val="20"/>
        </w:rPr>
        <w:fldChar w:fldCharType="begin"/>
      </w:r>
      <w:r w:rsidRPr="00205C7B">
        <w:rPr>
          <w:rFonts w:ascii="Arial" w:hAnsi="Arial" w:cs="Arial"/>
          <w:b/>
          <w:color w:val="0070C0"/>
          <w:sz w:val="20"/>
          <w:szCs w:val="20"/>
        </w:rPr>
        <w:instrText xml:space="preserve"> SEQ Таблица \* ARABIC </w:instrText>
      </w:r>
      <w:r w:rsidRPr="00205C7B">
        <w:rPr>
          <w:rFonts w:ascii="Arial" w:hAnsi="Arial" w:cs="Arial"/>
          <w:b/>
          <w:color w:val="0070C0"/>
          <w:sz w:val="20"/>
          <w:szCs w:val="20"/>
        </w:rPr>
        <w:fldChar w:fldCharType="separate"/>
      </w:r>
      <w:r w:rsidR="0023010D">
        <w:rPr>
          <w:rFonts w:ascii="Arial" w:hAnsi="Arial" w:cs="Arial"/>
          <w:b/>
          <w:noProof/>
          <w:color w:val="0070C0"/>
          <w:sz w:val="20"/>
          <w:szCs w:val="20"/>
        </w:rPr>
        <w:t>62</w:t>
      </w:r>
      <w:r w:rsidRPr="00205C7B">
        <w:rPr>
          <w:rFonts w:ascii="Arial" w:hAnsi="Arial" w:cs="Arial"/>
          <w:b/>
          <w:color w:val="0070C0"/>
          <w:sz w:val="20"/>
          <w:szCs w:val="20"/>
        </w:rPr>
        <w:fldChar w:fldCharType="end"/>
      </w:r>
      <w:r w:rsidR="00047E2D">
        <w:rPr>
          <w:rFonts w:ascii="Arial" w:hAnsi="Arial" w:cs="Arial"/>
          <w:b/>
          <w:color w:val="0070C0"/>
          <w:sz w:val="20"/>
          <w:szCs w:val="20"/>
        </w:rPr>
        <w:t>.</w:t>
      </w:r>
      <w:r w:rsidRPr="00205C7B">
        <w:rPr>
          <w:rFonts w:ascii="Arial" w:hAnsi="Arial" w:cs="Arial"/>
          <w:b/>
          <w:color w:val="0070C0"/>
          <w:sz w:val="20"/>
          <w:szCs w:val="20"/>
        </w:rPr>
        <w:t xml:space="preserve"> </w:t>
      </w:r>
      <w:r w:rsidRPr="00205C7B">
        <w:rPr>
          <w:rFonts w:ascii="Arial" w:hAnsi="Arial" w:cs="Arial"/>
          <w:b/>
          <w:iCs/>
          <w:color w:val="0070C0"/>
          <w:sz w:val="20"/>
          <w:szCs w:val="20"/>
        </w:rPr>
        <w:t>Виждания на бенефициентите по мярка 226 за принос на мярката към нейните цели</w:t>
      </w:r>
      <w:bookmarkEnd w:id="156"/>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232"/>
        <w:gridCol w:w="3119"/>
      </w:tblGrid>
      <w:tr w:rsidR="001C6AE5" w:rsidRPr="00205C7B" w14:paraId="69B6B15F" w14:textId="77777777" w:rsidTr="00213E30">
        <w:trPr>
          <w:trHeight w:val="419"/>
        </w:trPr>
        <w:tc>
          <w:tcPr>
            <w:tcW w:w="6232" w:type="dxa"/>
            <w:shd w:val="clear" w:color="auto" w:fill="1F4E79" w:themeFill="accent1" w:themeFillShade="80"/>
            <w:vAlign w:val="center"/>
          </w:tcPr>
          <w:p w14:paraId="73DFA05E" w14:textId="77777777" w:rsidR="001C6AE5" w:rsidRPr="00205C7B" w:rsidRDefault="001C6AE5" w:rsidP="00205C7B">
            <w:pPr>
              <w:spacing w:after="0" w:line="240" w:lineRule="auto"/>
              <w:rPr>
                <w:rFonts w:eastAsia="Times New Roman"/>
                <w:lang w:eastAsia="bg-BG"/>
              </w:rPr>
            </w:pPr>
            <w:r w:rsidRPr="00205C7B">
              <w:rPr>
                <w:rFonts w:ascii="Arial" w:eastAsia="Times New Roman" w:hAnsi="Arial" w:cs="Arial"/>
                <w:b/>
                <w:color w:val="FFFFFF" w:themeColor="background1"/>
                <w:sz w:val="20"/>
                <w:szCs w:val="20"/>
                <w:lang w:eastAsia="bg-BG"/>
              </w:rPr>
              <w:t>Принос на мярка 2</w:t>
            </w:r>
            <w:r w:rsidR="008468B9" w:rsidRPr="00205C7B">
              <w:rPr>
                <w:rFonts w:ascii="Arial" w:eastAsia="Times New Roman" w:hAnsi="Arial" w:cs="Arial"/>
                <w:b/>
                <w:color w:val="FFFFFF" w:themeColor="background1"/>
                <w:sz w:val="20"/>
                <w:szCs w:val="20"/>
                <w:lang w:eastAsia="bg-BG"/>
              </w:rPr>
              <w:t>26</w:t>
            </w:r>
            <w:r w:rsidRPr="00205C7B">
              <w:rPr>
                <w:rFonts w:ascii="Arial" w:eastAsia="Times New Roman" w:hAnsi="Arial" w:cs="Arial"/>
                <w:b/>
                <w:color w:val="FFFFFF" w:themeColor="background1"/>
                <w:sz w:val="20"/>
                <w:szCs w:val="20"/>
                <w:lang w:eastAsia="bg-BG"/>
              </w:rPr>
              <w:t xml:space="preserve"> към</w:t>
            </w:r>
            <w:r w:rsidR="00205C7B">
              <w:rPr>
                <w:rFonts w:ascii="Arial" w:eastAsia="Times New Roman" w:hAnsi="Arial" w:cs="Arial"/>
                <w:b/>
                <w:color w:val="FFFFFF" w:themeColor="background1"/>
                <w:sz w:val="20"/>
                <w:szCs w:val="20"/>
                <w:lang w:eastAsia="bg-BG"/>
              </w:rPr>
              <w:t>:</w:t>
            </w:r>
          </w:p>
        </w:tc>
        <w:tc>
          <w:tcPr>
            <w:tcW w:w="3119" w:type="dxa"/>
            <w:shd w:val="clear" w:color="auto" w:fill="1F4E79" w:themeFill="accent1" w:themeFillShade="80"/>
            <w:noWrap/>
            <w:vAlign w:val="center"/>
          </w:tcPr>
          <w:p w14:paraId="651820FF" w14:textId="77777777" w:rsidR="001C6AE5" w:rsidRPr="00205C7B" w:rsidRDefault="001C6AE5" w:rsidP="00852D69">
            <w:pPr>
              <w:spacing w:after="0" w:line="240" w:lineRule="auto"/>
              <w:jc w:val="right"/>
              <w:rPr>
                <w:rFonts w:ascii="Arial" w:eastAsia="Times New Roman" w:hAnsi="Arial" w:cs="Arial"/>
                <w:b/>
                <w:color w:val="FFFFFF" w:themeColor="background1"/>
                <w:sz w:val="20"/>
                <w:szCs w:val="20"/>
                <w:lang w:eastAsia="bg-BG"/>
              </w:rPr>
            </w:pPr>
            <w:r w:rsidRPr="00205C7B">
              <w:rPr>
                <w:rFonts w:ascii="Arial" w:eastAsia="Times New Roman" w:hAnsi="Arial" w:cs="Arial"/>
                <w:b/>
                <w:color w:val="FFFFFF" w:themeColor="background1"/>
                <w:sz w:val="20"/>
                <w:szCs w:val="20"/>
                <w:lang w:eastAsia="bg-BG"/>
              </w:rPr>
              <w:t>Изключително много и много</w:t>
            </w:r>
          </w:p>
        </w:tc>
      </w:tr>
      <w:tr w:rsidR="001C6AE5" w:rsidRPr="00205C7B" w14:paraId="74BFC06A" w14:textId="77777777" w:rsidTr="00852D69">
        <w:trPr>
          <w:trHeight w:val="308"/>
        </w:trPr>
        <w:tc>
          <w:tcPr>
            <w:tcW w:w="6232" w:type="dxa"/>
            <w:shd w:val="clear" w:color="auto" w:fill="auto"/>
            <w:vAlign w:val="center"/>
          </w:tcPr>
          <w:p w14:paraId="20BF8871" w14:textId="77777777" w:rsidR="001C6AE5" w:rsidRPr="00205C7B" w:rsidRDefault="001C6AE5" w:rsidP="001C6AE5">
            <w:pPr>
              <w:spacing w:after="0" w:line="240" w:lineRule="auto"/>
              <w:rPr>
                <w:rFonts w:ascii="Arial" w:hAnsi="Arial" w:cs="Arial"/>
                <w:color w:val="000000"/>
                <w:sz w:val="20"/>
                <w:szCs w:val="20"/>
              </w:rPr>
            </w:pPr>
            <w:r w:rsidRPr="00205C7B">
              <w:rPr>
                <w:rFonts w:ascii="Arial" w:hAnsi="Arial" w:cs="Arial"/>
                <w:color w:val="000000"/>
                <w:sz w:val="20"/>
                <w:szCs w:val="20"/>
              </w:rPr>
              <w:t>Възстановяването на горския потенциал в увредените гори</w:t>
            </w:r>
          </w:p>
        </w:tc>
        <w:tc>
          <w:tcPr>
            <w:tcW w:w="3119" w:type="dxa"/>
            <w:shd w:val="clear" w:color="auto" w:fill="auto"/>
            <w:noWrap/>
            <w:vAlign w:val="bottom"/>
          </w:tcPr>
          <w:p w14:paraId="6EE22559" w14:textId="77777777" w:rsidR="001C6AE5" w:rsidRPr="00205C7B" w:rsidRDefault="001C6AE5" w:rsidP="001C6AE5">
            <w:pPr>
              <w:spacing w:after="0" w:line="240" w:lineRule="auto"/>
              <w:jc w:val="right"/>
              <w:rPr>
                <w:rFonts w:ascii="Arial" w:hAnsi="Arial" w:cs="Arial"/>
                <w:color w:val="000000"/>
                <w:sz w:val="20"/>
                <w:szCs w:val="20"/>
              </w:rPr>
            </w:pPr>
            <w:r w:rsidRPr="00205C7B">
              <w:rPr>
                <w:rFonts w:ascii="Arial" w:hAnsi="Arial" w:cs="Arial"/>
                <w:color w:val="000000"/>
                <w:sz w:val="20"/>
                <w:szCs w:val="20"/>
              </w:rPr>
              <w:t>57%</w:t>
            </w:r>
          </w:p>
        </w:tc>
      </w:tr>
      <w:tr w:rsidR="001C6AE5" w:rsidRPr="00205C7B" w14:paraId="1A6B45F6" w14:textId="77777777" w:rsidTr="00852D69">
        <w:trPr>
          <w:trHeight w:val="269"/>
        </w:trPr>
        <w:tc>
          <w:tcPr>
            <w:tcW w:w="6232" w:type="dxa"/>
            <w:shd w:val="clear" w:color="auto" w:fill="auto"/>
            <w:vAlign w:val="center"/>
          </w:tcPr>
          <w:p w14:paraId="7B4590B9" w14:textId="77777777" w:rsidR="001C6AE5" w:rsidRPr="00205C7B" w:rsidRDefault="001C6AE5" w:rsidP="001C6AE5">
            <w:pPr>
              <w:spacing w:after="0" w:line="240" w:lineRule="auto"/>
              <w:rPr>
                <w:rFonts w:ascii="Arial" w:hAnsi="Arial" w:cs="Arial"/>
                <w:color w:val="000000"/>
                <w:sz w:val="20"/>
                <w:szCs w:val="20"/>
              </w:rPr>
            </w:pPr>
            <w:r w:rsidRPr="00205C7B">
              <w:rPr>
                <w:rFonts w:ascii="Arial" w:hAnsi="Arial" w:cs="Arial"/>
                <w:color w:val="000000"/>
                <w:sz w:val="20"/>
                <w:szCs w:val="20"/>
              </w:rPr>
              <w:t>Повишаването на устойчивото управление на горите</w:t>
            </w:r>
          </w:p>
        </w:tc>
        <w:tc>
          <w:tcPr>
            <w:tcW w:w="3119" w:type="dxa"/>
            <w:shd w:val="clear" w:color="auto" w:fill="auto"/>
            <w:noWrap/>
            <w:vAlign w:val="bottom"/>
          </w:tcPr>
          <w:p w14:paraId="36CE10E7" w14:textId="77777777" w:rsidR="001C6AE5" w:rsidRPr="00205C7B" w:rsidRDefault="001C6AE5" w:rsidP="001C6AE5">
            <w:pPr>
              <w:spacing w:after="0" w:line="240" w:lineRule="auto"/>
              <w:jc w:val="right"/>
              <w:rPr>
                <w:rFonts w:ascii="Arial" w:hAnsi="Arial" w:cs="Arial"/>
                <w:color w:val="000000"/>
                <w:sz w:val="20"/>
                <w:szCs w:val="20"/>
              </w:rPr>
            </w:pPr>
            <w:r w:rsidRPr="00205C7B">
              <w:rPr>
                <w:rFonts w:ascii="Arial" w:hAnsi="Arial" w:cs="Arial"/>
                <w:color w:val="000000"/>
                <w:sz w:val="20"/>
                <w:szCs w:val="20"/>
              </w:rPr>
              <w:t>100%</w:t>
            </w:r>
          </w:p>
        </w:tc>
      </w:tr>
      <w:tr w:rsidR="001C6AE5" w:rsidRPr="00205C7B" w14:paraId="1813AD87" w14:textId="77777777" w:rsidTr="00852D69">
        <w:trPr>
          <w:trHeight w:val="300"/>
        </w:trPr>
        <w:tc>
          <w:tcPr>
            <w:tcW w:w="6232" w:type="dxa"/>
            <w:shd w:val="clear" w:color="auto" w:fill="auto"/>
            <w:vAlign w:val="center"/>
          </w:tcPr>
          <w:p w14:paraId="2067B241" w14:textId="77777777" w:rsidR="001C6AE5" w:rsidRPr="00205C7B" w:rsidRDefault="001C6AE5" w:rsidP="001C6AE5">
            <w:pPr>
              <w:spacing w:after="0" w:line="240" w:lineRule="auto"/>
              <w:rPr>
                <w:rFonts w:ascii="Arial" w:hAnsi="Arial" w:cs="Arial"/>
                <w:color w:val="000000"/>
                <w:sz w:val="20"/>
                <w:szCs w:val="20"/>
              </w:rPr>
            </w:pPr>
            <w:r w:rsidRPr="00205C7B">
              <w:rPr>
                <w:rFonts w:ascii="Arial" w:hAnsi="Arial" w:cs="Arial"/>
                <w:color w:val="000000"/>
                <w:sz w:val="20"/>
                <w:szCs w:val="20"/>
              </w:rPr>
              <w:t>Поддържането на горите</w:t>
            </w:r>
          </w:p>
        </w:tc>
        <w:tc>
          <w:tcPr>
            <w:tcW w:w="3119" w:type="dxa"/>
            <w:shd w:val="clear" w:color="auto" w:fill="auto"/>
            <w:noWrap/>
            <w:vAlign w:val="bottom"/>
          </w:tcPr>
          <w:p w14:paraId="452E30D1" w14:textId="77777777" w:rsidR="001C6AE5" w:rsidRPr="00205C7B" w:rsidRDefault="001C6AE5" w:rsidP="001C6AE5">
            <w:pPr>
              <w:spacing w:after="0" w:line="240" w:lineRule="auto"/>
              <w:jc w:val="right"/>
              <w:rPr>
                <w:rFonts w:ascii="Arial" w:hAnsi="Arial" w:cs="Arial"/>
                <w:color w:val="000000"/>
                <w:sz w:val="20"/>
                <w:szCs w:val="20"/>
              </w:rPr>
            </w:pPr>
            <w:r w:rsidRPr="00205C7B">
              <w:rPr>
                <w:rFonts w:ascii="Arial" w:hAnsi="Arial" w:cs="Arial"/>
                <w:color w:val="000000"/>
                <w:sz w:val="20"/>
                <w:szCs w:val="20"/>
              </w:rPr>
              <w:t>86%</w:t>
            </w:r>
          </w:p>
        </w:tc>
      </w:tr>
      <w:tr w:rsidR="001C6AE5" w:rsidRPr="00205C7B" w14:paraId="4072A67C" w14:textId="77777777" w:rsidTr="00852D69">
        <w:trPr>
          <w:trHeight w:val="300"/>
        </w:trPr>
        <w:tc>
          <w:tcPr>
            <w:tcW w:w="6232" w:type="dxa"/>
            <w:shd w:val="clear" w:color="auto" w:fill="auto"/>
            <w:vAlign w:val="center"/>
          </w:tcPr>
          <w:p w14:paraId="45F4C13A" w14:textId="77777777" w:rsidR="001C6AE5" w:rsidRPr="00205C7B" w:rsidRDefault="001C6AE5" w:rsidP="001C6AE5">
            <w:pPr>
              <w:spacing w:after="0" w:line="240" w:lineRule="auto"/>
              <w:rPr>
                <w:rFonts w:ascii="Arial" w:hAnsi="Arial" w:cs="Arial"/>
                <w:color w:val="000000"/>
                <w:sz w:val="20"/>
                <w:szCs w:val="20"/>
              </w:rPr>
            </w:pPr>
            <w:r w:rsidRPr="00205C7B">
              <w:rPr>
                <w:rFonts w:ascii="Arial" w:hAnsi="Arial" w:cs="Arial"/>
                <w:color w:val="000000"/>
                <w:sz w:val="20"/>
                <w:szCs w:val="20"/>
              </w:rPr>
              <w:t>Смекчаване на климатичните промени</w:t>
            </w:r>
          </w:p>
        </w:tc>
        <w:tc>
          <w:tcPr>
            <w:tcW w:w="3119" w:type="dxa"/>
            <w:shd w:val="clear" w:color="auto" w:fill="auto"/>
            <w:noWrap/>
            <w:vAlign w:val="bottom"/>
          </w:tcPr>
          <w:p w14:paraId="59A595DA" w14:textId="77777777" w:rsidR="001C6AE5" w:rsidRPr="00205C7B" w:rsidRDefault="001C6AE5" w:rsidP="001C6AE5">
            <w:pPr>
              <w:spacing w:after="0" w:line="240" w:lineRule="auto"/>
              <w:jc w:val="right"/>
              <w:rPr>
                <w:rFonts w:ascii="Arial" w:hAnsi="Arial" w:cs="Arial"/>
                <w:color w:val="000000"/>
                <w:sz w:val="20"/>
                <w:szCs w:val="20"/>
              </w:rPr>
            </w:pPr>
            <w:r w:rsidRPr="00205C7B">
              <w:rPr>
                <w:rFonts w:ascii="Arial" w:hAnsi="Arial" w:cs="Arial"/>
                <w:color w:val="000000"/>
                <w:sz w:val="20"/>
                <w:szCs w:val="20"/>
              </w:rPr>
              <w:t>57%</w:t>
            </w:r>
          </w:p>
        </w:tc>
      </w:tr>
      <w:tr w:rsidR="001C6AE5" w:rsidRPr="00205C7B" w14:paraId="035662FF" w14:textId="77777777" w:rsidTr="00852D69">
        <w:trPr>
          <w:trHeight w:val="360"/>
        </w:trPr>
        <w:tc>
          <w:tcPr>
            <w:tcW w:w="6232" w:type="dxa"/>
            <w:shd w:val="clear" w:color="auto" w:fill="auto"/>
            <w:vAlign w:val="center"/>
          </w:tcPr>
          <w:p w14:paraId="0969B82B" w14:textId="77777777" w:rsidR="001C6AE5" w:rsidRPr="00205C7B" w:rsidRDefault="001C6AE5" w:rsidP="001C6AE5">
            <w:pPr>
              <w:spacing w:after="0" w:line="240" w:lineRule="auto"/>
              <w:rPr>
                <w:rFonts w:ascii="Arial" w:hAnsi="Arial" w:cs="Arial"/>
                <w:color w:val="000000"/>
                <w:sz w:val="20"/>
                <w:szCs w:val="20"/>
              </w:rPr>
            </w:pPr>
            <w:r w:rsidRPr="00205C7B">
              <w:rPr>
                <w:rFonts w:ascii="Arial" w:hAnsi="Arial" w:cs="Arial"/>
                <w:color w:val="000000"/>
                <w:sz w:val="20"/>
                <w:szCs w:val="20"/>
              </w:rPr>
              <w:t>Подобряване на околната среда</w:t>
            </w:r>
          </w:p>
        </w:tc>
        <w:tc>
          <w:tcPr>
            <w:tcW w:w="3119" w:type="dxa"/>
            <w:shd w:val="clear" w:color="auto" w:fill="auto"/>
            <w:noWrap/>
            <w:vAlign w:val="bottom"/>
          </w:tcPr>
          <w:p w14:paraId="37CB0A49" w14:textId="77777777" w:rsidR="001C6AE5" w:rsidRPr="00205C7B" w:rsidRDefault="001C6AE5" w:rsidP="001C6AE5">
            <w:pPr>
              <w:spacing w:after="0" w:line="240" w:lineRule="auto"/>
              <w:jc w:val="right"/>
              <w:rPr>
                <w:rFonts w:ascii="Arial" w:hAnsi="Arial" w:cs="Arial"/>
                <w:color w:val="000000"/>
                <w:sz w:val="20"/>
                <w:szCs w:val="20"/>
              </w:rPr>
            </w:pPr>
            <w:r w:rsidRPr="00205C7B">
              <w:rPr>
                <w:rFonts w:ascii="Arial" w:hAnsi="Arial" w:cs="Arial"/>
                <w:color w:val="000000"/>
                <w:sz w:val="20"/>
                <w:szCs w:val="20"/>
              </w:rPr>
              <w:t>100%</w:t>
            </w:r>
          </w:p>
        </w:tc>
      </w:tr>
      <w:tr w:rsidR="001C6AE5" w:rsidRPr="00205C7B" w14:paraId="6F16100C" w14:textId="77777777" w:rsidTr="00852D69">
        <w:trPr>
          <w:trHeight w:val="300"/>
        </w:trPr>
        <w:tc>
          <w:tcPr>
            <w:tcW w:w="6232" w:type="dxa"/>
            <w:shd w:val="clear" w:color="auto" w:fill="auto"/>
            <w:vAlign w:val="center"/>
          </w:tcPr>
          <w:p w14:paraId="24208743" w14:textId="77777777" w:rsidR="001C6AE5" w:rsidRPr="00205C7B" w:rsidRDefault="001C6AE5" w:rsidP="001C6AE5">
            <w:pPr>
              <w:spacing w:after="0" w:line="240" w:lineRule="auto"/>
              <w:rPr>
                <w:rFonts w:ascii="Arial" w:hAnsi="Arial" w:cs="Arial"/>
                <w:color w:val="000000"/>
                <w:sz w:val="20"/>
                <w:szCs w:val="20"/>
              </w:rPr>
            </w:pPr>
            <w:r w:rsidRPr="00205C7B">
              <w:rPr>
                <w:rFonts w:ascii="Arial" w:hAnsi="Arial" w:cs="Arial"/>
                <w:color w:val="000000"/>
                <w:sz w:val="20"/>
                <w:szCs w:val="20"/>
              </w:rPr>
              <w:t>Поддръжка на ВПС на горското стопанство</w:t>
            </w:r>
          </w:p>
        </w:tc>
        <w:tc>
          <w:tcPr>
            <w:tcW w:w="3119" w:type="dxa"/>
            <w:shd w:val="clear" w:color="auto" w:fill="auto"/>
            <w:noWrap/>
            <w:vAlign w:val="bottom"/>
          </w:tcPr>
          <w:p w14:paraId="0EF1D8C7" w14:textId="77777777" w:rsidR="001C6AE5" w:rsidRPr="00205C7B" w:rsidRDefault="001C6AE5" w:rsidP="001C6AE5">
            <w:pPr>
              <w:spacing w:after="0" w:line="240" w:lineRule="auto"/>
              <w:jc w:val="right"/>
              <w:rPr>
                <w:rFonts w:ascii="Arial" w:hAnsi="Arial" w:cs="Arial"/>
                <w:color w:val="000000"/>
                <w:sz w:val="20"/>
                <w:szCs w:val="20"/>
              </w:rPr>
            </w:pPr>
            <w:r w:rsidRPr="00205C7B">
              <w:rPr>
                <w:rFonts w:ascii="Arial" w:hAnsi="Arial" w:cs="Arial"/>
                <w:color w:val="000000"/>
                <w:sz w:val="20"/>
                <w:szCs w:val="20"/>
              </w:rPr>
              <w:t>71%</w:t>
            </w:r>
          </w:p>
        </w:tc>
      </w:tr>
    </w:tbl>
    <w:p w14:paraId="3C72A0AF" w14:textId="77777777" w:rsidR="001C6AE5" w:rsidRPr="00A55F86" w:rsidRDefault="001C6AE5" w:rsidP="001C6AE5">
      <w:pPr>
        <w:pStyle w:val="DefaultText"/>
        <w:spacing w:after="120" w:line="300" w:lineRule="atLeast"/>
        <w:rPr>
          <w:szCs w:val="18"/>
          <w:lang w:val="bg-BG"/>
        </w:rPr>
      </w:pPr>
      <w:r w:rsidRPr="00205C7B">
        <w:rPr>
          <w:szCs w:val="18"/>
          <w:lang w:val="bg-BG"/>
        </w:rPr>
        <w:t xml:space="preserve">Източник: Теренни проучвания сред </w:t>
      </w:r>
      <w:r w:rsidR="00E8007B" w:rsidRPr="00205C7B">
        <w:rPr>
          <w:szCs w:val="18"/>
          <w:lang w:val="bg-BG"/>
        </w:rPr>
        <w:t>7</w:t>
      </w:r>
      <w:r w:rsidRPr="00205C7B">
        <w:rPr>
          <w:szCs w:val="18"/>
          <w:lang w:val="bg-BG"/>
        </w:rPr>
        <w:t xml:space="preserve"> бенефициента по мярка 226</w:t>
      </w:r>
    </w:p>
    <w:p w14:paraId="148B2B06" w14:textId="77777777" w:rsidR="001C6AE5" w:rsidRPr="001C6AE5" w:rsidRDefault="001C6AE5" w:rsidP="00E8617E">
      <w:pPr>
        <w:jc w:val="both"/>
        <w:rPr>
          <w:rFonts w:ascii="Arial" w:hAnsi="Arial" w:cs="Arial"/>
          <w:sz w:val="20"/>
          <w:szCs w:val="20"/>
        </w:rPr>
      </w:pPr>
    </w:p>
    <w:p w14:paraId="39FE49AA" w14:textId="77777777" w:rsidR="00E8617E" w:rsidRPr="00BC513A" w:rsidRDefault="00E8617E" w:rsidP="00E8617E">
      <w:pPr>
        <w:keepNext/>
        <w:numPr>
          <w:ilvl w:val="0"/>
          <w:numId w:val="19"/>
        </w:numPr>
        <w:spacing w:before="240"/>
        <w:ind w:left="714" w:hanging="357"/>
        <w:jc w:val="both"/>
        <w:rPr>
          <w:rFonts w:ascii="Arial" w:hAnsi="Arial" w:cs="Arial"/>
          <w:color w:val="0070C0"/>
        </w:rPr>
      </w:pPr>
      <w:r w:rsidRPr="00BC513A">
        <w:rPr>
          <w:rFonts w:ascii="Arial" w:hAnsi="Arial" w:cs="Arial"/>
          <w:color w:val="0070C0"/>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 (например увеличаване на конкурентоспособността на земеделските стопанства или туристическия на потенциал).</w:t>
      </w:r>
    </w:p>
    <w:p w14:paraId="6B5CD958" w14:textId="3928DE80"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Подмярка „</w:t>
      </w:r>
      <w:r w:rsidRPr="00BC513A">
        <w:rPr>
          <w:i/>
          <w:sz w:val="22"/>
          <w:szCs w:val="22"/>
          <w:lang w:val="bg-BG"/>
        </w:rPr>
        <w:t>Развитие на биологичното земеделие</w:t>
      </w:r>
      <w:r w:rsidRPr="00BC513A">
        <w:rPr>
          <w:sz w:val="22"/>
          <w:szCs w:val="22"/>
          <w:lang w:val="bg-BG"/>
        </w:rPr>
        <w:t>“ към Мярка 214 предлага на стопаните, насочили се към този тип земеделие, освен икономически изгоден модел на управление на стопанството</w:t>
      </w:r>
      <w:r w:rsidR="00312CE3">
        <w:rPr>
          <w:sz w:val="22"/>
          <w:szCs w:val="22"/>
          <w:lang w:val="en-US"/>
        </w:rPr>
        <w:t>,</w:t>
      </w:r>
      <w:r w:rsidRPr="00BC513A">
        <w:rPr>
          <w:sz w:val="22"/>
          <w:szCs w:val="22"/>
          <w:lang w:val="bg-BG"/>
        </w:rPr>
        <w:t xml:space="preserve"> така и една цялостна екологосъобразна практика на селскостопанското производство. </w:t>
      </w:r>
    </w:p>
    <w:p w14:paraId="640AF5F5"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Подмярка „</w:t>
      </w:r>
      <w:r w:rsidRPr="00BC513A">
        <w:rPr>
          <w:i/>
          <w:sz w:val="22"/>
          <w:szCs w:val="22"/>
          <w:lang w:val="bg-BG"/>
        </w:rPr>
        <w:t>Поддържане на характеристики на ландшафта</w:t>
      </w:r>
      <w:r w:rsidRPr="00BC513A">
        <w:rPr>
          <w:sz w:val="22"/>
          <w:szCs w:val="22"/>
          <w:lang w:val="bg-BG"/>
        </w:rPr>
        <w:t xml:space="preserve">“ към Мярка 214 спомага за поддържане и възстановяване на традиционните характеристики на ландшафта, притежаващи природна и културна стойност и допринася за повишаване привлекателността на селските райони за населението. </w:t>
      </w:r>
    </w:p>
    <w:p w14:paraId="138AB4EA"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При превръщането на неземеделска земя в гори по Мярка 223 местното население ще има много допълнителни придобивки и възможности, включващи и възможности за развитие на специфични видове туризъм в селските райони.</w:t>
      </w:r>
    </w:p>
    <w:p w14:paraId="4B4B209E" w14:textId="00355E18"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Върху двете подцели на общата цел по ос 3 „Подобряване на качеството на живот и разнообразяване на възможностите за заетост в селските райони“ ограничено косвено положително въздействие оказват мерките в горското стопанство – мярка 223 и мярка 226, които водят до подобряване качеството на почвите и водите и насърчаване на туристическите дейности.</w:t>
      </w:r>
    </w:p>
    <w:p w14:paraId="1C2F1C4D" w14:textId="77777777" w:rsidR="00E8617E" w:rsidRPr="00BC513A" w:rsidRDefault="00E8617E" w:rsidP="00F07F15">
      <w:pPr>
        <w:pStyle w:val="DefaultText"/>
        <w:keepNext/>
        <w:spacing w:after="120" w:line="300" w:lineRule="atLeast"/>
        <w:ind w:firstLine="709"/>
        <w:rPr>
          <w:b/>
          <w:sz w:val="22"/>
          <w:szCs w:val="22"/>
          <w:lang w:val="bg-BG"/>
        </w:rPr>
      </w:pPr>
      <w:r w:rsidRPr="00BC513A">
        <w:rPr>
          <w:b/>
          <w:sz w:val="22"/>
          <w:szCs w:val="22"/>
          <w:lang w:val="bg-BG"/>
        </w:rPr>
        <w:t>Въздействия на съответните схеми:</w:t>
      </w:r>
    </w:p>
    <w:p w14:paraId="565D73B6" w14:textId="77777777" w:rsidR="00E8617E" w:rsidRPr="00BC513A" w:rsidRDefault="00E8617E" w:rsidP="00E8617E">
      <w:pPr>
        <w:pStyle w:val="DefaultText"/>
        <w:spacing w:after="120" w:line="300" w:lineRule="atLeast"/>
        <w:ind w:firstLine="708"/>
        <w:rPr>
          <w:i/>
          <w:sz w:val="22"/>
          <w:szCs w:val="22"/>
          <w:lang w:val="bg-BG"/>
        </w:rPr>
      </w:pPr>
      <w:r w:rsidRPr="00BC513A">
        <w:rPr>
          <w:sz w:val="22"/>
          <w:szCs w:val="22"/>
          <w:lang w:val="bg-BG"/>
        </w:rPr>
        <w:t>Марка</w:t>
      </w:r>
      <w:r w:rsidRPr="00BC513A">
        <w:rPr>
          <w:i/>
          <w:sz w:val="22"/>
          <w:szCs w:val="22"/>
          <w:lang w:val="bg-BG"/>
        </w:rPr>
        <w:t xml:space="preserve"> 211. Плащания на земеделски стопани за природни ограничения в планинските райони </w:t>
      </w:r>
      <w:r w:rsidRPr="00BC513A">
        <w:rPr>
          <w:sz w:val="22"/>
          <w:szCs w:val="22"/>
          <w:lang w:val="bg-BG"/>
        </w:rPr>
        <w:t>и мярка</w:t>
      </w:r>
      <w:r w:rsidRPr="00BC513A">
        <w:rPr>
          <w:i/>
          <w:sz w:val="22"/>
          <w:szCs w:val="22"/>
          <w:lang w:val="bg-BG"/>
        </w:rPr>
        <w:t xml:space="preserve"> 212. Плащания на земеделски стопани в райони с ограничения, различни от планинските райони</w:t>
      </w:r>
    </w:p>
    <w:p w14:paraId="5A2D00BB" w14:textId="0EAB8D4C"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Предвид, че задължително условие е земеделските стопани да поддържат ползваните площи в добро земеделско и екологично състояние, то се очаква мерките да оказва благоприятен ефект върху запазване качеството и поддържането на почвите и да имат положително въздействие върху предпазването на почвата от ерозия, като част от общите цели на пакета от мерки от ос 2. При поддържането на добро земеделско и екологично състояние се очаква и съществуващото био-разнообразие да бъде съхранено.</w:t>
      </w:r>
    </w:p>
    <w:p w14:paraId="0B81EA31" w14:textId="77777777" w:rsidR="00E8617E" w:rsidRPr="00BC513A" w:rsidRDefault="00E8617E" w:rsidP="00E8617E">
      <w:pPr>
        <w:pStyle w:val="DefaultText"/>
        <w:spacing w:after="120" w:line="300" w:lineRule="atLeast"/>
        <w:ind w:firstLine="708"/>
        <w:rPr>
          <w:i/>
          <w:sz w:val="22"/>
          <w:szCs w:val="22"/>
          <w:lang w:val="bg-BG"/>
        </w:rPr>
      </w:pPr>
      <w:r w:rsidRPr="00BC513A">
        <w:rPr>
          <w:i/>
          <w:sz w:val="22"/>
          <w:szCs w:val="22"/>
          <w:lang w:val="bg-BG"/>
        </w:rPr>
        <w:t>213. Плащания по Натура 2000</w:t>
      </w:r>
    </w:p>
    <w:p w14:paraId="12020EA1" w14:textId="66584DE4"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Съгласно данни от ДФЗ подпомогнатите Постоянно затревени площи (ПЗП) по мярка 213 през 2014 г възлизат на 92</w:t>
      </w:r>
      <w:r w:rsidR="00BB5D3E">
        <w:rPr>
          <w:sz w:val="22"/>
          <w:szCs w:val="22"/>
          <w:lang w:val="en-US"/>
        </w:rPr>
        <w:t> </w:t>
      </w:r>
      <w:r w:rsidRPr="00BC513A">
        <w:rPr>
          <w:sz w:val="22"/>
          <w:szCs w:val="22"/>
          <w:lang w:val="bg-BG"/>
        </w:rPr>
        <w:t>165 ha, като в Приложение 2 към мярка 231, таблица 2 е записано, че използването на пестициди и минерални торове е забранено в пасищата и ливадите. Въз основа на гореописаното се очаква тези забрани да са изпълнени, така че във всичките 92</w:t>
      </w:r>
      <w:r w:rsidR="00BB5D3E">
        <w:rPr>
          <w:sz w:val="22"/>
          <w:szCs w:val="22"/>
          <w:lang w:val="en-US"/>
        </w:rPr>
        <w:t> </w:t>
      </w:r>
      <w:r w:rsidRPr="00BC513A">
        <w:rPr>
          <w:sz w:val="22"/>
          <w:szCs w:val="22"/>
          <w:lang w:val="bg-BG"/>
        </w:rPr>
        <w:t>165 ha има подобряване на качеството на водите поради ограничение в  прилагането на пестициди и минерални торове.</w:t>
      </w:r>
    </w:p>
    <w:p w14:paraId="73F7EC22" w14:textId="77777777" w:rsidR="00E8617E" w:rsidRPr="00BC513A" w:rsidRDefault="00E8617E" w:rsidP="00E8617E">
      <w:pPr>
        <w:pStyle w:val="DefaultText"/>
        <w:spacing w:after="120" w:line="300" w:lineRule="atLeast"/>
        <w:ind w:firstLine="708"/>
        <w:rPr>
          <w:i/>
          <w:sz w:val="22"/>
          <w:szCs w:val="22"/>
          <w:lang w:val="bg-BG"/>
        </w:rPr>
      </w:pPr>
      <w:r w:rsidRPr="00BC513A">
        <w:rPr>
          <w:i/>
          <w:sz w:val="22"/>
          <w:szCs w:val="22"/>
          <w:lang w:val="bg-BG"/>
        </w:rPr>
        <w:t>214. Агроекологични плащания</w:t>
      </w:r>
    </w:p>
    <w:p w14:paraId="092AD6A8" w14:textId="68C2B9E2" w:rsidR="00E8617E" w:rsidRPr="00BC513A" w:rsidRDefault="003A0F89" w:rsidP="00E8617E">
      <w:pPr>
        <w:pStyle w:val="DefaultText"/>
        <w:spacing w:after="120" w:line="300" w:lineRule="atLeast"/>
        <w:ind w:firstLine="708"/>
        <w:rPr>
          <w:sz w:val="22"/>
          <w:szCs w:val="22"/>
          <w:lang w:val="bg-BG"/>
        </w:rPr>
      </w:pPr>
      <w:r>
        <w:rPr>
          <w:i/>
          <w:sz w:val="22"/>
          <w:szCs w:val="22"/>
          <w:lang w:val="bg-BG"/>
        </w:rPr>
        <w:t>Под</w:t>
      </w:r>
      <w:r w:rsidR="00E8617E" w:rsidRPr="00BC513A">
        <w:rPr>
          <w:i/>
          <w:sz w:val="22"/>
          <w:szCs w:val="22"/>
          <w:lang w:val="bg-BG"/>
        </w:rPr>
        <w:t>мярка 1.</w:t>
      </w:r>
      <w:r w:rsidR="00E8617E" w:rsidRPr="00BC513A">
        <w:rPr>
          <w:i/>
          <w:sz w:val="22"/>
          <w:szCs w:val="22"/>
          <w:lang w:val="bg-BG"/>
        </w:rPr>
        <w:tab/>
        <w:t>Биологично земеделие</w:t>
      </w:r>
      <w:r w:rsidR="00E8617E" w:rsidRPr="00BC513A">
        <w:rPr>
          <w:sz w:val="22"/>
          <w:szCs w:val="22"/>
          <w:lang w:val="bg-BG"/>
        </w:rPr>
        <w:t xml:space="preserve"> </w:t>
      </w:r>
      <w:r w:rsidR="00BB5D3E">
        <w:rPr>
          <w:sz w:val="22"/>
          <w:szCs w:val="22"/>
          <w:lang w:val="bg-BG"/>
        </w:rPr>
        <w:t>–</w:t>
      </w:r>
      <w:r w:rsidR="00E8617E" w:rsidRPr="00BC513A">
        <w:rPr>
          <w:sz w:val="22"/>
          <w:szCs w:val="22"/>
          <w:lang w:val="bg-BG"/>
        </w:rPr>
        <w:t xml:space="preserve"> Поради забраната за използване на минерални торове и синтезирани продукти за растителна защита, биологичното земеделие оказва благоприятно въздействие върху опазването на био-разнообразието, съдейства за опазване качеството на водите и на почвите, допринася за постигане на равновесие в системата почва </w:t>
      </w:r>
      <w:r w:rsidR="00BB5D3E">
        <w:rPr>
          <w:sz w:val="22"/>
          <w:szCs w:val="22"/>
          <w:lang w:val="bg-BG"/>
        </w:rPr>
        <w:t>–</w:t>
      </w:r>
      <w:r w:rsidR="00E8617E" w:rsidRPr="00BC513A">
        <w:rPr>
          <w:sz w:val="22"/>
          <w:szCs w:val="22"/>
          <w:lang w:val="bg-BG"/>
        </w:rPr>
        <w:t xml:space="preserve"> растения </w:t>
      </w:r>
      <w:r w:rsidR="00BB5D3E">
        <w:rPr>
          <w:sz w:val="22"/>
          <w:szCs w:val="22"/>
          <w:lang w:val="bg-BG"/>
        </w:rPr>
        <w:t>–</w:t>
      </w:r>
      <w:r w:rsidR="00E8617E" w:rsidRPr="00BC513A">
        <w:rPr>
          <w:sz w:val="22"/>
          <w:szCs w:val="22"/>
          <w:lang w:val="bg-BG"/>
        </w:rPr>
        <w:t xml:space="preserve"> животни.</w:t>
      </w:r>
    </w:p>
    <w:p w14:paraId="4B7999B6" w14:textId="779A4AE3" w:rsidR="00E8617E" w:rsidRPr="00BC513A" w:rsidRDefault="003A0F89" w:rsidP="00E8617E">
      <w:pPr>
        <w:pStyle w:val="DefaultText"/>
        <w:spacing w:after="120" w:line="300" w:lineRule="atLeast"/>
        <w:ind w:firstLine="708"/>
        <w:rPr>
          <w:i/>
          <w:sz w:val="22"/>
          <w:szCs w:val="22"/>
          <w:lang w:val="bg-BG"/>
        </w:rPr>
      </w:pPr>
      <w:r>
        <w:rPr>
          <w:i/>
          <w:sz w:val="22"/>
          <w:szCs w:val="22"/>
          <w:lang w:val="bg-BG"/>
        </w:rPr>
        <w:t>Под</w:t>
      </w:r>
      <w:r w:rsidR="00E8617E" w:rsidRPr="00BC513A">
        <w:rPr>
          <w:i/>
          <w:sz w:val="22"/>
          <w:szCs w:val="22"/>
          <w:lang w:val="bg-BG"/>
        </w:rPr>
        <w:t xml:space="preserve">мярка 2. Управление на земеделски земи с висока природна стойност (ВПС): </w:t>
      </w:r>
    </w:p>
    <w:p w14:paraId="130ABB2E" w14:textId="13AD0E30" w:rsidR="00E8617E" w:rsidRPr="00BC513A" w:rsidRDefault="00E8617E" w:rsidP="00E8617E">
      <w:pPr>
        <w:pStyle w:val="DefaultText"/>
        <w:spacing w:after="120" w:line="300" w:lineRule="atLeast"/>
        <w:ind w:firstLine="708"/>
        <w:rPr>
          <w:sz w:val="22"/>
          <w:szCs w:val="22"/>
          <w:lang w:val="bg-BG"/>
        </w:rPr>
      </w:pPr>
      <w:r w:rsidRPr="00BC513A">
        <w:rPr>
          <w:i/>
          <w:sz w:val="22"/>
          <w:szCs w:val="22"/>
          <w:lang w:val="bg-BG"/>
        </w:rPr>
        <w:t>ВПС 1 и ВПС 2</w:t>
      </w:r>
      <w:r w:rsidRPr="00BC513A">
        <w:rPr>
          <w:sz w:val="22"/>
          <w:szCs w:val="22"/>
          <w:lang w:val="bg-BG"/>
        </w:rPr>
        <w:t xml:space="preserve"> </w:t>
      </w:r>
      <w:r w:rsidR="00BB5D3E">
        <w:rPr>
          <w:sz w:val="22"/>
          <w:szCs w:val="22"/>
          <w:lang w:val="bg-BG"/>
        </w:rPr>
        <w:t>–</w:t>
      </w:r>
      <w:r w:rsidRPr="00BC513A">
        <w:rPr>
          <w:sz w:val="22"/>
          <w:szCs w:val="22"/>
          <w:lang w:val="bg-BG"/>
        </w:rPr>
        <w:t xml:space="preserve"> Поради забраната за използване на минерални торове и продукти за растителна защита съдейства за запазване и поддържане на затревени площи с ВПС и свързаните с тях видове, опазване на биологичното разнообразие и осигуряване на защита, поддържане и възстановяване на благоприятния статус на местообитанията на защитени видове в обработваеми земи, разположени в орнитологични важни места и на популациите на птиците. </w:t>
      </w:r>
      <w:r w:rsidR="00C5519D" w:rsidRPr="00BC513A">
        <w:rPr>
          <w:sz w:val="22"/>
          <w:szCs w:val="22"/>
          <w:lang w:val="bg-BG"/>
        </w:rPr>
        <w:t>Предполага</w:t>
      </w:r>
      <w:r w:rsidRPr="00BC513A">
        <w:rPr>
          <w:sz w:val="22"/>
          <w:szCs w:val="22"/>
          <w:lang w:val="bg-BG"/>
        </w:rPr>
        <w:t xml:space="preserve"> се, че консервационния статус на над 200 хил. ха от местообитания в затревени площи с ВПС е подобрен.</w:t>
      </w:r>
    </w:p>
    <w:p w14:paraId="1DBB81F2" w14:textId="0CC29CD5" w:rsidR="00E8617E" w:rsidRPr="00BC513A" w:rsidRDefault="00E8617E" w:rsidP="00E8617E">
      <w:pPr>
        <w:pStyle w:val="DefaultText"/>
        <w:spacing w:after="120" w:line="300" w:lineRule="atLeast"/>
        <w:ind w:firstLine="708"/>
        <w:rPr>
          <w:i/>
          <w:sz w:val="22"/>
          <w:szCs w:val="22"/>
          <w:lang w:val="bg-BG"/>
        </w:rPr>
      </w:pPr>
      <w:r w:rsidRPr="00BC513A">
        <w:rPr>
          <w:i/>
          <w:sz w:val="22"/>
          <w:szCs w:val="22"/>
          <w:lang w:val="bg-BG"/>
        </w:rPr>
        <w:t xml:space="preserve">ВПС 4 Поддържане на местообитанията на защитени видове в обработваеми земи в орнитологично важни места </w:t>
      </w:r>
      <w:r w:rsidR="00BB5D3E">
        <w:rPr>
          <w:i/>
          <w:sz w:val="22"/>
          <w:szCs w:val="22"/>
          <w:lang w:val="bg-BG"/>
        </w:rPr>
        <w:t>(</w:t>
      </w:r>
      <w:r w:rsidRPr="00BC513A">
        <w:rPr>
          <w:i/>
          <w:sz w:val="22"/>
          <w:szCs w:val="22"/>
          <w:lang w:val="bg-BG"/>
        </w:rPr>
        <w:t>ОВМ</w:t>
      </w:r>
      <w:r w:rsidR="00BB5D3E">
        <w:rPr>
          <w:i/>
          <w:sz w:val="22"/>
          <w:szCs w:val="22"/>
          <w:lang w:val="bg-BG"/>
        </w:rPr>
        <w:t>)</w:t>
      </w:r>
    </w:p>
    <w:p w14:paraId="3D74D72A" w14:textId="21074191"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Съдейства за опазване на биологичното разнообразие и осигуряване на защита, поддържане и възстановяване на благоприятния статус на местообитанията и на популациите на птиците в Специалните защитени зони (СЗЗ) и ОВМ по време на размножителния им период, зимуването или миграцията им. Поддържане на екологичните условия за царския орел, ливадния блатар, големия сокол, червенокракия сокол, червеногърбата сврачка, както и за престоя и зимуване на червеногушата и белочелата гъска, защита на местообитанията и биологичното разнообразие. Поради забраната за използване на пестициди и минерални торове съдейства за поддържане на земеделските и горските земи с ВПС и за подобряване на качеството на водите.</w:t>
      </w:r>
    </w:p>
    <w:p w14:paraId="466F2D37" w14:textId="62D5A8ED" w:rsidR="00E8617E" w:rsidRPr="00BC513A" w:rsidRDefault="00045479" w:rsidP="00E8617E">
      <w:pPr>
        <w:pStyle w:val="DefaultText"/>
        <w:spacing w:after="120" w:line="300" w:lineRule="atLeast"/>
        <w:ind w:firstLine="708"/>
        <w:rPr>
          <w:i/>
          <w:sz w:val="22"/>
          <w:szCs w:val="22"/>
          <w:lang w:val="bg-BG"/>
        </w:rPr>
      </w:pPr>
      <w:r>
        <w:rPr>
          <w:i/>
          <w:sz w:val="22"/>
          <w:szCs w:val="22"/>
          <w:lang w:val="bg-BG"/>
        </w:rPr>
        <w:t>Под</w:t>
      </w:r>
      <w:r w:rsidR="00E8617E" w:rsidRPr="00BC513A">
        <w:rPr>
          <w:i/>
          <w:sz w:val="22"/>
          <w:szCs w:val="22"/>
          <w:lang w:val="bg-BG"/>
        </w:rPr>
        <w:t>мярка 3: Поддържане на характеристиките на ландшафта</w:t>
      </w:r>
    </w:p>
    <w:p w14:paraId="32267158"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Въздействието се изразява в поддържане на традиционния ландшафт, предотвратяване на интензивното управление на овощните градини и замяната на традиционни овощни сортове с нови високодобивни сортове. Забраната за прилагане на минерални торове или хербициди в затревените прилежащи площи (в междуредията) на традиционната овощна градина оказва положително въздействие за поддържането на земеделските и горските земи с ВПС.</w:t>
      </w:r>
    </w:p>
    <w:p w14:paraId="07D7190F" w14:textId="5C4A6C77" w:rsidR="00E8617E" w:rsidRPr="00BC513A" w:rsidRDefault="00045479" w:rsidP="00E8617E">
      <w:pPr>
        <w:pStyle w:val="DefaultText"/>
        <w:spacing w:after="120" w:line="300" w:lineRule="atLeast"/>
        <w:ind w:firstLine="708"/>
        <w:rPr>
          <w:sz w:val="22"/>
          <w:szCs w:val="22"/>
          <w:lang w:val="bg-BG"/>
        </w:rPr>
      </w:pPr>
      <w:r>
        <w:rPr>
          <w:i/>
          <w:sz w:val="22"/>
          <w:szCs w:val="22"/>
          <w:lang w:val="bg-BG"/>
        </w:rPr>
        <w:t>Под</w:t>
      </w:r>
      <w:r w:rsidR="00E8617E" w:rsidRPr="00BC513A">
        <w:rPr>
          <w:i/>
          <w:sz w:val="22"/>
          <w:szCs w:val="22"/>
          <w:lang w:val="bg-BG"/>
        </w:rPr>
        <w:t>мярка 4: Опазване на почвите и водите (ПВ)</w:t>
      </w:r>
      <w:r w:rsidR="00E8617E" w:rsidRPr="00BC513A">
        <w:rPr>
          <w:sz w:val="22"/>
          <w:szCs w:val="22"/>
          <w:lang w:val="bg-BG"/>
        </w:rPr>
        <w:t xml:space="preserve"> Въвеждане на сеитбообръщение за спомага за намаляване на ерозията на почвата и почвеното замърсяване и за опазване качеството на водите.</w:t>
      </w:r>
    </w:p>
    <w:p w14:paraId="61E910FD" w14:textId="2C506228" w:rsidR="00E8617E" w:rsidRPr="00BC513A" w:rsidRDefault="00045479" w:rsidP="00E8617E">
      <w:pPr>
        <w:pStyle w:val="DefaultText"/>
        <w:spacing w:after="120" w:line="300" w:lineRule="atLeast"/>
        <w:ind w:firstLine="708"/>
        <w:rPr>
          <w:i/>
          <w:sz w:val="22"/>
          <w:szCs w:val="22"/>
          <w:lang w:val="bg-BG"/>
        </w:rPr>
      </w:pPr>
      <w:r>
        <w:rPr>
          <w:i/>
          <w:sz w:val="22"/>
          <w:szCs w:val="22"/>
          <w:lang w:val="bg-BG"/>
        </w:rPr>
        <w:t>Подм</w:t>
      </w:r>
      <w:r w:rsidR="00E8617E" w:rsidRPr="00BC513A">
        <w:rPr>
          <w:i/>
          <w:sz w:val="22"/>
          <w:szCs w:val="22"/>
          <w:lang w:val="bg-BG"/>
        </w:rPr>
        <w:t>ярка 5: Традиционно животновъдство</w:t>
      </w:r>
    </w:p>
    <w:p w14:paraId="453DB11F"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Опазване на застрашените местни породи и по-пълноценно използване на високопланинските пасища, водещо до поддържане на високопланинските съобщества с висока природна стойност и традиционните открити планински ландшафти.</w:t>
      </w:r>
    </w:p>
    <w:p w14:paraId="6AC0CBB9" w14:textId="77777777" w:rsidR="00E8617E" w:rsidRPr="00BC513A" w:rsidRDefault="00E8617E" w:rsidP="00E8617E">
      <w:pPr>
        <w:pStyle w:val="DefaultText"/>
        <w:spacing w:after="120" w:line="300" w:lineRule="atLeast"/>
        <w:ind w:firstLine="708"/>
        <w:rPr>
          <w:i/>
          <w:sz w:val="22"/>
          <w:szCs w:val="22"/>
          <w:lang w:val="bg-BG"/>
        </w:rPr>
      </w:pPr>
      <w:r w:rsidRPr="00BC513A">
        <w:rPr>
          <w:sz w:val="22"/>
          <w:szCs w:val="22"/>
          <w:lang w:val="bg-BG"/>
        </w:rPr>
        <w:t xml:space="preserve">Мярка </w:t>
      </w:r>
      <w:r w:rsidRPr="00BC513A">
        <w:rPr>
          <w:i/>
          <w:sz w:val="22"/>
          <w:szCs w:val="22"/>
          <w:lang w:val="bg-BG"/>
        </w:rPr>
        <w:t xml:space="preserve">223. Първоначално залесяване на неземеделски земи </w:t>
      </w:r>
      <w:r w:rsidRPr="00BC513A">
        <w:rPr>
          <w:sz w:val="22"/>
          <w:szCs w:val="22"/>
          <w:lang w:val="bg-BG"/>
        </w:rPr>
        <w:t>и мярка</w:t>
      </w:r>
      <w:r w:rsidRPr="00BC513A">
        <w:rPr>
          <w:i/>
          <w:sz w:val="22"/>
          <w:szCs w:val="22"/>
          <w:lang w:val="bg-BG"/>
        </w:rPr>
        <w:t xml:space="preserve"> 226. Възстановяване на горския потенциал и въвеждане на превантивни дейности</w:t>
      </w:r>
    </w:p>
    <w:p w14:paraId="015473C5"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Приносът към смекчаване на климатичните промени е анализиран съвместно за двете мерки М223 „Първо залесяване на неземеделски земи“ и М226 „Възстановяване на горския потенциал и въвеждане на превантивни дейности“. </w:t>
      </w:r>
    </w:p>
    <w:p w14:paraId="1FE9EDD6"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Програмирано е сумарният ефект от интервенциите по мерките да доведе до намаляване с общо на 252 ktons парникови газове в СО2-еквивалент (72 ktons СО2 по М223 и 180 ktons СО2 по М226). </w:t>
      </w:r>
    </w:p>
    <w:p w14:paraId="6C55F718" w14:textId="3666AD5A"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Данните от годишния доклад за изпълнение на ПРСР от 2015 г., както и конкретните мониторингови таблици за продукт, показват, че за периода до 31.12.2015</w:t>
      </w:r>
      <w:r w:rsidR="00BB5D3E" w:rsidRPr="00BC513A">
        <w:rPr>
          <w:sz w:val="22"/>
          <w:szCs w:val="22"/>
          <w:lang w:val="bg-BG"/>
        </w:rPr>
        <w:t> </w:t>
      </w:r>
      <w:r w:rsidRPr="00BC513A">
        <w:rPr>
          <w:sz w:val="22"/>
          <w:szCs w:val="22"/>
          <w:lang w:val="bg-BG"/>
        </w:rPr>
        <w:t>г. са осъществени и разплатени съответно договори с 69 бенефициента по М223 и 128 договор</w:t>
      </w:r>
      <w:r w:rsidR="00BB5D3E">
        <w:rPr>
          <w:sz w:val="22"/>
          <w:szCs w:val="22"/>
          <w:lang w:val="bg-BG"/>
        </w:rPr>
        <w:t>а</w:t>
      </w:r>
      <w:r w:rsidRPr="00BC513A">
        <w:rPr>
          <w:sz w:val="22"/>
          <w:szCs w:val="22"/>
          <w:lang w:val="bg-BG"/>
        </w:rPr>
        <w:t xml:space="preserve"> с общо 274 дейности по М226. Разплатените бюджети възлизат съответно на 6 090</w:t>
      </w:r>
      <w:r w:rsidR="00BB5D3E">
        <w:rPr>
          <w:sz w:val="22"/>
          <w:szCs w:val="22"/>
          <w:lang w:val="bg-BG"/>
        </w:rPr>
        <w:t> </w:t>
      </w:r>
      <w:r w:rsidRPr="00BC513A">
        <w:rPr>
          <w:sz w:val="22"/>
          <w:szCs w:val="22"/>
          <w:lang w:val="bg-BG"/>
        </w:rPr>
        <w:t>000 милиона евро за М223 и 15</w:t>
      </w:r>
      <w:bookmarkStart w:id="157" w:name="_Hlk506758109"/>
      <w:r w:rsidRPr="00BC513A">
        <w:rPr>
          <w:sz w:val="22"/>
          <w:szCs w:val="22"/>
          <w:lang w:val="bg-BG"/>
        </w:rPr>
        <w:t> </w:t>
      </w:r>
      <w:bookmarkEnd w:id="157"/>
      <w:r w:rsidRPr="00BC513A">
        <w:rPr>
          <w:sz w:val="22"/>
          <w:szCs w:val="22"/>
          <w:lang w:val="bg-BG"/>
        </w:rPr>
        <w:t>300 000 милиона евро за М226.</w:t>
      </w:r>
    </w:p>
    <w:p w14:paraId="38F53C95"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 мярка М223 са осъществени залесявания върху 2</w:t>
      </w:r>
      <w:r w:rsidR="00BB5D3E">
        <w:rPr>
          <w:sz w:val="22"/>
          <w:szCs w:val="22"/>
          <w:lang w:val="bg-BG"/>
        </w:rPr>
        <w:t> </w:t>
      </w:r>
      <w:r w:rsidRPr="00BC513A">
        <w:rPr>
          <w:sz w:val="22"/>
          <w:szCs w:val="22"/>
          <w:lang w:val="bg-BG"/>
        </w:rPr>
        <w:t>624 ha, като новосъздадените гори са били предимно широколистни (2</w:t>
      </w:r>
      <w:r w:rsidR="00BB5D3E">
        <w:rPr>
          <w:sz w:val="22"/>
          <w:szCs w:val="22"/>
          <w:lang w:val="bg-BG"/>
        </w:rPr>
        <w:t> </w:t>
      </w:r>
      <w:r w:rsidRPr="00BC513A">
        <w:rPr>
          <w:sz w:val="22"/>
          <w:szCs w:val="22"/>
          <w:lang w:val="bg-BG"/>
        </w:rPr>
        <w:t>130 ha; 81% от всички площи). По М226 са възстановени от пожари (презалесени) горски площи в размер на 2</w:t>
      </w:r>
      <w:r w:rsidR="00BB5D3E">
        <w:rPr>
          <w:sz w:val="22"/>
          <w:szCs w:val="22"/>
          <w:lang w:val="bg-BG"/>
        </w:rPr>
        <w:t> </w:t>
      </w:r>
      <w:r w:rsidRPr="00BC513A">
        <w:rPr>
          <w:sz w:val="22"/>
          <w:szCs w:val="22"/>
          <w:lang w:val="bg-BG"/>
        </w:rPr>
        <w:t>540 ha, като липсва информация относно дървесните видове, с които се извършва презалесяването.</w:t>
      </w:r>
    </w:p>
    <w:p w14:paraId="3321EEBB"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За определяне приноса на подкрепените залесителни дейности към поглъщането на парникови газове е използвана вариация на методиката на „Trees for the Future“ (</w:t>
      </w:r>
      <w:hyperlink r:id="rId53" w:history="1">
        <w:r w:rsidR="00BB5D3E" w:rsidRPr="007E6C5D">
          <w:rPr>
            <w:rStyle w:val="Hyperlink"/>
            <w:sz w:val="22"/>
            <w:szCs w:val="22"/>
            <w:lang w:val="bg-BG"/>
          </w:rPr>
          <w:t>https://www.broward.org/NaturalResources/ClimateChange/Documents/Calculating%20CO2%20Sequestration%20by%20Trees.pdf</w:t>
        </w:r>
      </w:hyperlink>
      <w:r w:rsidRPr="00BC513A">
        <w:rPr>
          <w:sz w:val="22"/>
          <w:szCs w:val="22"/>
          <w:lang w:val="bg-BG"/>
        </w:rPr>
        <w:t>). За да се достигне до крайната сума на секвестиран въглероден двуокис са направени следните допускания:</w:t>
      </w:r>
    </w:p>
    <w:p w14:paraId="37D0442A" w14:textId="77777777" w:rsidR="00E8617E" w:rsidRPr="00BC513A" w:rsidRDefault="00E8617E" w:rsidP="00E8617E">
      <w:pPr>
        <w:pStyle w:val="DefaultText"/>
        <w:numPr>
          <w:ilvl w:val="0"/>
          <w:numId w:val="45"/>
        </w:numPr>
        <w:spacing w:after="120" w:line="300" w:lineRule="atLeast"/>
        <w:rPr>
          <w:sz w:val="22"/>
          <w:szCs w:val="22"/>
          <w:lang w:val="bg-BG"/>
        </w:rPr>
      </w:pPr>
      <w:r w:rsidRPr="00BC513A">
        <w:rPr>
          <w:sz w:val="22"/>
          <w:szCs w:val="22"/>
          <w:lang w:val="bg-BG"/>
        </w:rPr>
        <w:t>Първо, приема се, че залесяването на общо 4</w:t>
      </w:r>
      <w:r w:rsidR="00BB5D3E" w:rsidRPr="00BC513A">
        <w:rPr>
          <w:sz w:val="22"/>
          <w:szCs w:val="22"/>
          <w:lang w:val="bg-BG"/>
        </w:rPr>
        <w:t> </w:t>
      </w:r>
      <w:r w:rsidRPr="00BC513A">
        <w:rPr>
          <w:sz w:val="22"/>
          <w:szCs w:val="22"/>
          <w:lang w:val="bg-BG"/>
        </w:rPr>
        <w:t>670 ha е извършено предимно със широколистни видове (70% от площта) и в по-малка степен - със иглолистни видове (30%).</w:t>
      </w:r>
    </w:p>
    <w:p w14:paraId="4BD3DCFE" w14:textId="77777777" w:rsidR="00E8617E" w:rsidRPr="00BC513A" w:rsidRDefault="00E8617E" w:rsidP="00E8617E">
      <w:pPr>
        <w:pStyle w:val="DefaultText"/>
        <w:numPr>
          <w:ilvl w:val="0"/>
          <w:numId w:val="45"/>
        </w:numPr>
        <w:spacing w:after="120" w:line="300" w:lineRule="atLeast"/>
        <w:rPr>
          <w:sz w:val="22"/>
          <w:szCs w:val="22"/>
          <w:lang w:val="bg-BG"/>
        </w:rPr>
      </w:pPr>
      <w:r w:rsidRPr="00BC513A">
        <w:rPr>
          <w:sz w:val="22"/>
          <w:szCs w:val="22"/>
          <w:lang w:val="bg-BG"/>
        </w:rPr>
        <w:t>Второ, приема се, че същинското залесяване е осъществено в периода 2013-2015 г., което означава среден престой  на насажденията (Климатичните ползи от залесяването започват след залесяването, финансирано от ПРСР, независимо от възрастта на самия залесителен материал) от 1-2 години към края на 2015г. Приема се, че 50% от насажденията са едногодишни, а другата половина са двугодишни – тоест залесителният материал е имал време да расте 2 години.</w:t>
      </w:r>
    </w:p>
    <w:p w14:paraId="19D1DF08" w14:textId="1C15347B" w:rsidR="00E8617E" w:rsidRPr="00BC513A" w:rsidRDefault="00E8617E" w:rsidP="00E8617E">
      <w:pPr>
        <w:pStyle w:val="DefaultText"/>
        <w:numPr>
          <w:ilvl w:val="0"/>
          <w:numId w:val="45"/>
        </w:numPr>
        <w:spacing w:after="120" w:line="300" w:lineRule="atLeast"/>
        <w:rPr>
          <w:sz w:val="22"/>
          <w:szCs w:val="22"/>
          <w:lang w:val="bg-BG"/>
        </w:rPr>
      </w:pPr>
      <w:r w:rsidRPr="00BC513A">
        <w:rPr>
          <w:sz w:val="22"/>
          <w:szCs w:val="22"/>
          <w:lang w:val="bg-BG"/>
        </w:rPr>
        <w:t>Трето, приемаме, че при залесяването се следват норми от 2</w:t>
      </w:r>
      <w:r w:rsidR="00BB5D3E" w:rsidRPr="00BC513A">
        <w:rPr>
          <w:sz w:val="22"/>
          <w:szCs w:val="22"/>
          <w:lang w:val="bg-BG"/>
        </w:rPr>
        <w:t> </w:t>
      </w:r>
      <w:r w:rsidRPr="00BC513A">
        <w:rPr>
          <w:sz w:val="22"/>
          <w:szCs w:val="22"/>
          <w:lang w:val="bg-BG"/>
        </w:rPr>
        <w:t>500 фиданки/ha при иглолистните гори и 4</w:t>
      </w:r>
      <w:r w:rsidR="00BB5D3E" w:rsidRPr="00BC513A">
        <w:rPr>
          <w:sz w:val="22"/>
          <w:szCs w:val="22"/>
          <w:lang w:val="bg-BG"/>
        </w:rPr>
        <w:t> </w:t>
      </w:r>
      <w:r w:rsidRPr="00BC513A">
        <w:rPr>
          <w:sz w:val="22"/>
          <w:szCs w:val="22"/>
          <w:lang w:val="bg-BG"/>
        </w:rPr>
        <w:t>000 дръвчета за широколистните (според Forestry Focus (http://www.forestryfocus.ie/growing-forests-3/establishing-forests/planting/) при залесяване с дъб и бук  гъстотата на фиданките достига до 6</w:t>
      </w:r>
      <w:r w:rsidR="00BB5D3E" w:rsidRPr="00BC513A">
        <w:rPr>
          <w:sz w:val="22"/>
          <w:szCs w:val="22"/>
          <w:lang w:val="bg-BG"/>
        </w:rPr>
        <w:t> </w:t>
      </w:r>
      <w:r w:rsidRPr="00BC513A">
        <w:rPr>
          <w:sz w:val="22"/>
          <w:szCs w:val="22"/>
          <w:lang w:val="bg-BG"/>
        </w:rPr>
        <w:t>600 фиданки/ha).</w:t>
      </w:r>
    </w:p>
    <w:p w14:paraId="2365F8D2" w14:textId="77777777" w:rsidR="00E8617E" w:rsidRPr="00BC513A" w:rsidRDefault="00E8617E" w:rsidP="00E8617E">
      <w:pPr>
        <w:pStyle w:val="DefaultText"/>
        <w:numPr>
          <w:ilvl w:val="0"/>
          <w:numId w:val="45"/>
        </w:numPr>
        <w:spacing w:after="120" w:line="300" w:lineRule="atLeast"/>
        <w:rPr>
          <w:sz w:val="22"/>
          <w:szCs w:val="22"/>
          <w:lang w:val="bg-BG"/>
        </w:rPr>
      </w:pPr>
      <w:r w:rsidRPr="00BC513A">
        <w:rPr>
          <w:sz w:val="22"/>
          <w:szCs w:val="22"/>
          <w:lang w:val="bg-BG"/>
        </w:rPr>
        <w:t>Четвърто, абсолютно сухото вещество в залесителния материал на широколистните насаждения е нараснало със 150 гр./година, а при иглолистните – със 100 гр./година.</w:t>
      </w:r>
    </w:p>
    <w:p w14:paraId="1A074BA3"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Въз основа на горните допускания са направени изчисленията и следвайки методиката на „Trees for the Future“ може да се определи обемът на погълнатия СО2 по мярка 223 и мярка 226 по следния начин:</w:t>
      </w:r>
    </w:p>
    <w:p w14:paraId="24ED5A4C" w14:textId="77777777" w:rsidR="00E8617E" w:rsidRPr="00BC513A" w:rsidRDefault="00E8617E" w:rsidP="00E8617E">
      <w:pPr>
        <w:pStyle w:val="DefaultText"/>
        <w:numPr>
          <w:ilvl w:val="0"/>
          <w:numId w:val="46"/>
        </w:numPr>
        <w:spacing w:after="120" w:line="300" w:lineRule="atLeast"/>
        <w:rPr>
          <w:sz w:val="22"/>
          <w:szCs w:val="22"/>
          <w:lang w:val="bg-BG"/>
        </w:rPr>
      </w:pPr>
      <w:r w:rsidRPr="00BC513A">
        <w:rPr>
          <w:sz w:val="22"/>
          <w:szCs w:val="22"/>
          <w:lang w:val="bg-BG"/>
        </w:rPr>
        <w:t>теглото на погълнатия въглерод С = 50% от сухото вещество, тоест 1</w:t>
      </w:r>
      <w:r w:rsidR="00BB5D3E" w:rsidRPr="00BC513A">
        <w:rPr>
          <w:sz w:val="22"/>
          <w:szCs w:val="22"/>
          <w:lang w:val="bg-BG"/>
        </w:rPr>
        <w:t> </w:t>
      </w:r>
      <w:r w:rsidRPr="00BC513A">
        <w:rPr>
          <w:sz w:val="22"/>
          <w:szCs w:val="22"/>
          <w:lang w:val="bg-BG"/>
        </w:rPr>
        <w:t>891 tons</w:t>
      </w:r>
    </w:p>
    <w:p w14:paraId="40ADE449" w14:textId="77777777" w:rsidR="00E8617E" w:rsidRPr="00BC513A" w:rsidRDefault="00E8617E" w:rsidP="00E8617E">
      <w:pPr>
        <w:pStyle w:val="DefaultText"/>
        <w:numPr>
          <w:ilvl w:val="0"/>
          <w:numId w:val="46"/>
        </w:numPr>
        <w:spacing w:after="120" w:line="300" w:lineRule="atLeast"/>
        <w:rPr>
          <w:sz w:val="22"/>
          <w:szCs w:val="22"/>
          <w:lang w:val="bg-BG"/>
        </w:rPr>
      </w:pPr>
      <w:r w:rsidRPr="00BC513A">
        <w:rPr>
          <w:sz w:val="22"/>
          <w:szCs w:val="22"/>
          <w:lang w:val="bg-BG"/>
        </w:rPr>
        <w:t>теглото на погълнатия СО2 е 3.6663* теглото на погълнатия въглерод, тоест – равнява се на 6</w:t>
      </w:r>
      <w:r w:rsidR="00BB5D3E" w:rsidRPr="00BC513A">
        <w:rPr>
          <w:sz w:val="22"/>
          <w:szCs w:val="22"/>
          <w:lang w:val="bg-BG"/>
        </w:rPr>
        <w:t> </w:t>
      </w:r>
      <w:r w:rsidRPr="00BC513A">
        <w:rPr>
          <w:sz w:val="22"/>
          <w:szCs w:val="22"/>
          <w:lang w:val="bg-BG"/>
        </w:rPr>
        <w:t>834 tons  погълнат СО2, или 6,8 ktons СО2.</w:t>
      </w:r>
    </w:p>
    <w:p w14:paraId="6A1B93B7" w14:textId="748B23E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Така изчисленият принос на подкрепените залесителни дейности по мярка 223 към поглъщането на парникови газове се равнява на 3</w:t>
      </w:r>
      <w:r w:rsidR="00BB5D3E" w:rsidRPr="00BC513A">
        <w:rPr>
          <w:sz w:val="22"/>
          <w:szCs w:val="22"/>
          <w:lang w:val="bg-BG"/>
        </w:rPr>
        <w:t> </w:t>
      </w:r>
      <w:r w:rsidRPr="00BC513A">
        <w:rPr>
          <w:sz w:val="22"/>
          <w:szCs w:val="22"/>
          <w:lang w:val="bg-BG"/>
        </w:rPr>
        <w:t>690 tons погълнат СО2, или 3,69</w:t>
      </w:r>
      <w:r w:rsidR="00BB5D3E" w:rsidRPr="00BC513A">
        <w:rPr>
          <w:sz w:val="22"/>
          <w:szCs w:val="22"/>
          <w:lang w:val="bg-BG"/>
        </w:rPr>
        <w:t> </w:t>
      </w:r>
      <w:r w:rsidRPr="00BC513A">
        <w:rPr>
          <w:sz w:val="22"/>
          <w:szCs w:val="22"/>
          <w:lang w:val="bg-BG"/>
        </w:rPr>
        <w:t>ktons СО2. Видно е, че мярката не допринася в достатъчна степен, тъй като  целта не е постигната.</w:t>
      </w:r>
    </w:p>
    <w:p w14:paraId="3EFED375"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Приносът на подкрепените залесителни дейности по мярка 226 към поглъщането на парникови газове се равнява на 3144 tons погълнат СО2, или 3,14 ktons СО2.</w:t>
      </w:r>
    </w:p>
    <w:p w14:paraId="510312A2" w14:textId="77777777" w:rsidR="00E8617E" w:rsidRPr="00BC513A" w:rsidRDefault="00E8617E" w:rsidP="00E8617E">
      <w:pPr>
        <w:pStyle w:val="DefaultText"/>
        <w:rPr>
          <w:lang w:val="bg-BG"/>
        </w:rPr>
      </w:pPr>
    </w:p>
    <w:p w14:paraId="7DEEB69A" w14:textId="0AF07C12" w:rsidR="00E8617E" w:rsidRPr="00BC513A" w:rsidRDefault="00E8617E" w:rsidP="00E8617E">
      <w:pPr>
        <w:pStyle w:val="Heading3"/>
        <w:numPr>
          <w:ilvl w:val="0"/>
          <w:numId w:val="0"/>
        </w:numPr>
        <w:shd w:val="clear" w:color="auto" w:fill="E2EFD9" w:themeFill="accent6" w:themeFillTint="33"/>
        <w:tabs>
          <w:tab w:val="left" w:pos="709"/>
        </w:tabs>
        <w:spacing w:before="0" w:after="0"/>
        <w:ind w:left="709" w:hanging="812"/>
      </w:pPr>
      <w:bookmarkStart w:id="158" w:name="_Toc504136157"/>
      <w:r w:rsidRPr="00BC513A">
        <w:t>О</w:t>
      </w:r>
      <w:r w:rsidR="003A0F89">
        <w:t xml:space="preserve">с </w:t>
      </w:r>
      <w:r w:rsidRPr="00BC513A">
        <w:t>3: Качество на живот в селските райони и разнообразяване на селската икономика</w:t>
      </w:r>
      <w:bookmarkEnd w:id="158"/>
    </w:p>
    <w:p w14:paraId="49E02569" w14:textId="77777777" w:rsidR="00E8617E" w:rsidRPr="00BC513A" w:rsidRDefault="00E8617E" w:rsidP="00E8617E">
      <w:pPr>
        <w:pStyle w:val="ListParagraph"/>
        <w:keepNext/>
        <w:numPr>
          <w:ilvl w:val="0"/>
          <w:numId w:val="47"/>
        </w:numPr>
        <w:spacing w:before="240" w:after="120"/>
        <w:ind w:left="709" w:hanging="507"/>
        <w:contextualSpacing w:val="0"/>
        <w:jc w:val="both"/>
        <w:rPr>
          <w:rFonts w:ascii="Arial" w:hAnsi="Arial" w:cs="Arial"/>
          <w:color w:val="0070C0"/>
        </w:rPr>
      </w:pPr>
      <w:r w:rsidRPr="00BC513A">
        <w:rPr>
          <w:rFonts w:ascii="Arial" w:hAnsi="Arial" w:cs="Arial"/>
          <w:color w:val="0070C0"/>
        </w:rPr>
        <w:t>До каква степен ПРСР е допринесла за подобряване на качеството на живот в селските райони и за насърчаване разнообразяването на селската икономика?  (Стратегически приоритет на Общността)</w:t>
      </w:r>
    </w:p>
    <w:p w14:paraId="3708038A" w14:textId="6351DEBB" w:rsidR="00E8617E" w:rsidRPr="00BC513A" w:rsidRDefault="00E8617E" w:rsidP="00E8617E">
      <w:pPr>
        <w:spacing w:after="120" w:line="300" w:lineRule="atLeast"/>
        <w:ind w:firstLine="709"/>
        <w:jc w:val="both"/>
        <w:rPr>
          <w:rFonts w:ascii="Arial" w:eastAsia="Times New Roman" w:hAnsi="Arial" w:cs="Times New Roman"/>
          <w:lang w:eastAsia="nl-NL"/>
        </w:rPr>
      </w:pPr>
      <w:r w:rsidRPr="00BC513A">
        <w:rPr>
          <w:rFonts w:ascii="Arial" w:eastAsia="Times New Roman" w:hAnsi="Arial" w:cs="Times New Roman"/>
          <w:lang w:eastAsia="nl-NL"/>
        </w:rPr>
        <w:t>По своята същност всички дейности, попадащи в обхвата на мерките, прилагани по ос 3 на ПРСР</w:t>
      </w:r>
      <w:r w:rsidR="0057318C">
        <w:rPr>
          <w:rFonts w:ascii="Arial" w:eastAsia="Times New Roman" w:hAnsi="Arial" w:cs="Times New Roman"/>
          <w:lang w:eastAsia="nl-NL"/>
        </w:rPr>
        <w:t>,</w:t>
      </w:r>
      <w:r w:rsidRPr="00BC513A">
        <w:rPr>
          <w:rFonts w:ascii="Arial" w:eastAsia="Times New Roman" w:hAnsi="Arial" w:cs="Times New Roman"/>
          <w:lang w:eastAsia="nl-NL"/>
        </w:rPr>
        <w:t xml:space="preserve"> целят създаването на благоприятни социално-икономически условия в селските райони чрез подпомагане на неземеделския сектор. Това създава условия от една  страна за повишаване на конкурентоспособността на местния пазар и от друга за подобряване качеството на живот на населението. Инвестициите в  инфраструктура и подобряване достъпа до обществени услуги, облагородяването на населените места, както и развитието на предлаганите туристически услуги, в т.ч. достъп до обновени туристически атракции, места за настаняване и маркетинг на селския и алтернативен туризъм,  допринасят за изпълнението и на трите основни приоритета на </w:t>
      </w:r>
      <w:r w:rsidR="000F57E9">
        <w:rPr>
          <w:rFonts w:ascii="Arial" w:eastAsia="Times New Roman" w:hAnsi="Arial" w:cs="Times New Roman"/>
          <w:lang w:eastAsia="nl-NL"/>
        </w:rPr>
        <w:t>п</w:t>
      </w:r>
      <w:r w:rsidRPr="00BC513A">
        <w:rPr>
          <w:rFonts w:ascii="Arial" w:eastAsia="Times New Roman" w:hAnsi="Arial" w:cs="Times New Roman"/>
          <w:lang w:eastAsia="nl-NL"/>
        </w:rPr>
        <w:t xml:space="preserve">рограмата и Общността – икономическо развитие, опазване на околната среда и създаване на заетост. </w:t>
      </w:r>
    </w:p>
    <w:p w14:paraId="497C892B" w14:textId="77777777" w:rsidR="00E8617E" w:rsidRPr="00BC513A" w:rsidRDefault="00E8617E" w:rsidP="00E8617E">
      <w:pPr>
        <w:spacing w:after="120" w:line="300" w:lineRule="atLeast"/>
        <w:ind w:firstLine="709"/>
        <w:jc w:val="both"/>
        <w:rPr>
          <w:rFonts w:ascii="Arial" w:eastAsia="Times New Roman" w:hAnsi="Arial" w:cs="Times New Roman"/>
          <w:lang w:eastAsia="nl-NL"/>
        </w:rPr>
      </w:pPr>
      <w:r w:rsidRPr="00BC513A">
        <w:rPr>
          <w:rFonts w:ascii="Arial" w:eastAsia="Times New Roman" w:hAnsi="Arial" w:cs="Times New Roman"/>
          <w:lang w:eastAsia="nl-NL"/>
        </w:rPr>
        <w:t xml:space="preserve">Основното въздействие от </w:t>
      </w:r>
      <w:r w:rsidR="000F57E9">
        <w:rPr>
          <w:rFonts w:ascii="Arial" w:eastAsia="Times New Roman" w:hAnsi="Arial" w:cs="Times New Roman"/>
          <w:lang w:eastAsia="nl-NL"/>
        </w:rPr>
        <w:t>п</w:t>
      </w:r>
      <w:r w:rsidRPr="00BC513A">
        <w:rPr>
          <w:rFonts w:ascii="Arial" w:eastAsia="Times New Roman" w:hAnsi="Arial" w:cs="Times New Roman"/>
          <w:lang w:eastAsia="nl-NL"/>
        </w:rPr>
        <w:t xml:space="preserve">рограмата по ос 3 е </w:t>
      </w:r>
      <w:r w:rsidR="001207FF">
        <w:rPr>
          <w:rFonts w:ascii="Arial" w:eastAsia="Times New Roman" w:hAnsi="Arial" w:cs="Times New Roman"/>
          <w:lang w:eastAsia="nl-NL"/>
        </w:rPr>
        <w:t>в</w:t>
      </w:r>
      <w:r w:rsidRPr="00BC513A">
        <w:rPr>
          <w:rFonts w:ascii="Arial" w:eastAsia="Times New Roman" w:hAnsi="Arial" w:cs="Times New Roman"/>
          <w:lang w:eastAsia="nl-NL"/>
        </w:rPr>
        <w:t xml:space="preserve"> подобряване на инфраструктурата на селските общини и от тук и качеството на живот и на територията на селските райони. Сравнително по-малко е </w:t>
      </w:r>
      <w:r w:rsidR="001207FF" w:rsidRPr="00BC513A">
        <w:rPr>
          <w:rFonts w:ascii="Arial" w:eastAsia="Times New Roman" w:hAnsi="Arial" w:cs="Times New Roman"/>
          <w:lang w:eastAsia="nl-NL"/>
        </w:rPr>
        <w:t>въздействието</w:t>
      </w:r>
      <w:r w:rsidRPr="00BC513A">
        <w:rPr>
          <w:rFonts w:ascii="Arial" w:eastAsia="Times New Roman" w:hAnsi="Arial" w:cs="Times New Roman"/>
          <w:lang w:eastAsia="nl-NL"/>
        </w:rPr>
        <w:t xml:space="preserve"> </w:t>
      </w:r>
      <w:r w:rsidR="001207FF">
        <w:rPr>
          <w:rFonts w:ascii="Arial" w:eastAsia="Times New Roman" w:hAnsi="Arial" w:cs="Times New Roman"/>
          <w:lang w:eastAsia="nl-NL"/>
        </w:rPr>
        <w:t>за</w:t>
      </w:r>
      <w:r w:rsidRPr="00BC513A">
        <w:rPr>
          <w:rFonts w:ascii="Arial" w:eastAsia="Times New Roman" w:hAnsi="Arial" w:cs="Times New Roman"/>
          <w:lang w:eastAsia="nl-NL"/>
        </w:rPr>
        <w:t xml:space="preserve"> съживяване на местната икономика, повишаване на икономическата активност на населението, намаляване на безработицата и повишаване на жизнения стандарт. Това е така поради значително преизпълнение както по </w:t>
      </w:r>
      <w:r w:rsidR="001207FF" w:rsidRPr="00BC513A">
        <w:rPr>
          <w:rFonts w:ascii="Arial" w:eastAsia="Times New Roman" w:hAnsi="Arial" w:cs="Times New Roman"/>
          <w:lang w:eastAsia="nl-NL"/>
        </w:rPr>
        <w:t>отношение</w:t>
      </w:r>
      <w:r w:rsidRPr="00BC513A">
        <w:rPr>
          <w:rFonts w:ascii="Arial" w:eastAsia="Times New Roman" w:hAnsi="Arial" w:cs="Times New Roman"/>
          <w:lang w:eastAsia="nl-NL"/>
        </w:rPr>
        <w:t xml:space="preserve"> на финансов ресурс, така и </w:t>
      </w:r>
      <w:r w:rsidR="001207FF">
        <w:rPr>
          <w:rFonts w:ascii="Arial" w:eastAsia="Times New Roman" w:hAnsi="Arial" w:cs="Times New Roman"/>
          <w:lang w:eastAsia="nl-NL"/>
        </w:rPr>
        <w:t xml:space="preserve">като </w:t>
      </w:r>
      <w:r w:rsidRPr="00BC513A">
        <w:rPr>
          <w:rFonts w:ascii="Arial" w:eastAsia="Times New Roman" w:hAnsi="Arial" w:cs="Times New Roman"/>
          <w:lang w:eastAsia="nl-NL"/>
        </w:rPr>
        <w:t xml:space="preserve">резултати на инфраструктурните мерки за общините и постигнатите по-слаби резултати по мерките за съживяване на </w:t>
      </w:r>
      <w:r w:rsidR="001207FF" w:rsidRPr="00BC513A">
        <w:rPr>
          <w:rFonts w:ascii="Arial" w:eastAsia="Times New Roman" w:hAnsi="Arial" w:cs="Times New Roman"/>
          <w:lang w:eastAsia="nl-NL"/>
        </w:rPr>
        <w:t>с</w:t>
      </w:r>
      <w:r w:rsidR="001207FF">
        <w:rPr>
          <w:rFonts w:ascii="Arial" w:eastAsia="Times New Roman" w:hAnsi="Arial" w:cs="Times New Roman"/>
          <w:lang w:eastAsia="nl-NL"/>
        </w:rPr>
        <w:t>елската</w:t>
      </w:r>
      <w:r w:rsidRPr="00BC513A">
        <w:rPr>
          <w:rFonts w:ascii="Arial" w:eastAsia="Times New Roman" w:hAnsi="Arial" w:cs="Times New Roman"/>
          <w:lang w:eastAsia="nl-NL"/>
        </w:rPr>
        <w:t xml:space="preserve"> икономика.</w:t>
      </w:r>
    </w:p>
    <w:p w14:paraId="49A70DC3" w14:textId="77777777" w:rsidR="00E8617E" w:rsidRPr="00BC513A" w:rsidRDefault="00E8617E" w:rsidP="00E8617E">
      <w:pPr>
        <w:pStyle w:val="ListParagraph"/>
        <w:keepNext/>
        <w:numPr>
          <w:ilvl w:val="0"/>
          <w:numId w:val="47"/>
        </w:numPr>
        <w:spacing w:before="240" w:after="120"/>
        <w:ind w:left="709" w:hanging="507"/>
        <w:contextualSpacing w:val="0"/>
        <w:jc w:val="both"/>
        <w:rPr>
          <w:rFonts w:ascii="Arial" w:hAnsi="Arial" w:cs="Arial"/>
          <w:color w:val="0070C0"/>
        </w:rPr>
      </w:pPr>
      <w:r w:rsidRPr="00BC513A">
        <w:rPr>
          <w:rFonts w:ascii="Arial" w:hAnsi="Arial" w:cs="Arial"/>
          <w:color w:val="0070C0"/>
        </w:rPr>
        <w:t>До каква степен ПРСР е допринесла за създаването на достъп до широколентов интернет? (включително и разширяването му)? (Health Check objective)</w:t>
      </w:r>
    </w:p>
    <w:p w14:paraId="28C7D532" w14:textId="77777777" w:rsidR="00E8617E" w:rsidRPr="00BC513A" w:rsidRDefault="00E8617E" w:rsidP="00E8617E">
      <w:pPr>
        <w:spacing w:after="120" w:line="300" w:lineRule="atLeast"/>
        <w:ind w:firstLine="709"/>
        <w:jc w:val="both"/>
        <w:rPr>
          <w:rFonts w:ascii="Arial" w:eastAsia="Times New Roman" w:hAnsi="Arial" w:cs="Times New Roman"/>
          <w:lang w:eastAsia="nl-NL"/>
        </w:rPr>
      </w:pPr>
      <w:r w:rsidRPr="00BC513A">
        <w:rPr>
          <w:rFonts w:ascii="Arial" w:eastAsia="Times New Roman" w:hAnsi="Arial" w:cs="Times New Roman"/>
          <w:lang w:eastAsia="nl-NL"/>
        </w:rPr>
        <w:t xml:space="preserve">По отношение създаването на условия за достъп до широколентов интернет на населението са наблюдава частичното подпомагане на развитието на информационни и комуникационни технологии (ИКТ) услуги. Създаването на нови и обновяването на съществуващи ИКТ центрове в населените места по мярка 321 в периода 2007-2013 г. не намира пряко отражение или конкретен принос към създаването на достъп до широколентов интернет. Поради тази причина, осигуряването на широколентова връзка за населението по места продължава да се изпълнява в рамките на ПРСР 2014-2020. </w:t>
      </w:r>
    </w:p>
    <w:p w14:paraId="154AB376" w14:textId="77777777" w:rsidR="00E8617E" w:rsidRPr="00BC513A" w:rsidRDefault="00E8617E" w:rsidP="00E8617E">
      <w:pPr>
        <w:pStyle w:val="ListParagraph"/>
        <w:keepNext/>
        <w:numPr>
          <w:ilvl w:val="0"/>
          <w:numId w:val="47"/>
        </w:numPr>
        <w:spacing w:before="240" w:after="120"/>
        <w:ind w:left="709" w:hanging="507"/>
        <w:contextualSpacing w:val="0"/>
        <w:jc w:val="both"/>
        <w:rPr>
          <w:rFonts w:ascii="Arial" w:hAnsi="Arial" w:cs="Arial"/>
          <w:color w:val="0070C0"/>
        </w:rPr>
      </w:pPr>
      <w:r w:rsidRPr="00BC513A">
        <w:rPr>
          <w:rFonts w:ascii="Arial" w:hAnsi="Arial" w:cs="Arial"/>
          <w:color w:val="0070C0"/>
        </w:rPr>
        <w:t>Как и до каква степен съответната мярка е допринесла за подобряване на икономическото разнообразяване на бенефициентите?</w:t>
      </w:r>
      <w:r w:rsidRPr="00535876">
        <w:rPr>
          <w:vertAlign w:val="superscript"/>
        </w:rPr>
        <w:footnoteReference w:id="28"/>
      </w:r>
      <w:r w:rsidRPr="00BC513A">
        <w:rPr>
          <w:rFonts w:ascii="Arial" w:hAnsi="Arial" w:cs="Arial"/>
          <w:color w:val="0070C0"/>
        </w:rPr>
        <w:t xml:space="preserve"> </w:t>
      </w:r>
    </w:p>
    <w:p w14:paraId="6DD3769A"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311. Разнообразяване към неземеделски дейности</w:t>
      </w:r>
    </w:p>
    <w:p w14:paraId="6479EFBF" w14:textId="56DAA2C5" w:rsidR="00E8617E" w:rsidRPr="00BC513A" w:rsidRDefault="00E8617E" w:rsidP="00E8617E">
      <w:pPr>
        <w:spacing w:after="120" w:line="300" w:lineRule="exact"/>
        <w:ind w:firstLine="709"/>
        <w:jc w:val="both"/>
        <w:rPr>
          <w:rFonts w:ascii="Arial" w:eastAsia="Times New Roman" w:hAnsi="Arial" w:cs="Times New Roman"/>
          <w:lang w:eastAsia="nl-NL"/>
        </w:rPr>
      </w:pPr>
      <w:r w:rsidRPr="00BC513A">
        <w:rPr>
          <w:rFonts w:ascii="Arial" w:eastAsia="Times New Roman" w:hAnsi="Arial" w:cs="Times New Roman"/>
          <w:lang w:eastAsia="nl-NL"/>
        </w:rPr>
        <w:t>Мярка 311 има за цел да стимулира и разнообрази икономическите дейности в селските райони чрез развитие на неземеделски дейности. Това се очаква да допринесе за създаване на допълнителен доход за земеделските стопани и да смекчи проблема с недостатъчната заетост. Една от основните неземеделски дейности, които се насърчават е развитието на туризъм. Подкрепя се също така преработката и маркетинг</w:t>
      </w:r>
      <w:r w:rsidR="0057318C">
        <w:rPr>
          <w:rFonts w:ascii="Arial" w:eastAsia="Times New Roman" w:hAnsi="Arial" w:cs="Times New Roman"/>
          <w:lang w:eastAsia="nl-NL"/>
        </w:rPr>
        <w:t>а</w:t>
      </w:r>
      <w:r w:rsidRPr="00BC513A">
        <w:rPr>
          <w:rFonts w:ascii="Arial" w:eastAsia="Times New Roman" w:hAnsi="Arial" w:cs="Times New Roman"/>
          <w:lang w:eastAsia="nl-NL"/>
        </w:rPr>
        <w:t xml:space="preserve"> на селскостопански продукти, занаятчийство и социални услуги. М</w:t>
      </w:r>
      <w:r w:rsidR="0057318C">
        <w:rPr>
          <w:rFonts w:ascii="Arial" w:eastAsia="Times New Roman" w:hAnsi="Arial" w:cs="Times New Roman"/>
          <w:lang w:eastAsia="nl-NL"/>
        </w:rPr>
        <w:t>я</w:t>
      </w:r>
      <w:r w:rsidRPr="00BC513A">
        <w:rPr>
          <w:rFonts w:ascii="Arial" w:eastAsia="Times New Roman" w:hAnsi="Arial" w:cs="Times New Roman"/>
          <w:lang w:eastAsia="nl-NL"/>
        </w:rPr>
        <w:t xml:space="preserve">рката е планирана да има и принос към опазване на околната среда и борбата с климатичните промени чрез производство и продажба на възобновяема енергия. </w:t>
      </w:r>
    </w:p>
    <w:p w14:paraId="34EF71B1" w14:textId="77777777" w:rsidR="00E8617E" w:rsidRPr="00BC513A" w:rsidRDefault="00E8617E" w:rsidP="00E8617E">
      <w:pPr>
        <w:spacing w:after="120" w:line="300" w:lineRule="exact"/>
        <w:ind w:firstLine="709"/>
        <w:jc w:val="both"/>
        <w:rPr>
          <w:rFonts w:ascii="Arial" w:eastAsia="Times New Roman" w:hAnsi="Arial" w:cs="Times New Roman"/>
          <w:lang w:eastAsia="nl-NL"/>
        </w:rPr>
      </w:pPr>
      <w:r w:rsidRPr="00BC513A">
        <w:rPr>
          <w:rFonts w:ascii="Arial" w:eastAsia="Times New Roman" w:hAnsi="Arial" w:cs="Times New Roman"/>
          <w:lang w:eastAsia="nl-NL"/>
        </w:rPr>
        <w:t>Първоначалният бюджет на мярката възлиза на 140 милиона евро, а към края на програмата бюджетът е намален почти наполовина на 74 милион евро.</w:t>
      </w:r>
    </w:p>
    <w:p w14:paraId="60E95E14" w14:textId="77777777" w:rsidR="00E8617E" w:rsidRPr="00BC513A" w:rsidRDefault="00E8617E" w:rsidP="00E8617E">
      <w:pPr>
        <w:spacing w:after="120" w:line="300" w:lineRule="exact"/>
        <w:ind w:firstLine="709"/>
        <w:jc w:val="both"/>
        <w:rPr>
          <w:rFonts w:ascii="Arial" w:eastAsia="Times New Roman" w:hAnsi="Arial" w:cs="Times New Roman"/>
          <w:lang w:eastAsia="nl-NL"/>
        </w:rPr>
      </w:pPr>
      <w:r w:rsidRPr="00BC513A">
        <w:rPr>
          <w:rFonts w:ascii="Arial" w:eastAsia="Times New Roman" w:hAnsi="Arial" w:cs="Times New Roman"/>
          <w:lang w:eastAsia="nl-NL"/>
        </w:rPr>
        <w:t>Като цяло мярката не постига заложените цели по отношение на брой бенефициенти, които са получили подкрепа и обем на инвестициите</w:t>
      </w:r>
      <w:r w:rsidR="0057318C">
        <w:rPr>
          <w:rFonts w:ascii="Arial" w:eastAsia="Times New Roman" w:hAnsi="Arial" w:cs="Times New Roman"/>
          <w:lang w:eastAsia="nl-NL"/>
        </w:rPr>
        <w:t>,</w:t>
      </w:r>
      <w:r w:rsidRPr="00BC513A">
        <w:rPr>
          <w:rFonts w:ascii="Arial" w:eastAsia="Times New Roman" w:hAnsi="Arial" w:cs="Times New Roman"/>
          <w:lang w:eastAsia="nl-NL"/>
        </w:rPr>
        <w:t xml:space="preserve"> както и по отношение на общ брой създадени работни места.</w:t>
      </w:r>
    </w:p>
    <w:p w14:paraId="73CB09BE" w14:textId="77777777" w:rsidR="00E8617E" w:rsidRPr="00BC513A" w:rsidRDefault="00E8617E" w:rsidP="001207FF">
      <w:pPr>
        <w:pStyle w:val="Caption"/>
        <w:keepNext/>
        <w:spacing w:before="240" w:after="0"/>
        <w:rPr>
          <w:rFonts w:ascii="Arial" w:hAnsi="Arial" w:cs="Arial"/>
          <w:b/>
          <w:i w:val="0"/>
          <w:color w:val="0070C0"/>
          <w:sz w:val="20"/>
          <w:szCs w:val="20"/>
        </w:rPr>
      </w:pPr>
      <w:bookmarkStart w:id="159" w:name="_Toc504136235"/>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63</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Изпълнение на целите на мярка 311 база платени проекти</w:t>
      </w:r>
      <w:bookmarkEnd w:id="159"/>
      <w:r w:rsidRPr="00BC513A">
        <w:rPr>
          <w:rFonts w:ascii="Arial" w:hAnsi="Arial" w:cs="Arial"/>
          <w:b/>
          <w:i w:val="0"/>
          <w:color w:val="0070C0"/>
          <w:sz w:val="20"/>
          <w:szCs w:val="20"/>
        </w:rPr>
        <w:t xml:space="preserve"> </w:t>
      </w:r>
    </w:p>
    <w:tbl>
      <w:tblPr>
        <w:tblStyle w:val="TableGrid"/>
        <w:tblW w:w="8788" w:type="dxa"/>
        <w:tblLayout w:type="fixed"/>
        <w:tblLook w:val="04A0" w:firstRow="1" w:lastRow="0" w:firstColumn="1" w:lastColumn="0" w:noHBand="0" w:noVBand="1"/>
      </w:tblPr>
      <w:tblGrid>
        <w:gridCol w:w="2830"/>
        <w:gridCol w:w="1276"/>
        <w:gridCol w:w="1843"/>
        <w:gridCol w:w="1843"/>
        <w:gridCol w:w="996"/>
      </w:tblGrid>
      <w:tr w:rsidR="00E8617E" w:rsidRPr="00BC513A" w14:paraId="3C7577D1" w14:textId="77777777" w:rsidTr="00535876">
        <w:trPr>
          <w:tblHeader/>
        </w:trPr>
        <w:tc>
          <w:tcPr>
            <w:tcW w:w="2830" w:type="dxa"/>
            <w:shd w:val="clear" w:color="auto" w:fill="1F4E79" w:themeFill="accent1" w:themeFillShade="80"/>
            <w:vAlign w:val="center"/>
          </w:tcPr>
          <w:p w14:paraId="4F41AE1E" w14:textId="77777777" w:rsidR="00E8617E" w:rsidRPr="00BC513A" w:rsidRDefault="00E8617E" w:rsidP="001207FF">
            <w:pPr>
              <w:keepNext/>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1276" w:type="dxa"/>
            <w:shd w:val="clear" w:color="auto" w:fill="1F4E79" w:themeFill="accent1" w:themeFillShade="80"/>
            <w:vAlign w:val="center"/>
          </w:tcPr>
          <w:p w14:paraId="25C1848D" w14:textId="77777777" w:rsidR="00E8617E" w:rsidRPr="00BC513A" w:rsidRDefault="00E8617E" w:rsidP="001207FF">
            <w:pPr>
              <w:keepNext/>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Първоначална стойност</w:t>
            </w:r>
          </w:p>
        </w:tc>
        <w:tc>
          <w:tcPr>
            <w:tcW w:w="1843" w:type="dxa"/>
            <w:shd w:val="clear" w:color="auto" w:fill="1F4E79" w:themeFill="accent1" w:themeFillShade="80"/>
            <w:vAlign w:val="center"/>
          </w:tcPr>
          <w:p w14:paraId="0C06CBEC" w14:textId="77777777" w:rsidR="00E8617E" w:rsidRPr="00BC513A" w:rsidRDefault="00E8617E" w:rsidP="001207FF">
            <w:pPr>
              <w:keepNext/>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Окончателна целева стойност </w:t>
            </w:r>
          </w:p>
        </w:tc>
        <w:tc>
          <w:tcPr>
            <w:tcW w:w="1843" w:type="dxa"/>
            <w:shd w:val="clear" w:color="auto" w:fill="1F4E79" w:themeFill="accent1" w:themeFillShade="80"/>
          </w:tcPr>
          <w:p w14:paraId="7BC9E723" w14:textId="77777777" w:rsidR="00E8617E" w:rsidRPr="00BC513A" w:rsidRDefault="00E8617E" w:rsidP="001207FF">
            <w:pPr>
              <w:keepNext/>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Постигната стойност след изпълнението на програмата</w:t>
            </w:r>
          </w:p>
        </w:tc>
        <w:tc>
          <w:tcPr>
            <w:tcW w:w="996" w:type="dxa"/>
            <w:shd w:val="clear" w:color="auto" w:fill="1F4E79" w:themeFill="accent1" w:themeFillShade="80"/>
            <w:vAlign w:val="center"/>
          </w:tcPr>
          <w:p w14:paraId="0BB511B8" w14:textId="77777777" w:rsidR="00E8617E" w:rsidRPr="00BC513A" w:rsidRDefault="00E8617E" w:rsidP="001207FF">
            <w:pPr>
              <w:keepNext/>
              <w:jc w:val="center"/>
              <w:rPr>
                <w:rFonts w:ascii="Arial" w:hAnsi="Arial" w:cs="Arial"/>
                <w:color w:val="FFFFFF" w:themeColor="background1"/>
                <w:sz w:val="20"/>
                <w:szCs w:val="20"/>
              </w:rPr>
            </w:pPr>
            <w:r w:rsidRPr="00BC513A">
              <w:rPr>
                <w:rFonts w:ascii="Arial" w:hAnsi="Arial" w:cs="Arial"/>
                <w:color w:val="FFFFFF" w:themeColor="background1"/>
                <w:sz w:val="20"/>
                <w:szCs w:val="20"/>
              </w:rPr>
              <w:t>%</w:t>
            </w:r>
          </w:p>
        </w:tc>
      </w:tr>
      <w:tr w:rsidR="00E8617E" w:rsidRPr="00BC513A" w14:paraId="373C6A60" w14:textId="77777777" w:rsidTr="00922731">
        <w:tc>
          <w:tcPr>
            <w:tcW w:w="2830" w:type="dxa"/>
          </w:tcPr>
          <w:p w14:paraId="01825AB5" w14:textId="77777777" w:rsidR="00E8617E" w:rsidRPr="00BC513A" w:rsidRDefault="00E8617E" w:rsidP="00922731">
            <w:pPr>
              <w:jc w:val="center"/>
              <w:rPr>
                <w:rFonts w:ascii="Arial" w:hAnsi="Arial" w:cs="Arial"/>
                <w:sz w:val="20"/>
                <w:szCs w:val="20"/>
              </w:rPr>
            </w:pPr>
            <w:r w:rsidRPr="00BC513A">
              <w:rPr>
                <w:rFonts w:ascii="Arial" w:eastAsia="TimesNewRoman" w:hAnsi="Arial" w:cs="Arial"/>
                <w:sz w:val="20"/>
                <w:szCs w:val="20"/>
              </w:rPr>
              <w:t>Брой получатели на помощта</w:t>
            </w:r>
          </w:p>
        </w:tc>
        <w:tc>
          <w:tcPr>
            <w:tcW w:w="1276" w:type="dxa"/>
            <w:vAlign w:val="center"/>
          </w:tcPr>
          <w:p w14:paraId="00DE73B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4500</w:t>
            </w:r>
          </w:p>
        </w:tc>
        <w:tc>
          <w:tcPr>
            <w:tcW w:w="1843" w:type="dxa"/>
            <w:vAlign w:val="center"/>
          </w:tcPr>
          <w:p w14:paraId="7109585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3049</w:t>
            </w:r>
          </w:p>
        </w:tc>
        <w:tc>
          <w:tcPr>
            <w:tcW w:w="1843" w:type="dxa"/>
            <w:vAlign w:val="center"/>
          </w:tcPr>
          <w:p w14:paraId="0E8FF84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 xml:space="preserve">450 </w:t>
            </w:r>
          </w:p>
        </w:tc>
        <w:tc>
          <w:tcPr>
            <w:tcW w:w="996" w:type="dxa"/>
            <w:vAlign w:val="center"/>
          </w:tcPr>
          <w:p w14:paraId="4434C37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15%</w:t>
            </w:r>
          </w:p>
        </w:tc>
      </w:tr>
      <w:tr w:rsidR="00E8617E" w:rsidRPr="00BC513A" w14:paraId="12C4EB95" w14:textId="77777777" w:rsidTr="00922731">
        <w:tc>
          <w:tcPr>
            <w:tcW w:w="2830" w:type="dxa"/>
          </w:tcPr>
          <w:p w14:paraId="23C9C82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 xml:space="preserve">Общ обем на инвестициите </w:t>
            </w:r>
          </w:p>
          <w:p w14:paraId="0F1073D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в млн. евро</w:t>
            </w:r>
          </w:p>
        </w:tc>
        <w:tc>
          <w:tcPr>
            <w:tcW w:w="1276" w:type="dxa"/>
            <w:vAlign w:val="center"/>
          </w:tcPr>
          <w:p w14:paraId="053983C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216</w:t>
            </w:r>
          </w:p>
        </w:tc>
        <w:tc>
          <w:tcPr>
            <w:tcW w:w="1843" w:type="dxa"/>
            <w:vAlign w:val="center"/>
          </w:tcPr>
          <w:p w14:paraId="0A8166B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148,166</w:t>
            </w:r>
          </w:p>
        </w:tc>
        <w:tc>
          <w:tcPr>
            <w:tcW w:w="1843" w:type="dxa"/>
            <w:vAlign w:val="center"/>
          </w:tcPr>
          <w:p w14:paraId="214EA39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112,672</w:t>
            </w:r>
          </w:p>
        </w:tc>
        <w:tc>
          <w:tcPr>
            <w:tcW w:w="996" w:type="dxa"/>
            <w:vAlign w:val="center"/>
          </w:tcPr>
          <w:p w14:paraId="60E6D6A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76%</w:t>
            </w:r>
          </w:p>
        </w:tc>
      </w:tr>
      <w:tr w:rsidR="00E8617E" w:rsidRPr="00BC513A" w14:paraId="65E2B218" w14:textId="77777777" w:rsidTr="00922731">
        <w:tc>
          <w:tcPr>
            <w:tcW w:w="2830" w:type="dxa"/>
          </w:tcPr>
          <w:p w14:paraId="278E67B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Общ брой на създадените работни места</w:t>
            </w:r>
          </w:p>
        </w:tc>
        <w:tc>
          <w:tcPr>
            <w:tcW w:w="1276" w:type="dxa"/>
            <w:vAlign w:val="center"/>
          </w:tcPr>
          <w:p w14:paraId="1D2E380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5500</w:t>
            </w:r>
          </w:p>
        </w:tc>
        <w:tc>
          <w:tcPr>
            <w:tcW w:w="1843" w:type="dxa"/>
            <w:vAlign w:val="center"/>
          </w:tcPr>
          <w:p w14:paraId="1128BFF0"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3722</w:t>
            </w:r>
          </w:p>
        </w:tc>
        <w:tc>
          <w:tcPr>
            <w:tcW w:w="1843" w:type="dxa"/>
            <w:vAlign w:val="center"/>
          </w:tcPr>
          <w:p w14:paraId="635807A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1342</w:t>
            </w:r>
          </w:p>
        </w:tc>
        <w:tc>
          <w:tcPr>
            <w:tcW w:w="996" w:type="dxa"/>
            <w:vAlign w:val="center"/>
          </w:tcPr>
          <w:p w14:paraId="432B0EC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36%</w:t>
            </w:r>
          </w:p>
        </w:tc>
      </w:tr>
    </w:tbl>
    <w:p w14:paraId="44D73FB3" w14:textId="77777777" w:rsidR="00E8617E" w:rsidRPr="00F07F15" w:rsidRDefault="00E8617E" w:rsidP="00E8617E">
      <w:pPr>
        <w:spacing w:after="0" w:line="276" w:lineRule="auto"/>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Източник: Годишен доклад за напредъка на ПРСР 2007-2013г. за 2015г.</w:t>
      </w:r>
    </w:p>
    <w:p w14:paraId="53808ADF" w14:textId="77777777" w:rsidR="00E8617E" w:rsidRPr="00BC513A" w:rsidRDefault="00E8617E" w:rsidP="00E75C97">
      <w:pPr>
        <w:spacing w:before="120" w:after="120" w:line="300" w:lineRule="exact"/>
        <w:ind w:firstLine="709"/>
        <w:jc w:val="both"/>
        <w:rPr>
          <w:rFonts w:ascii="Arial" w:eastAsia="Times New Roman" w:hAnsi="Arial" w:cs="Times New Roman"/>
          <w:lang w:eastAsia="nl-NL"/>
        </w:rPr>
      </w:pPr>
      <w:r w:rsidRPr="00BC513A">
        <w:rPr>
          <w:rFonts w:ascii="Arial" w:eastAsia="Times New Roman" w:hAnsi="Arial" w:cs="Times New Roman"/>
          <w:lang w:eastAsia="nl-NL"/>
        </w:rPr>
        <w:t xml:space="preserve">По индикатор „Брой получатели на помощта“ постигнатите резултати представляват 15% от заложената цел </w:t>
      </w:r>
      <w:r w:rsidR="001207FF">
        <w:rPr>
          <w:rFonts w:ascii="Arial" w:eastAsia="Times New Roman" w:hAnsi="Arial" w:cs="Times New Roman"/>
          <w:lang w:eastAsia="nl-NL"/>
        </w:rPr>
        <w:t>(</w:t>
      </w:r>
      <w:r w:rsidRPr="00BC513A">
        <w:rPr>
          <w:rFonts w:ascii="Arial" w:eastAsia="Times New Roman" w:hAnsi="Arial" w:cs="Times New Roman"/>
          <w:lang w:eastAsia="nl-NL"/>
        </w:rPr>
        <w:t>3049</w:t>
      </w:r>
      <w:r w:rsidR="001207FF">
        <w:rPr>
          <w:rFonts w:ascii="Arial" w:eastAsia="Times New Roman" w:hAnsi="Arial" w:cs="Times New Roman"/>
          <w:lang w:eastAsia="nl-NL"/>
        </w:rPr>
        <w:t xml:space="preserve"> броя)</w:t>
      </w:r>
      <w:r w:rsidRPr="00BC513A">
        <w:rPr>
          <w:rFonts w:ascii="Arial" w:eastAsia="Times New Roman" w:hAnsi="Arial" w:cs="Times New Roman"/>
          <w:lang w:eastAsia="nl-NL"/>
        </w:rPr>
        <w:t xml:space="preserve"> след промяната на индикатора и едва 10% ако постижението е отнесено към първоначално заложената целева стойност. Този дисбаланс се дължи на факта, че предварително заложеният среден размер на инвестициите за един проект по мярката е 49 000 евро, а в действителност одобрените заявления за подпомагане са със среден размер на помощта за един проект, възлизащ на 250 000 евро, съгласно данните на МЗХГ</w:t>
      </w:r>
      <w:r w:rsidRPr="00BC513A">
        <w:rPr>
          <w:rStyle w:val="FootnoteReference"/>
          <w:rFonts w:ascii="Arial" w:eastAsia="Times New Roman" w:hAnsi="Arial" w:cs="Times New Roman"/>
          <w:lang w:eastAsia="nl-NL"/>
        </w:rPr>
        <w:footnoteReference w:id="29"/>
      </w:r>
      <w:r w:rsidRPr="00BC513A">
        <w:rPr>
          <w:rFonts w:ascii="Arial" w:eastAsia="Times New Roman" w:hAnsi="Arial" w:cs="Times New Roman"/>
          <w:lang w:eastAsia="nl-NL"/>
        </w:rPr>
        <w:t xml:space="preserve">. </w:t>
      </w:r>
    </w:p>
    <w:p w14:paraId="055C717F" w14:textId="7EA63C2C"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В тази връзка следва да се поясни, че наблюдаваната тенденция за окрупняване на земеделските стопанства в България (за периода на изпълнение на ПРСР 2007-2013 броят на земеделските стопанства в България е намалял с над 50% за сметка на процеса на комасация) е предпоставка за увеличаване на размера на инвестициите, необходими за едно стопанство, респективно за един проект.</w:t>
      </w:r>
    </w:p>
    <w:p w14:paraId="467AB881" w14:textId="4A5F70ED"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Подкрепените проекти по мярка 311 са основно в два сектора – изграждане на къщи за гости и ВЕИ. Съгласно данни от Годишн</w:t>
      </w:r>
      <w:r w:rsidR="0057318C">
        <w:rPr>
          <w:sz w:val="22"/>
          <w:szCs w:val="22"/>
          <w:lang w:val="bg-BG"/>
        </w:rPr>
        <w:t>ия</w:t>
      </w:r>
      <w:r w:rsidRPr="00BC513A">
        <w:rPr>
          <w:sz w:val="22"/>
          <w:szCs w:val="22"/>
          <w:lang w:val="bg-BG"/>
        </w:rPr>
        <w:t xml:space="preserve"> доклад за напредъка на ПРСР за 2015</w:t>
      </w:r>
      <w:r w:rsidR="0057318C">
        <w:rPr>
          <w:sz w:val="22"/>
          <w:szCs w:val="22"/>
          <w:lang w:val="bg-BG"/>
        </w:rPr>
        <w:t xml:space="preserve"> </w:t>
      </w:r>
      <w:r w:rsidRPr="00BC513A">
        <w:rPr>
          <w:sz w:val="22"/>
          <w:szCs w:val="22"/>
          <w:lang w:val="bg-BG"/>
        </w:rPr>
        <w:t>г</w:t>
      </w:r>
      <w:r w:rsidR="0057318C">
        <w:rPr>
          <w:sz w:val="22"/>
          <w:szCs w:val="22"/>
          <w:lang w:val="bg-BG"/>
        </w:rPr>
        <w:t>.</w:t>
      </w:r>
      <w:r w:rsidRPr="00BC513A">
        <w:rPr>
          <w:sz w:val="22"/>
          <w:szCs w:val="22"/>
          <w:lang w:val="bg-BG"/>
        </w:rPr>
        <w:t xml:space="preserve"> 65% от инвестициите са в сферата на туризма и 22% в областта на възобновяемите енергийни източници. Останалите области, в които са били инвестирани средства по </w:t>
      </w:r>
      <w:r w:rsidR="000F57E9">
        <w:rPr>
          <w:sz w:val="22"/>
          <w:szCs w:val="22"/>
          <w:lang w:val="bg-BG"/>
        </w:rPr>
        <w:t>п</w:t>
      </w:r>
      <w:r w:rsidRPr="00BC513A">
        <w:rPr>
          <w:sz w:val="22"/>
          <w:szCs w:val="22"/>
          <w:lang w:val="bg-BG"/>
        </w:rPr>
        <w:t>рограмата</w:t>
      </w:r>
      <w:r w:rsidR="0057318C">
        <w:rPr>
          <w:sz w:val="22"/>
          <w:szCs w:val="22"/>
          <w:lang w:val="bg-BG"/>
        </w:rPr>
        <w:t>,</w:t>
      </w:r>
      <w:r w:rsidRPr="00BC513A">
        <w:rPr>
          <w:sz w:val="22"/>
          <w:szCs w:val="22"/>
          <w:lang w:val="bg-BG"/>
        </w:rPr>
        <w:t xml:space="preserve"> са както следва: Занаятчийство – 6%, Търговия на дребно – 3 %,  Други – 4%. </w:t>
      </w:r>
    </w:p>
    <w:p w14:paraId="6D04FC82" w14:textId="77777777" w:rsidR="00E8617E" w:rsidRPr="00BC513A" w:rsidRDefault="00E8617E" w:rsidP="00E8617E">
      <w:pPr>
        <w:keepNext/>
        <w:spacing w:before="240" w:after="120" w:line="276" w:lineRule="auto"/>
        <w:jc w:val="both"/>
        <w:rPr>
          <w:rFonts w:ascii="Arial" w:eastAsia="Times New Roman" w:hAnsi="Arial" w:cs="Arial"/>
          <w:bCs/>
          <w:i/>
          <w:sz w:val="20"/>
          <w:szCs w:val="24"/>
        </w:rPr>
      </w:pPr>
      <w:bookmarkStart w:id="160" w:name="_Toc391899958"/>
      <w:bookmarkStart w:id="161" w:name="_Toc504136236"/>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64</w:t>
      </w:r>
      <w:r w:rsidRPr="00BC513A">
        <w:rPr>
          <w:rFonts w:ascii="Arial" w:hAnsi="Arial" w:cs="Arial"/>
          <w:b/>
          <w:color w:val="0070C0"/>
          <w:sz w:val="20"/>
          <w:szCs w:val="20"/>
        </w:rPr>
        <w:fldChar w:fldCharType="end"/>
      </w:r>
      <w:r w:rsidRPr="00BC513A">
        <w:rPr>
          <w:rFonts w:ascii="Arial" w:hAnsi="Arial" w:cs="Arial"/>
          <w:b/>
          <w:color w:val="0070C0"/>
          <w:sz w:val="20"/>
          <w:szCs w:val="20"/>
        </w:rPr>
        <w:t>.</w:t>
      </w:r>
      <w:r w:rsidRPr="00BC513A">
        <w:rPr>
          <w:rFonts w:ascii="Arial" w:hAnsi="Arial" w:cs="Arial"/>
          <w:b/>
          <w:i/>
          <w:color w:val="0070C0"/>
          <w:sz w:val="20"/>
          <w:szCs w:val="20"/>
        </w:rPr>
        <w:t xml:space="preserve"> </w:t>
      </w:r>
      <w:r w:rsidRPr="00BC513A">
        <w:rPr>
          <w:rFonts w:ascii="Arial" w:hAnsi="Arial" w:cs="Arial"/>
          <w:b/>
          <w:color w:val="0070C0"/>
          <w:sz w:val="20"/>
          <w:szCs w:val="20"/>
        </w:rPr>
        <w:t>Насоченост на проектите с плащане по мярка 311 към 31.12.2015 г.</w:t>
      </w:r>
      <w:bookmarkEnd w:id="160"/>
      <w:r w:rsidRPr="00BC513A">
        <w:rPr>
          <w:rFonts w:ascii="Arial" w:hAnsi="Arial" w:cs="Arial"/>
          <w:b/>
          <w:color w:val="0070C0"/>
          <w:sz w:val="20"/>
          <w:szCs w:val="20"/>
        </w:rPr>
        <w:t>,</w:t>
      </w:r>
      <w:bookmarkEnd w:id="161"/>
      <w:r w:rsidRPr="00BC513A">
        <w:rPr>
          <w:rFonts w:ascii="Arial" w:eastAsia="Times New Roman" w:hAnsi="Arial" w:cs="Arial"/>
          <w:bCs/>
          <w:i/>
          <w:sz w:val="20"/>
          <w:szCs w:val="24"/>
        </w:rPr>
        <w:t xml:space="preserve"> </w:t>
      </w:r>
    </w:p>
    <w:tbl>
      <w:tblPr>
        <w:tblW w:w="5000" w:type="pct"/>
        <w:tblInd w:w="108" w:type="dxa"/>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ayout w:type="fixed"/>
        <w:tblLook w:val="04A0" w:firstRow="1" w:lastRow="0" w:firstColumn="1" w:lastColumn="0" w:noHBand="0" w:noVBand="1"/>
      </w:tblPr>
      <w:tblGrid>
        <w:gridCol w:w="2504"/>
        <w:gridCol w:w="2175"/>
        <w:gridCol w:w="986"/>
        <w:gridCol w:w="2820"/>
        <w:gridCol w:w="802"/>
      </w:tblGrid>
      <w:tr w:rsidR="00E8617E" w:rsidRPr="00BC513A" w14:paraId="7FCED9C1" w14:textId="77777777" w:rsidTr="00922731">
        <w:trPr>
          <w:trHeight w:val="300"/>
        </w:trPr>
        <w:tc>
          <w:tcPr>
            <w:tcW w:w="1348" w:type="pct"/>
            <w:shd w:val="clear" w:color="auto" w:fill="1F4E79" w:themeFill="accent1" w:themeFillShade="80"/>
            <w:noWrap/>
            <w:vAlign w:val="center"/>
            <w:hideMark/>
          </w:tcPr>
          <w:p w14:paraId="73580AA6" w14:textId="77777777" w:rsidR="00E8617E" w:rsidRPr="00BC513A" w:rsidRDefault="00E8617E" w:rsidP="00922731">
            <w:pPr>
              <w:keepNext/>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Насоченост на проектите</w:t>
            </w:r>
          </w:p>
        </w:tc>
        <w:tc>
          <w:tcPr>
            <w:tcW w:w="1171" w:type="pct"/>
            <w:shd w:val="clear" w:color="auto" w:fill="1F4E79" w:themeFill="accent1" w:themeFillShade="80"/>
            <w:noWrap/>
            <w:vAlign w:val="center"/>
            <w:hideMark/>
          </w:tcPr>
          <w:p w14:paraId="139D733A" w14:textId="77777777" w:rsidR="00E8617E" w:rsidRPr="00BC513A" w:rsidRDefault="00E8617E" w:rsidP="00922731">
            <w:pPr>
              <w:keepNext/>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Брой проекти с плащане</w:t>
            </w:r>
          </w:p>
        </w:tc>
        <w:tc>
          <w:tcPr>
            <w:tcW w:w="531" w:type="pct"/>
            <w:shd w:val="clear" w:color="auto" w:fill="1F4E79" w:themeFill="accent1" w:themeFillShade="80"/>
            <w:noWrap/>
            <w:vAlign w:val="center"/>
            <w:hideMark/>
          </w:tcPr>
          <w:p w14:paraId="1A5A215C" w14:textId="77777777" w:rsidR="00E8617E" w:rsidRPr="00BC513A" w:rsidRDefault="00E8617E" w:rsidP="00922731">
            <w:pPr>
              <w:keepNext/>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w:t>
            </w:r>
          </w:p>
        </w:tc>
        <w:tc>
          <w:tcPr>
            <w:tcW w:w="1518" w:type="pct"/>
            <w:shd w:val="clear" w:color="auto" w:fill="1F4E79" w:themeFill="accent1" w:themeFillShade="80"/>
            <w:noWrap/>
            <w:vAlign w:val="center"/>
            <w:hideMark/>
          </w:tcPr>
          <w:p w14:paraId="0EBE7D1F" w14:textId="77777777" w:rsidR="00E8617E" w:rsidRPr="00BC513A" w:rsidRDefault="00E8617E" w:rsidP="00922731">
            <w:pPr>
              <w:keepNext/>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Общо инвестиции (млн. евро)</w:t>
            </w:r>
          </w:p>
        </w:tc>
        <w:tc>
          <w:tcPr>
            <w:tcW w:w="432" w:type="pct"/>
            <w:shd w:val="clear" w:color="auto" w:fill="1F4E79" w:themeFill="accent1" w:themeFillShade="80"/>
            <w:noWrap/>
            <w:vAlign w:val="center"/>
            <w:hideMark/>
          </w:tcPr>
          <w:p w14:paraId="3CD2D8AB" w14:textId="77777777" w:rsidR="00E8617E" w:rsidRPr="00BC513A" w:rsidRDefault="00E8617E" w:rsidP="00922731">
            <w:pPr>
              <w:keepNext/>
              <w:spacing w:after="0" w:line="240" w:lineRule="auto"/>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w:t>
            </w:r>
          </w:p>
        </w:tc>
      </w:tr>
      <w:tr w:rsidR="00E8617E" w:rsidRPr="00BC513A" w14:paraId="43E0EEC0" w14:textId="77777777" w:rsidTr="00922731">
        <w:trPr>
          <w:trHeight w:val="300"/>
        </w:trPr>
        <w:tc>
          <w:tcPr>
            <w:tcW w:w="1348" w:type="pct"/>
            <w:noWrap/>
            <w:vAlign w:val="center"/>
            <w:hideMark/>
          </w:tcPr>
          <w:p w14:paraId="3D84C5D0"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Туризъм</w:t>
            </w:r>
          </w:p>
        </w:tc>
        <w:tc>
          <w:tcPr>
            <w:tcW w:w="1171" w:type="pct"/>
            <w:shd w:val="clear" w:color="auto" w:fill="FFFFFF"/>
            <w:noWrap/>
            <w:vAlign w:val="center"/>
            <w:hideMark/>
          </w:tcPr>
          <w:p w14:paraId="29A58A6A"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294</w:t>
            </w:r>
          </w:p>
        </w:tc>
        <w:tc>
          <w:tcPr>
            <w:tcW w:w="531" w:type="pct"/>
            <w:shd w:val="clear" w:color="auto" w:fill="FFFFFF"/>
            <w:noWrap/>
            <w:vAlign w:val="center"/>
            <w:hideMark/>
          </w:tcPr>
          <w:p w14:paraId="4EBBD3C8"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65%</w:t>
            </w:r>
          </w:p>
        </w:tc>
        <w:tc>
          <w:tcPr>
            <w:tcW w:w="1518" w:type="pct"/>
            <w:shd w:val="clear" w:color="auto" w:fill="FFFFFF"/>
            <w:noWrap/>
            <w:vAlign w:val="center"/>
            <w:hideMark/>
          </w:tcPr>
          <w:p w14:paraId="16B8803E"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73.4</w:t>
            </w:r>
          </w:p>
        </w:tc>
        <w:tc>
          <w:tcPr>
            <w:tcW w:w="432" w:type="pct"/>
            <w:shd w:val="clear" w:color="auto" w:fill="FFFFFF"/>
            <w:noWrap/>
            <w:vAlign w:val="center"/>
            <w:hideMark/>
          </w:tcPr>
          <w:p w14:paraId="3F1C832B"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65%</w:t>
            </w:r>
          </w:p>
        </w:tc>
      </w:tr>
      <w:tr w:rsidR="00E8617E" w:rsidRPr="00BC513A" w14:paraId="0D621F1A" w14:textId="77777777" w:rsidTr="00922731">
        <w:trPr>
          <w:trHeight w:val="300"/>
        </w:trPr>
        <w:tc>
          <w:tcPr>
            <w:tcW w:w="1348" w:type="pct"/>
            <w:noWrap/>
            <w:vAlign w:val="center"/>
            <w:hideMark/>
          </w:tcPr>
          <w:p w14:paraId="27340555"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Занаятчийство</w:t>
            </w:r>
          </w:p>
        </w:tc>
        <w:tc>
          <w:tcPr>
            <w:tcW w:w="1171" w:type="pct"/>
            <w:shd w:val="clear" w:color="auto" w:fill="FFFFFF"/>
            <w:noWrap/>
            <w:vAlign w:val="center"/>
            <w:hideMark/>
          </w:tcPr>
          <w:p w14:paraId="11BD4F98"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25</w:t>
            </w:r>
          </w:p>
        </w:tc>
        <w:tc>
          <w:tcPr>
            <w:tcW w:w="531" w:type="pct"/>
            <w:shd w:val="clear" w:color="auto" w:fill="FFFFFF"/>
            <w:noWrap/>
            <w:vAlign w:val="center"/>
            <w:hideMark/>
          </w:tcPr>
          <w:p w14:paraId="26A33929"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6%</w:t>
            </w:r>
          </w:p>
        </w:tc>
        <w:tc>
          <w:tcPr>
            <w:tcW w:w="1518" w:type="pct"/>
            <w:shd w:val="clear" w:color="auto" w:fill="FFFFFF"/>
            <w:noWrap/>
            <w:vAlign w:val="center"/>
            <w:hideMark/>
          </w:tcPr>
          <w:p w14:paraId="5ED4A38C"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6.1</w:t>
            </w:r>
          </w:p>
        </w:tc>
        <w:tc>
          <w:tcPr>
            <w:tcW w:w="432" w:type="pct"/>
            <w:shd w:val="clear" w:color="auto" w:fill="FFFFFF"/>
            <w:noWrap/>
            <w:vAlign w:val="center"/>
            <w:hideMark/>
          </w:tcPr>
          <w:p w14:paraId="1E9320E8"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5%</w:t>
            </w:r>
          </w:p>
        </w:tc>
      </w:tr>
      <w:tr w:rsidR="00E8617E" w:rsidRPr="00BC513A" w14:paraId="17FD5D1D" w14:textId="77777777" w:rsidTr="00922731">
        <w:trPr>
          <w:trHeight w:val="300"/>
        </w:trPr>
        <w:tc>
          <w:tcPr>
            <w:tcW w:w="1348" w:type="pct"/>
            <w:noWrap/>
            <w:vAlign w:val="center"/>
            <w:hideMark/>
          </w:tcPr>
          <w:p w14:paraId="084FF27A"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Търговия на дребно</w:t>
            </w:r>
          </w:p>
        </w:tc>
        <w:tc>
          <w:tcPr>
            <w:tcW w:w="1171" w:type="pct"/>
            <w:shd w:val="clear" w:color="auto" w:fill="FFFFFF"/>
            <w:noWrap/>
            <w:vAlign w:val="center"/>
            <w:hideMark/>
          </w:tcPr>
          <w:p w14:paraId="7E15F77A"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14</w:t>
            </w:r>
          </w:p>
        </w:tc>
        <w:tc>
          <w:tcPr>
            <w:tcW w:w="531" w:type="pct"/>
            <w:shd w:val="clear" w:color="auto" w:fill="FFFFFF"/>
            <w:noWrap/>
            <w:vAlign w:val="center"/>
            <w:hideMark/>
          </w:tcPr>
          <w:p w14:paraId="2BC3F643"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3%</w:t>
            </w:r>
          </w:p>
        </w:tc>
        <w:tc>
          <w:tcPr>
            <w:tcW w:w="1518" w:type="pct"/>
            <w:shd w:val="clear" w:color="auto" w:fill="FFFFFF"/>
            <w:noWrap/>
            <w:vAlign w:val="center"/>
            <w:hideMark/>
          </w:tcPr>
          <w:p w14:paraId="17CB3465"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3.6</w:t>
            </w:r>
          </w:p>
        </w:tc>
        <w:tc>
          <w:tcPr>
            <w:tcW w:w="432" w:type="pct"/>
            <w:shd w:val="clear" w:color="auto" w:fill="FFFFFF"/>
            <w:noWrap/>
            <w:vAlign w:val="center"/>
            <w:hideMark/>
          </w:tcPr>
          <w:p w14:paraId="69A5C82D"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3%</w:t>
            </w:r>
          </w:p>
        </w:tc>
      </w:tr>
      <w:tr w:rsidR="00E8617E" w:rsidRPr="00BC513A" w14:paraId="793B58C1" w14:textId="77777777" w:rsidTr="00922731">
        <w:trPr>
          <w:trHeight w:val="300"/>
        </w:trPr>
        <w:tc>
          <w:tcPr>
            <w:tcW w:w="1348" w:type="pct"/>
            <w:noWrap/>
            <w:vAlign w:val="center"/>
            <w:hideMark/>
          </w:tcPr>
          <w:p w14:paraId="6DE9D130"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ВЕИ</w:t>
            </w:r>
          </w:p>
        </w:tc>
        <w:tc>
          <w:tcPr>
            <w:tcW w:w="1171" w:type="pct"/>
            <w:shd w:val="clear" w:color="auto" w:fill="FFFFFF"/>
            <w:noWrap/>
            <w:vAlign w:val="center"/>
            <w:hideMark/>
          </w:tcPr>
          <w:p w14:paraId="3E0B0C5C"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101</w:t>
            </w:r>
          </w:p>
        </w:tc>
        <w:tc>
          <w:tcPr>
            <w:tcW w:w="531" w:type="pct"/>
            <w:shd w:val="clear" w:color="auto" w:fill="FFFFFF"/>
            <w:noWrap/>
            <w:vAlign w:val="center"/>
            <w:hideMark/>
          </w:tcPr>
          <w:p w14:paraId="48E5EAE1"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22%</w:t>
            </w:r>
          </w:p>
        </w:tc>
        <w:tc>
          <w:tcPr>
            <w:tcW w:w="1518" w:type="pct"/>
            <w:shd w:val="clear" w:color="auto" w:fill="FFFFFF"/>
            <w:noWrap/>
            <w:vAlign w:val="center"/>
            <w:hideMark/>
          </w:tcPr>
          <w:p w14:paraId="3770A230"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25.3</w:t>
            </w:r>
          </w:p>
        </w:tc>
        <w:tc>
          <w:tcPr>
            <w:tcW w:w="432" w:type="pct"/>
            <w:shd w:val="clear" w:color="auto" w:fill="FFFFFF"/>
            <w:noWrap/>
            <w:vAlign w:val="center"/>
            <w:hideMark/>
          </w:tcPr>
          <w:p w14:paraId="770AED37"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22%</w:t>
            </w:r>
          </w:p>
        </w:tc>
      </w:tr>
      <w:tr w:rsidR="00E8617E" w:rsidRPr="00BC513A" w14:paraId="1B80A6A7" w14:textId="77777777" w:rsidTr="00922731">
        <w:trPr>
          <w:trHeight w:val="300"/>
        </w:trPr>
        <w:tc>
          <w:tcPr>
            <w:tcW w:w="1348" w:type="pct"/>
            <w:noWrap/>
            <w:vAlign w:val="center"/>
            <w:hideMark/>
          </w:tcPr>
          <w:p w14:paraId="74C8D507" w14:textId="77777777" w:rsidR="00E8617E" w:rsidRPr="00BC513A" w:rsidRDefault="00E8617E" w:rsidP="00922731">
            <w:pPr>
              <w:spacing w:after="0" w:line="240" w:lineRule="auto"/>
              <w:jc w:val="both"/>
              <w:rPr>
                <w:rFonts w:ascii="Arial" w:hAnsi="Arial" w:cs="Arial"/>
                <w:sz w:val="20"/>
                <w:szCs w:val="20"/>
              </w:rPr>
            </w:pPr>
            <w:r w:rsidRPr="00BC513A">
              <w:rPr>
                <w:rFonts w:ascii="Arial" w:hAnsi="Arial" w:cs="Arial"/>
                <w:sz w:val="20"/>
                <w:szCs w:val="20"/>
              </w:rPr>
              <w:t>Други</w:t>
            </w:r>
          </w:p>
        </w:tc>
        <w:tc>
          <w:tcPr>
            <w:tcW w:w="1171" w:type="pct"/>
            <w:shd w:val="clear" w:color="auto" w:fill="FFFFFF"/>
            <w:noWrap/>
            <w:vAlign w:val="center"/>
            <w:hideMark/>
          </w:tcPr>
          <w:p w14:paraId="57A1638E"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16</w:t>
            </w:r>
          </w:p>
        </w:tc>
        <w:tc>
          <w:tcPr>
            <w:tcW w:w="531" w:type="pct"/>
            <w:shd w:val="clear" w:color="auto" w:fill="FFFFFF"/>
            <w:noWrap/>
            <w:vAlign w:val="center"/>
            <w:hideMark/>
          </w:tcPr>
          <w:p w14:paraId="65751BB8"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4%</w:t>
            </w:r>
          </w:p>
        </w:tc>
        <w:tc>
          <w:tcPr>
            <w:tcW w:w="1518" w:type="pct"/>
            <w:shd w:val="clear" w:color="auto" w:fill="FFFFFF"/>
            <w:noWrap/>
            <w:vAlign w:val="center"/>
            <w:hideMark/>
          </w:tcPr>
          <w:p w14:paraId="58B55994"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4.4</w:t>
            </w:r>
          </w:p>
        </w:tc>
        <w:tc>
          <w:tcPr>
            <w:tcW w:w="432" w:type="pct"/>
            <w:shd w:val="clear" w:color="auto" w:fill="FFFFFF"/>
            <w:noWrap/>
            <w:vAlign w:val="center"/>
            <w:hideMark/>
          </w:tcPr>
          <w:p w14:paraId="403A66A5"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4%</w:t>
            </w:r>
          </w:p>
        </w:tc>
      </w:tr>
      <w:tr w:rsidR="00E8617E" w:rsidRPr="00BC513A" w14:paraId="0DBCCAE7" w14:textId="77777777" w:rsidTr="00922731">
        <w:trPr>
          <w:trHeight w:val="300"/>
        </w:trPr>
        <w:tc>
          <w:tcPr>
            <w:tcW w:w="1348" w:type="pct"/>
            <w:shd w:val="clear" w:color="auto" w:fill="DEEAF6" w:themeFill="accent1" w:themeFillTint="33"/>
            <w:noWrap/>
            <w:vAlign w:val="center"/>
            <w:hideMark/>
          </w:tcPr>
          <w:p w14:paraId="31861EEC"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Общо</w:t>
            </w:r>
          </w:p>
        </w:tc>
        <w:tc>
          <w:tcPr>
            <w:tcW w:w="1171" w:type="pct"/>
            <w:shd w:val="clear" w:color="auto" w:fill="DEEAF6" w:themeFill="accent1" w:themeFillTint="33"/>
            <w:noWrap/>
            <w:vAlign w:val="center"/>
            <w:hideMark/>
          </w:tcPr>
          <w:p w14:paraId="015D1DCD"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450</w:t>
            </w:r>
          </w:p>
        </w:tc>
        <w:tc>
          <w:tcPr>
            <w:tcW w:w="531" w:type="pct"/>
            <w:shd w:val="clear" w:color="auto" w:fill="DEEAF6" w:themeFill="accent1" w:themeFillTint="33"/>
            <w:noWrap/>
            <w:vAlign w:val="center"/>
            <w:hideMark/>
          </w:tcPr>
          <w:p w14:paraId="6C4D01AF"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100%</w:t>
            </w:r>
          </w:p>
        </w:tc>
        <w:tc>
          <w:tcPr>
            <w:tcW w:w="1518" w:type="pct"/>
            <w:shd w:val="clear" w:color="auto" w:fill="DEEAF6" w:themeFill="accent1" w:themeFillTint="33"/>
            <w:noWrap/>
            <w:vAlign w:val="center"/>
            <w:hideMark/>
          </w:tcPr>
          <w:p w14:paraId="614689F7"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112.67</w:t>
            </w:r>
          </w:p>
        </w:tc>
        <w:tc>
          <w:tcPr>
            <w:tcW w:w="432" w:type="pct"/>
            <w:shd w:val="clear" w:color="auto" w:fill="DEEAF6" w:themeFill="accent1" w:themeFillTint="33"/>
            <w:noWrap/>
            <w:vAlign w:val="center"/>
            <w:hideMark/>
          </w:tcPr>
          <w:p w14:paraId="6A27A39E" w14:textId="77777777" w:rsidR="00E8617E" w:rsidRPr="00BC513A" w:rsidRDefault="00E8617E" w:rsidP="00922731">
            <w:pPr>
              <w:spacing w:after="0" w:line="240" w:lineRule="auto"/>
              <w:jc w:val="center"/>
              <w:rPr>
                <w:rFonts w:ascii="Arial" w:hAnsi="Arial" w:cs="Arial"/>
                <w:sz w:val="20"/>
                <w:szCs w:val="20"/>
              </w:rPr>
            </w:pPr>
            <w:r w:rsidRPr="00BC513A">
              <w:rPr>
                <w:rFonts w:ascii="Arial" w:hAnsi="Arial" w:cs="Arial"/>
                <w:sz w:val="20"/>
                <w:szCs w:val="20"/>
              </w:rPr>
              <w:t>100%</w:t>
            </w:r>
          </w:p>
        </w:tc>
      </w:tr>
    </w:tbl>
    <w:p w14:paraId="1EC0C5FA" w14:textId="77777777" w:rsidR="00E8617E" w:rsidRPr="00F07F15" w:rsidRDefault="00E8617E" w:rsidP="00E8617E">
      <w:pPr>
        <w:pStyle w:val="DefaultText"/>
        <w:spacing w:after="120" w:line="300" w:lineRule="atLeast"/>
        <w:rPr>
          <w:szCs w:val="18"/>
          <w:lang w:val="bg-BG"/>
        </w:rPr>
      </w:pPr>
      <w:r w:rsidRPr="00F07F15">
        <w:rPr>
          <w:szCs w:val="18"/>
          <w:lang w:val="bg-BG"/>
        </w:rPr>
        <w:t xml:space="preserve">Източник: </w:t>
      </w:r>
      <w:r w:rsidRPr="00F07F15">
        <w:rPr>
          <w:rFonts w:cs="Arial"/>
          <w:bCs/>
          <w:szCs w:val="18"/>
          <w:lang w:val="bg-BG"/>
        </w:rPr>
        <w:t>Годишен доклад за напредъка на ПРСР 2007-2013г. за 2015г.</w:t>
      </w:r>
    </w:p>
    <w:p w14:paraId="65248D0F" w14:textId="3803F24A" w:rsidR="00E8617E" w:rsidRDefault="00E8617E" w:rsidP="00E8617E">
      <w:pPr>
        <w:pStyle w:val="DefaultText"/>
        <w:spacing w:after="120" w:line="300" w:lineRule="atLeast"/>
        <w:ind w:firstLine="708"/>
        <w:rPr>
          <w:sz w:val="22"/>
          <w:szCs w:val="22"/>
          <w:lang w:val="bg-BG"/>
        </w:rPr>
      </w:pPr>
      <w:r w:rsidRPr="00BC513A">
        <w:rPr>
          <w:sz w:val="22"/>
          <w:szCs w:val="22"/>
          <w:lang w:val="bg-BG"/>
        </w:rPr>
        <w:t>При реализирането на Мярка 311 са изградени множество къщи за гости, които е вероятно да допринесат за развитието на селския туризъм в България. Туризмът представлява сериозна възможност за България да развива успешна икономическа дейност, която да бъде конкурентоспособна на международния пазар и да генерира съществена част от БВП на икономиката. Въпреки значителните инвестиции в сферата на туризма, постигнатите цели отново не са изпълнени. Подпомогнати са 282 нови туристически дейности, което е ед</w:t>
      </w:r>
      <w:r w:rsidR="00C63AFD">
        <w:rPr>
          <w:sz w:val="22"/>
          <w:szCs w:val="22"/>
          <w:lang w:val="bg-BG"/>
        </w:rPr>
        <w:t>в</w:t>
      </w:r>
      <w:r w:rsidRPr="00BC513A">
        <w:rPr>
          <w:sz w:val="22"/>
          <w:szCs w:val="22"/>
          <w:lang w:val="bg-BG"/>
        </w:rPr>
        <w:t>а 28% от целевата стойност. Обемът на инвестициите се доближава до заложената цел. В туристически дейности са инвестирани общо 71 милиона евро (84% от целевата стойност).</w:t>
      </w:r>
    </w:p>
    <w:p w14:paraId="1037064F" w14:textId="77777777" w:rsidR="00E8617E" w:rsidRPr="00BC513A" w:rsidRDefault="00E8617E" w:rsidP="00E8617E">
      <w:pPr>
        <w:keepNext/>
        <w:spacing w:before="240" w:after="120" w:line="276" w:lineRule="auto"/>
        <w:jc w:val="both"/>
        <w:rPr>
          <w:rFonts w:ascii="Arial" w:eastAsia="Times New Roman" w:hAnsi="Arial" w:cs="Arial"/>
          <w:bCs/>
          <w:i/>
          <w:sz w:val="20"/>
          <w:szCs w:val="24"/>
        </w:rPr>
      </w:pPr>
      <w:bookmarkStart w:id="162" w:name="_Toc504136237"/>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65</w:t>
      </w:r>
      <w:r w:rsidRPr="00BC513A">
        <w:rPr>
          <w:rFonts w:ascii="Arial" w:hAnsi="Arial" w:cs="Arial"/>
          <w:b/>
          <w:color w:val="0070C0"/>
          <w:sz w:val="20"/>
          <w:szCs w:val="20"/>
        </w:rPr>
        <w:fldChar w:fldCharType="end"/>
      </w:r>
      <w:r w:rsidRPr="00BC513A">
        <w:rPr>
          <w:rFonts w:ascii="Arial" w:hAnsi="Arial" w:cs="Arial"/>
          <w:b/>
          <w:color w:val="0070C0"/>
          <w:sz w:val="20"/>
          <w:szCs w:val="20"/>
        </w:rPr>
        <w:t>. Изпълнение на допълнителни специфични индикатори и цели на база проекти с плащане по мярка 311</w:t>
      </w:r>
      <w:bookmarkEnd w:id="162"/>
    </w:p>
    <w:tbl>
      <w:tblPr>
        <w:tblStyle w:val="TableGrid"/>
        <w:tblW w:w="9209" w:type="dxa"/>
        <w:tblLayout w:type="fixed"/>
        <w:tblLook w:val="04A0" w:firstRow="1" w:lastRow="0" w:firstColumn="1" w:lastColumn="0" w:noHBand="0" w:noVBand="1"/>
      </w:tblPr>
      <w:tblGrid>
        <w:gridCol w:w="2830"/>
        <w:gridCol w:w="1843"/>
        <w:gridCol w:w="1985"/>
        <w:gridCol w:w="1842"/>
        <w:gridCol w:w="709"/>
      </w:tblGrid>
      <w:tr w:rsidR="00E8617E" w:rsidRPr="00E75C97" w14:paraId="12942086" w14:textId="77777777" w:rsidTr="00E75C97">
        <w:tc>
          <w:tcPr>
            <w:tcW w:w="2830" w:type="dxa"/>
            <w:shd w:val="clear" w:color="auto" w:fill="1F4E79" w:themeFill="accent1" w:themeFillShade="80"/>
            <w:vAlign w:val="center"/>
          </w:tcPr>
          <w:p w14:paraId="29F9C36A" w14:textId="77777777" w:rsidR="00E8617E" w:rsidRPr="00E75C97" w:rsidRDefault="00E8617E" w:rsidP="00922731">
            <w:pPr>
              <w:jc w:val="center"/>
              <w:rPr>
                <w:rFonts w:ascii="Arial" w:hAnsi="Arial" w:cs="Arial"/>
                <w:b/>
                <w:color w:val="FFFFFF" w:themeColor="background1"/>
                <w:sz w:val="20"/>
                <w:szCs w:val="20"/>
              </w:rPr>
            </w:pPr>
            <w:r w:rsidRPr="00E75C97">
              <w:rPr>
                <w:rFonts w:ascii="Arial" w:hAnsi="Arial" w:cs="Arial"/>
                <w:b/>
                <w:color w:val="FFFFFF" w:themeColor="background1"/>
                <w:sz w:val="20"/>
                <w:szCs w:val="20"/>
              </w:rPr>
              <w:t>Индикатор</w:t>
            </w:r>
          </w:p>
        </w:tc>
        <w:tc>
          <w:tcPr>
            <w:tcW w:w="1843" w:type="dxa"/>
            <w:shd w:val="clear" w:color="auto" w:fill="1F4E79" w:themeFill="accent1" w:themeFillShade="80"/>
            <w:vAlign w:val="center"/>
          </w:tcPr>
          <w:p w14:paraId="6DCA949E" w14:textId="77777777" w:rsidR="00E8617E" w:rsidRPr="00E75C97" w:rsidRDefault="00E8617E" w:rsidP="00922731">
            <w:pPr>
              <w:jc w:val="center"/>
              <w:rPr>
                <w:rFonts w:ascii="Arial" w:hAnsi="Arial" w:cs="Arial"/>
                <w:b/>
                <w:color w:val="FFFFFF" w:themeColor="background1"/>
                <w:sz w:val="20"/>
                <w:szCs w:val="20"/>
              </w:rPr>
            </w:pPr>
            <w:r w:rsidRPr="00E75C97">
              <w:rPr>
                <w:rFonts w:ascii="Arial" w:hAnsi="Arial" w:cs="Arial"/>
                <w:b/>
                <w:color w:val="FFFFFF" w:themeColor="background1"/>
                <w:sz w:val="20"/>
                <w:szCs w:val="20"/>
              </w:rPr>
              <w:t>Първоначална стойност</w:t>
            </w:r>
          </w:p>
        </w:tc>
        <w:tc>
          <w:tcPr>
            <w:tcW w:w="1985" w:type="dxa"/>
            <w:shd w:val="clear" w:color="auto" w:fill="1F4E79" w:themeFill="accent1" w:themeFillShade="80"/>
            <w:vAlign w:val="center"/>
          </w:tcPr>
          <w:p w14:paraId="0FB46CCF" w14:textId="77777777" w:rsidR="00E8617E" w:rsidRPr="00E75C97" w:rsidRDefault="00E8617E" w:rsidP="00922731">
            <w:pPr>
              <w:jc w:val="center"/>
              <w:rPr>
                <w:rFonts w:ascii="Arial" w:hAnsi="Arial" w:cs="Arial"/>
                <w:b/>
                <w:color w:val="FFFFFF" w:themeColor="background1"/>
                <w:sz w:val="20"/>
                <w:szCs w:val="20"/>
              </w:rPr>
            </w:pPr>
            <w:r w:rsidRPr="00E75C97">
              <w:rPr>
                <w:rFonts w:ascii="Arial" w:hAnsi="Arial" w:cs="Arial"/>
                <w:b/>
                <w:color w:val="FFFFFF" w:themeColor="background1"/>
                <w:sz w:val="20"/>
                <w:szCs w:val="20"/>
              </w:rPr>
              <w:t>Окончателна целева стойност</w:t>
            </w:r>
          </w:p>
        </w:tc>
        <w:tc>
          <w:tcPr>
            <w:tcW w:w="1842" w:type="dxa"/>
            <w:shd w:val="clear" w:color="auto" w:fill="1F4E79" w:themeFill="accent1" w:themeFillShade="80"/>
          </w:tcPr>
          <w:p w14:paraId="17BEFAF9" w14:textId="77777777" w:rsidR="00E8617E" w:rsidRPr="00E75C97" w:rsidRDefault="00E8617E" w:rsidP="00922731">
            <w:pPr>
              <w:jc w:val="center"/>
              <w:rPr>
                <w:rFonts w:ascii="Arial" w:hAnsi="Arial" w:cs="Arial"/>
                <w:b/>
                <w:color w:val="FFFFFF" w:themeColor="background1"/>
                <w:sz w:val="20"/>
                <w:szCs w:val="20"/>
              </w:rPr>
            </w:pPr>
            <w:r w:rsidRPr="00E75C97">
              <w:rPr>
                <w:rFonts w:ascii="Arial" w:hAnsi="Arial" w:cs="Arial"/>
                <w:b/>
                <w:color w:val="FFFFFF" w:themeColor="background1"/>
                <w:sz w:val="20"/>
                <w:szCs w:val="20"/>
              </w:rPr>
              <w:t>Постигната стойност след изпълнението на програмата</w:t>
            </w:r>
          </w:p>
        </w:tc>
        <w:tc>
          <w:tcPr>
            <w:tcW w:w="709" w:type="dxa"/>
            <w:shd w:val="clear" w:color="auto" w:fill="1F4E79" w:themeFill="accent1" w:themeFillShade="80"/>
            <w:vAlign w:val="center"/>
          </w:tcPr>
          <w:p w14:paraId="14AED7A9" w14:textId="77777777" w:rsidR="00E8617E" w:rsidRPr="00E75C97" w:rsidRDefault="00E8617E" w:rsidP="00922731">
            <w:pPr>
              <w:jc w:val="center"/>
              <w:rPr>
                <w:rFonts w:ascii="Arial" w:hAnsi="Arial" w:cs="Arial"/>
                <w:color w:val="FFFFFF" w:themeColor="background1"/>
                <w:sz w:val="20"/>
                <w:szCs w:val="20"/>
              </w:rPr>
            </w:pPr>
            <w:r w:rsidRPr="00E75C97">
              <w:rPr>
                <w:rFonts w:ascii="Arial" w:hAnsi="Arial" w:cs="Arial"/>
                <w:color w:val="FFFFFF" w:themeColor="background1"/>
                <w:sz w:val="20"/>
                <w:szCs w:val="20"/>
              </w:rPr>
              <w:t>%</w:t>
            </w:r>
          </w:p>
        </w:tc>
      </w:tr>
      <w:tr w:rsidR="00E8617E" w:rsidRPr="00BC513A" w14:paraId="7D35043E" w14:textId="77777777" w:rsidTr="00E75C97">
        <w:tc>
          <w:tcPr>
            <w:tcW w:w="2830" w:type="dxa"/>
          </w:tcPr>
          <w:p w14:paraId="57B07C0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подпомогнати нови туристически дейности</w:t>
            </w:r>
          </w:p>
        </w:tc>
        <w:tc>
          <w:tcPr>
            <w:tcW w:w="1843" w:type="dxa"/>
            <w:vAlign w:val="center"/>
          </w:tcPr>
          <w:p w14:paraId="289255E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1500</w:t>
            </w:r>
          </w:p>
        </w:tc>
        <w:tc>
          <w:tcPr>
            <w:tcW w:w="1985" w:type="dxa"/>
            <w:vAlign w:val="center"/>
          </w:tcPr>
          <w:p w14:paraId="10F7794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1015</w:t>
            </w:r>
          </w:p>
        </w:tc>
        <w:tc>
          <w:tcPr>
            <w:tcW w:w="1842" w:type="dxa"/>
            <w:vAlign w:val="center"/>
          </w:tcPr>
          <w:p w14:paraId="00F58A1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282</w:t>
            </w:r>
          </w:p>
        </w:tc>
        <w:tc>
          <w:tcPr>
            <w:tcW w:w="709" w:type="dxa"/>
            <w:vAlign w:val="center"/>
          </w:tcPr>
          <w:p w14:paraId="66C0602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28%</w:t>
            </w:r>
          </w:p>
        </w:tc>
      </w:tr>
      <w:tr w:rsidR="00E8617E" w:rsidRPr="00BC513A" w14:paraId="0968EA78" w14:textId="77777777" w:rsidTr="00E75C97">
        <w:tc>
          <w:tcPr>
            <w:tcW w:w="2830" w:type="dxa"/>
          </w:tcPr>
          <w:p w14:paraId="75F0A88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Общ обем на инвестициите в туризъм (в млн. евро )</w:t>
            </w:r>
          </w:p>
        </w:tc>
        <w:tc>
          <w:tcPr>
            <w:tcW w:w="1843" w:type="dxa"/>
            <w:vAlign w:val="center"/>
          </w:tcPr>
          <w:p w14:paraId="2C7EDD9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126</w:t>
            </w:r>
          </w:p>
        </w:tc>
        <w:tc>
          <w:tcPr>
            <w:tcW w:w="1985" w:type="dxa"/>
            <w:vAlign w:val="center"/>
          </w:tcPr>
          <w:p w14:paraId="1A080F3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85</w:t>
            </w:r>
          </w:p>
        </w:tc>
        <w:tc>
          <w:tcPr>
            <w:tcW w:w="1842" w:type="dxa"/>
            <w:vAlign w:val="center"/>
          </w:tcPr>
          <w:p w14:paraId="423CD2F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71</w:t>
            </w:r>
          </w:p>
        </w:tc>
        <w:tc>
          <w:tcPr>
            <w:tcW w:w="709" w:type="dxa"/>
            <w:vAlign w:val="center"/>
          </w:tcPr>
          <w:p w14:paraId="32768F6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84%</w:t>
            </w:r>
          </w:p>
        </w:tc>
      </w:tr>
    </w:tbl>
    <w:p w14:paraId="18F7B4F8" w14:textId="77777777" w:rsidR="00E8617E" w:rsidRPr="00F07F15" w:rsidRDefault="00E8617E" w:rsidP="00E8617E">
      <w:pPr>
        <w:pStyle w:val="DefaultText"/>
        <w:spacing w:after="120" w:line="300" w:lineRule="atLeast"/>
        <w:rPr>
          <w:szCs w:val="18"/>
          <w:lang w:val="bg-BG"/>
        </w:rPr>
      </w:pPr>
      <w:r w:rsidRPr="00F07F15">
        <w:rPr>
          <w:szCs w:val="18"/>
          <w:lang w:val="bg-BG"/>
        </w:rPr>
        <w:t xml:space="preserve">Източник: </w:t>
      </w:r>
      <w:r w:rsidRPr="00F07F15">
        <w:rPr>
          <w:rFonts w:cs="Arial"/>
          <w:bCs/>
          <w:szCs w:val="18"/>
          <w:lang w:val="bg-BG"/>
        </w:rPr>
        <w:t>Годишен доклад за напредъка на ПРСР 2007-2013г. за 2015г.</w:t>
      </w:r>
    </w:p>
    <w:p w14:paraId="71E64A7C"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Тук отново се наблюдава подобна диспропорция между брой финансирани проектни предложения и обем на инвестициите. Предварително заложеният среден размер на инвестициите за един проект в туризма е бил значително занижен спрямо реално предявените инвестиции. Оттук произтича и едва 28% изпълнение на заложения индикатор относно брой подпомогнати туристически дейности. </w:t>
      </w:r>
    </w:p>
    <w:p w14:paraId="2AC46053" w14:textId="4C4C2C64"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Мерките за развитие на туризма не постигат поставените цели по отношение на създадените работни места в туризма. Съгласно данните от Годишн</w:t>
      </w:r>
      <w:r w:rsidR="00C63AFD">
        <w:rPr>
          <w:sz w:val="22"/>
          <w:szCs w:val="22"/>
          <w:lang w:val="bg-BG"/>
        </w:rPr>
        <w:t>ия</w:t>
      </w:r>
      <w:r w:rsidRPr="00BC513A">
        <w:rPr>
          <w:sz w:val="22"/>
          <w:szCs w:val="22"/>
          <w:lang w:val="bg-BG"/>
        </w:rPr>
        <w:t xml:space="preserve"> доклад за напредъка на ПРСР 2007-2013г. създадените работни места представляват 25% от общо заложените (3</w:t>
      </w:r>
      <w:r w:rsidR="00C63AFD">
        <w:rPr>
          <w:sz w:val="22"/>
          <w:szCs w:val="22"/>
          <w:lang w:val="bg-BG"/>
        </w:rPr>
        <w:t> </w:t>
      </w:r>
      <w:r w:rsidRPr="00BC513A">
        <w:rPr>
          <w:sz w:val="22"/>
          <w:szCs w:val="22"/>
          <w:lang w:val="bg-BG"/>
        </w:rPr>
        <w:t>722 броя) или 915 броя от 1</w:t>
      </w:r>
      <w:r w:rsidR="00C63AFD">
        <w:rPr>
          <w:sz w:val="22"/>
          <w:szCs w:val="22"/>
          <w:lang w:val="bg-BG"/>
        </w:rPr>
        <w:t> </w:t>
      </w:r>
      <w:r w:rsidRPr="00BC513A">
        <w:rPr>
          <w:sz w:val="22"/>
          <w:szCs w:val="22"/>
          <w:lang w:val="bg-BG"/>
        </w:rPr>
        <w:t xml:space="preserve">342 общо създадени работни места за мярка 311.  </w:t>
      </w:r>
    </w:p>
    <w:p w14:paraId="4AB00B92" w14:textId="77777777" w:rsidR="00E8617E" w:rsidRDefault="00E8617E" w:rsidP="00E8617E">
      <w:pPr>
        <w:pStyle w:val="DefaultText"/>
        <w:spacing w:after="120" w:line="300" w:lineRule="atLeast"/>
        <w:ind w:firstLine="708"/>
        <w:rPr>
          <w:sz w:val="22"/>
          <w:szCs w:val="22"/>
          <w:lang w:val="bg-BG"/>
        </w:rPr>
      </w:pPr>
      <w:r w:rsidRPr="00BC513A">
        <w:rPr>
          <w:sz w:val="22"/>
          <w:szCs w:val="22"/>
          <w:lang w:val="bg-BG"/>
        </w:rPr>
        <w:t>Инвестициите във възобновяеми енергийни източници допринасят за увеличаване на дела на енергията от ВЕИ в брутното крайно потребление на енергия Съгласно анализи на МЗХГ</w:t>
      </w:r>
      <w:r w:rsidRPr="00BC513A">
        <w:rPr>
          <w:rStyle w:val="FootnoteReference"/>
          <w:sz w:val="22"/>
          <w:szCs w:val="22"/>
          <w:lang w:val="bg-BG"/>
        </w:rPr>
        <w:footnoteReference w:id="30"/>
      </w:r>
      <w:r w:rsidRPr="00BC513A">
        <w:rPr>
          <w:sz w:val="22"/>
          <w:szCs w:val="22"/>
          <w:lang w:val="bg-BG"/>
        </w:rPr>
        <w:t xml:space="preserve"> основен инвестиционен интерес до 2013 г. е към производство на слънчева енергия, като на национално ниво делът на фотоелектрическите централи (ФтЕЦ) между 5 kWp и 200 kWp подкрепени по ПРСР е 55,46 % от общия брой за страната. От общия брой фирми с фотоелектрически централи по ПРСР са подкрепени 21,26 %, а инсталираната мощност по тези проекти е в размер на 2,61 % от общия обем за страната. </w:t>
      </w:r>
    </w:p>
    <w:p w14:paraId="0A72D6FB" w14:textId="77777777" w:rsidR="00E75C97" w:rsidRPr="00BC513A" w:rsidRDefault="00E75C97" w:rsidP="00E8617E">
      <w:pPr>
        <w:pStyle w:val="DefaultText"/>
        <w:spacing w:after="120" w:line="300" w:lineRule="atLeast"/>
        <w:ind w:firstLine="708"/>
        <w:rPr>
          <w:sz w:val="22"/>
          <w:szCs w:val="22"/>
          <w:lang w:val="bg-BG"/>
        </w:rPr>
      </w:pPr>
    </w:p>
    <w:tbl>
      <w:tblPr>
        <w:tblStyle w:val="TableGridLight1"/>
        <w:tblW w:w="9072" w:type="dxa"/>
        <w:tblLayout w:type="fixed"/>
        <w:tblLook w:val="0000" w:firstRow="0" w:lastRow="0" w:firstColumn="0" w:lastColumn="0" w:noHBand="0" w:noVBand="0"/>
      </w:tblPr>
      <w:tblGrid>
        <w:gridCol w:w="8080"/>
        <w:gridCol w:w="992"/>
      </w:tblGrid>
      <w:tr w:rsidR="00E8617E" w:rsidRPr="00BC513A" w14:paraId="35BF4B3D" w14:textId="77777777" w:rsidTr="00922731">
        <w:trPr>
          <w:trHeight w:val="110"/>
        </w:trPr>
        <w:tc>
          <w:tcPr>
            <w:tcW w:w="8080" w:type="dxa"/>
            <w:shd w:val="clear" w:color="auto" w:fill="DEEAF6" w:themeFill="accent1" w:themeFillTint="33"/>
          </w:tcPr>
          <w:p w14:paraId="5EB8BB73" w14:textId="77777777" w:rsidR="00E8617E" w:rsidRPr="00BC513A" w:rsidRDefault="00E8617E" w:rsidP="00922731">
            <w:pPr>
              <w:pStyle w:val="DefaultText"/>
              <w:spacing w:after="120" w:line="300" w:lineRule="atLeast"/>
              <w:rPr>
                <w:rFonts w:eastAsiaTheme="minorHAnsi" w:cs="Arial"/>
                <w:sz w:val="20"/>
                <w:szCs w:val="20"/>
                <w:lang w:val="bg-BG" w:eastAsia="en-US"/>
              </w:rPr>
            </w:pPr>
            <w:r w:rsidRPr="00BC513A">
              <w:rPr>
                <w:rFonts w:eastAsiaTheme="minorHAnsi" w:cs="Arial"/>
                <w:sz w:val="20"/>
                <w:szCs w:val="20"/>
                <w:lang w:val="bg-BG" w:eastAsia="en-US"/>
              </w:rPr>
              <w:t xml:space="preserve">Брой ФтЕЦ по ПРСР спрямо общия брой фирми ФтЕЦ (%) </w:t>
            </w:r>
          </w:p>
        </w:tc>
        <w:tc>
          <w:tcPr>
            <w:tcW w:w="992" w:type="dxa"/>
            <w:shd w:val="clear" w:color="auto" w:fill="DEEAF6" w:themeFill="accent1" w:themeFillTint="33"/>
          </w:tcPr>
          <w:p w14:paraId="6FFC1BB1" w14:textId="77777777" w:rsidR="00E8617E" w:rsidRPr="00BC513A" w:rsidRDefault="00E8617E" w:rsidP="00922731">
            <w:pPr>
              <w:pStyle w:val="DefaultText"/>
              <w:spacing w:after="120" w:line="300" w:lineRule="atLeast"/>
              <w:ind w:firstLine="33"/>
              <w:rPr>
                <w:rFonts w:eastAsiaTheme="minorHAnsi" w:cs="Arial"/>
                <w:sz w:val="20"/>
                <w:szCs w:val="20"/>
                <w:lang w:val="bg-BG" w:eastAsia="en-US"/>
              </w:rPr>
            </w:pPr>
            <w:r w:rsidRPr="00BC513A">
              <w:rPr>
                <w:rFonts w:eastAsiaTheme="minorHAnsi" w:cs="Arial"/>
                <w:sz w:val="20"/>
                <w:szCs w:val="20"/>
                <w:lang w:val="bg-BG" w:eastAsia="en-US"/>
              </w:rPr>
              <w:t xml:space="preserve">21.26% </w:t>
            </w:r>
          </w:p>
        </w:tc>
      </w:tr>
      <w:tr w:rsidR="00E8617E" w:rsidRPr="00BC513A" w14:paraId="7BBF971E" w14:textId="77777777" w:rsidTr="00922731">
        <w:trPr>
          <w:trHeight w:val="110"/>
        </w:trPr>
        <w:tc>
          <w:tcPr>
            <w:tcW w:w="8080" w:type="dxa"/>
          </w:tcPr>
          <w:p w14:paraId="06B63968" w14:textId="77777777" w:rsidR="00E8617E" w:rsidRPr="00BC513A" w:rsidRDefault="00E8617E" w:rsidP="00922731">
            <w:pPr>
              <w:pStyle w:val="DefaultText"/>
              <w:spacing w:after="120" w:line="300" w:lineRule="atLeast"/>
              <w:rPr>
                <w:rFonts w:eastAsiaTheme="minorHAnsi" w:cs="Arial"/>
                <w:sz w:val="20"/>
                <w:szCs w:val="20"/>
                <w:lang w:val="bg-BG" w:eastAsia="en-US"/>
              </w:rPr>
            </w:pPr>
            <w:r w:rsidRPr="00BC513A">
              <w:rPr>
                <w:rFonts w:eastAsiaTheme="minorHAnsi" w:cs="Arial"/>
                <w:sz w:val="20"/>
                <w:szCs w:val="20"/>
                <w:lang w:val="bg-BG" w:eastAsia="en-US"/>
              </w:rPr>
              <w:t xml:space="preserve">Брой ФтЕЦ по ПРСР спрямо брой ФтЕЦ от 5 kWp до 200 kWp (%) </w:t>
            </w:r>
          </w:p>
        </w:tc>
        <w:tc>
          <w:tcPr>
            <w:tcW w:w="992" w:type="dxa"/>
          </w:tcPr>
          <w:p w14:paraId="17C500E2" w14:textId="77777777" w:rsidR="00E8617E" w:rsidRPr="00BC513A" w:rsidRDefault="00E8617E" w:rsidP="00922731">
            <w:pPr>
              <w:pStyle w:val="DefaultText"/>
              <w:spacing w:after="120" w:line="300" w:lineRule="atLeast"/>
              <w:ind w:firstLine="33"/>
              <w:rPr>
                <w:rFonts w:eastAsiaTheme="minorHAnsi" w:cs="Arial"/>
                <w:sz w:val="20"/>
                <w:szCs w:val="20"/>
                <w:lang w:val="bg-BG" w:eastAsia="en-US"/>
              </w:rPr>
            </w:pPr>
            <w:r w:rsidRPr="00BC513A">
              <w:rPr>
                <w:rFonts w:eastAsiaTheme="minorHAnsi" w:cs="Arial"/>
                <w:sz w:val="20"/>
                <w:szCs w:val="20"/>
                <w:lang w:val="bg-BG" w:eastAsia="en-US"/>
              </w:rPr>
              <w:t xml:space="preserve">55.46% </w:t>
            </w:r>
          </w:p>
        </w:tc>
      </w:tr>
      <w:tr w:rsidR="00E8617E" w:rsidRPr="00BC513A" w14:paraId="4BB1E27F" w14:textId="77777777" w:rsidTr="00922731">
        <w:trPr>
          <w:trHeight w:val="245"/>
        </w:trPr>
        <w:tc>
          <w:tcPr>
            <w:tcW w:w="8080" w:type="dxa"/>
            <w:shd w:val="clear" w:color="auto" w:fill="DEEAF6" w:themeFill="accent1" w:themeFillTint="33"/>
          </w:tcPr>
          <w:p w14:paraId="001562DF" w14:textId="77777777" w:rsidR="00E8617E" w:rsidRPr="00BC513A" w:rsidRDefault="00E8617E" w:rsidP="00922731">
            <w:pPr>
              <w:pStyle w:val="DefaultText"/>
              <w:spacing w:after="120" w:line="300" w:lineRule="atLeast"/>
              <w:rPr>
                <w:rFonts w:eastAsiaTheme="minorHAnsi" w:cs="Arial"/>
                <w:sz w:val="20"/>
                <w:szCs w:val="20"/>
                <w:lang w:val="bg-BG" w:eastAsia="en-US"/>
              </w:rPr>
            </w:pPr>
            <w:r w:rsidRPr="00BC513A">
              <w:rPr>
                <w:rFonts w:eastAsiaTheme="minorHAnsi" w:cs="Arial"/>
                <w:sz w:val="20"/>
                <w:szCs w:val="20"/>
                <w:lang w:val="bg-BG" w:eastAsia="en-US"/>
              </w:rPr>
              <w:t xml:space="preserve">Инсталирана мощност ФтЕЦ по ПРСР спрямо общата инсталирана мощност на всички ФтЕЦ (%) </w:t>
            </w:r>
          </w:p>
        </w:tc>
        <w:tc>
          <w:tcPr>
            <w:tcW w:w="992" w:type="dxa"/>
            <w:shd w:val="clear" w:color="auto" w:fill="DEEAF6" w:themeFill="accent1" w:themeFillTint="33"/>
          </w:tcPr>
          <w:p w14:paraId="4F7EB9FC" w14:textId="77777777" w:rsidR="00E8617E" w:rsidRPr="00BC513A" w:rsidRDefault="00E8617E" w:rsidP="00922731">
            <w:pPr>
              <w:pStyle w:val="DefaultText"/>
              <w:spacing w:after="120" w:line="300" w:lineRule="atLeast"/>
              <w:ind w:firstLine="33"/>
              <w:rPr>
                <w:rFonts w:eastAsiaTheme="minorHAnsi" w:cs="Arial"/>
                <w:sz w:val="20"/>
                <w:szCs w:val="20"/>
                <w:lang w:val="bg-BG" w:eastAsia="en-US"/>
              </w:rPr>
            </w:pPr>
            <w:r w:rsidRPr="00BC513A">
              <w:rPr>
                <w:rFonts w:eastAsiaTheme="minorHAnsi" w:cs="Arial"/>
                <w:sz w:val="20"/>
                <w:szCs w:val="20"/>
                <w:lang w:val="bg-BG" w:eastAsia="en-US"/>
              </w:rPr>
              <w:t xml:space="preserve">2.61% </w:t>
            </w:r>
          </w:p>
        </w:tc>
      </w:tr>
      <w:tr w:rsidR="00E8617E" w:rsidRPr="00BC513A" w14:paraId="73C3533B" w14:textId="77777777" w:rsidTr="00922731">
        <w:trPr>
          <w:trHeight w:val="773"/>
        </w:trPr>
        <w:tc>
          <w:tcPr>
            <w:tcW w:w="8080" w:type="dxa"/>
          </w:tcPr>
          <w:p w14:paraId="024B0379" w14:textId="77777777" w:rsidR="00E8617E" w:rsidRPr="00BC513A" w:rsidRDefault="00E8617E" w:rsidP="00922731">
            <w:pPr>
              <w:pStyle w:val="DefaultText"/>
              <w:spacing w:after="120" w:line="300" w:lineRule="atLeast"/>
              <w:rPr>
                <w:rFonts w:eastAsiaTheme="minorHAnsi" w:cs="Arial"/>
                <w:sz w:val="20"/>
                <w:szCs w:val="20"/>
                <w:lang w:val="bg-BG" w:eastAsia="en-US"/>
              </w:rPr>
            </w:pPr>
            <w:r w:rsidRPr="00BC513A">
              <w:rPr>
                <w:rFonts w:eastAsiaTheme="minorHAnsi" w:cs="Arial"/>
                <w:sz w:val="20"/>
                <w:szCs w:val="20"/>
                <w:lang w:val="bg-BG" w:eastAsia="en-US"/>
              </w:rPr>
              <w:t xml:space="preserve">Количество произведена енергия от ФтЕЦ по ПРСР спрямо общото количество от всички ФтЕЦ (%) </w:t>
            </w:r>
          </w:p>
        </w:tc>
        <w:tc>
          <w:tcPr>
            <w:tcW w:w="992" w:type="dxa"/>
          </w:tcPr>
          <w:p w14:paraId="12D0EA90" w14:textId="77777777" w:rsidR="00E8617E" w:rsidRPr="00BC513A" w:rsidRDefault="00E8617E" w:rsidP="00922731">
            <w:pPr>
              <w:pStyle w:val="DefaultText"/>
              <w:spacing w:after="120" w:line="300" w:lineRule="atLeast"/>
              <w:ind w:firstLine="33"/>
              <w:rPr>
                <w:rFonts w:eastAsiaTheme="minorHAnsi" w:cs="Arial"/>
                <w:sz w:val="20"/>
                <w:szCs w:val="20"/>
                <w:lang w:val="bg-BG" w:eastAsia="en-US"/>
              </w:rPr>
            </w:pPr>
            <w:r w:rsidRPr="00BC513A">
              <w:rPr>
                <w:rFonts w:eastAsiaTheme="minorHAnsi" w:cs="Arial"/>
                <w:sz w:val="20"/>
                <w:szCs w:val="20"/>
                <w:lang w:val="bg-BG" w:eastAsia="en-US"/>
              </w:rPr>
              <w:t xml:space="preserve">2.84% </w:t>
            </w:r>
          </w:p>
        </w:tc>
      </w:tr>
      <w:tr w:rsidR="00E8617E" w:rsidRPr="00BC513A" w14:paraId="5224D266" w14:textId="77777777" w:rsidTr="00922731">
        <w:trPr>
          <w:trHeight w:val="245"/>
        </w:trPr>
        <w:tc>
          <w:tcPr>
            <w:tcW w:w="8080" w:type="dxa"/>
            <w:shd w:val="clear" w:color="auto" w:fill="DEEAF6" w:themeFill="accent1" w:themeFillTint="33"/>
          </w:tcPr>
          <w:p w14:paraId="275CE2C4" w14:textId="77777777" w:rsidR="00E8617E" w:rsidRPr="00BC513A" w:rsidRDefault="00E8617E" w:rsidP="00922731">
            <w:pPr>
              <w:pStyle w:val="DefaultText"/>
              <w:spacing w:after="120" w:line="300" w:lineRule="atLeast"/>
              <w:rPr>
                <w:rFonts w:eastAsiaTheme="minorHAnsi" w:cs="Arial"/>
                <w:sz w:val="20"/>
                <w:szCs w:val="20"/>
                <w:lang w:val="bg-BG" w:eastAsia="en-US"/>
              </w:rPr>
            </w:pPr>
            <w:r w:rsidRPr="00BC513A">
              <w:rPr>
                <w:rFonts w:eastAsiaTheme="minorHAnsi" w:cs="Arial"/>
                <w:sz w:val="20"/>
                <w:szCs w:val="20"/>
                <w:lang w:val="bg-BG" w:eastAsia="en-US"/>
              </w:rPr>
              <w:t xml:space="preserve">Количество произведена енергия от ФтЕЦ по ПРСР спрямо общото количество от всички ВЕИ (%) </w:t>
            </w:r>
          </w:p>
        </w:tc>
        <w:tc>
          <w:tcPr>
            <w:tcW w:w="992" w:type="dxa"/>
            <w:shd w:val="clear" w:color="auto" w:fill="DEEAF6" w:themeFill="accent1" w:themeFillTint="33"/>
          </w:tcPr>
          <w:p w14:paraId="31743512" w14:textId="77777777" w:rsidR="00E8617E" w:rsidRPr="00BC513A" w:rsidRDefault="00E8617E" w:rsidP="00922731">
            <w:pPr>
              <w:pStyle w:val="DefaultText"/>
              <w:spacing w:after="120" w:line="300" w:lineRule="atLeast"/>
              <w:ind w:firstLine="33"/>
              <w:rPr>
                <w:rFonts w:eastAsiaTheme="minorHAnsi" w:cs="Arial"/>
                <w:sz w:val="20"/>
                <w:szCs w:val="20"/>
                <w:lang w:val="bg-BG" w:eastAsia="en-US"/>
              </w:rPr>
            </w:pPr>
            <w:r w:rsidRPr="00BC513A">
              <w:rPr>
                <w:rFonts w:eastAsiaTheme="minorHAnsi" w:cs="Arial"/>
                <w:sz w:val="20"/>
                <w:szCs w:val="20"/>
                <w:lang w:val="bg-BG" w:eastAsia="en-US"/>
              </w:rPr>
              <w:t xml:space="preserve">0.89% </w:t>
            </w:r>
          </w:p>
        </w:tc>
      </w:tr>
      <w:tr w:rsidR="00E8617E" w:rsidRPr="00BC513A" w14:paraId="61450414" w14:textId="77777777" w:rsidTr="00922731">
        <w:trPr>
          <w:trHeight w:val="350"/>
        </w:trPr>
        <w:tc>
          <w:tcPr>
            <w:tcW w:w="8080" w:type="dxa"/>
          </w:tcPr>
          <w:p w14:paraId="69A86B3E" w14:textId="77777777" w:rsidR="00E8617E" w:rsidRPr="00BC513A" w:rsidRDefault="00E8617E" w:rsidP="00922731">
            <w:pPr>
              <w:pStyle w:val="DefaultText"/>
              <w:spacing w:after="120" w:line="300" w:lineRule="atLeast"/>
              <w:rPr>
                <w:rFonts w:eastAsiaTheme="minorHAnsi" w:cs="Arial"/>
                <w:sz w:val="20"/>
                <w:szCs w:val="20"/>
                <w:lang w:val="bg-BG" w:eastAsia="en-US"/>
              </w:rPr>
            </w:pPr>
            <w:r w:rsidRPr="00BC513A">
              <w:rPr>
                <w:rFonts w:eastAsiaTheme="minorHAnsi" w:cs="Arial"/>
                <w:sz w:val="20"/>
                <w:szCs w:val="20"/>
                <w:lang w:val="bg-BG" w:eastAsia="en-US"/>
              </w:rPr>
              <w:t xml:space="preserve">Годишна стойност на произведената ел. енергия от ФтЕЦ спрямо стойността за всички ФтеЦ (%) </w:t>
            </w:r>
          </w:p>
        </w:tc>
        <w:tc>
          <w:tcPr>
            <w:tcW w:w="992" w:type="dxa"/>
          </w:tcPr>
          <w:p w14:paraId="7D2721B4" w14:textId="77777777" w:rsidR="00E8617E" w:rsidRPr="00BC513A" w:rsidRDefault="00E8617E" w:rsidP="00922731">
            <w:pPr>
              <w:pStyle w:val="DefaultText"/>
              <w:spacing w:after="120" w:line="300" w:lineRule="atLeast"/>
              <w:ind w:firstLine="33"/>
              <w:rPr>
                <w:rFonts w:eastAsiaTheme="minorHAnsi" w:cs="Arial"/>
                <w:sz w:val="20"/>
                <w:szCs w:val="20"/>
                <w:lang w:val="bg-BG" w:eastAsia="en-US"/>
              </w:rPr>
            </w:pPr>
            <w:r w:rsidRPr="00BC513A">
              <w:rPr>
                <w:rFonts w:eastAsiaTheme="minorHAnsi" w:cs="Arial"/>
                <w:sz w:val="20"/>
                <w:szCs w:val="20"/>
                <w:lang w:val="bg-BG" w:eastAsia="en-US"/>
              </w:rPr>
              <w:t xml:space="preserve">2.22% </w:t>
            </w:r>
          </w:p>
        </w:tc>
      </w:tr>
    </w:tbl>
    <w:p w14:paraId="2FBA5FB0" w14:textId="77777777" w:rsidR="00E8617E" w:rsidRPr="00F07F15" w:rsidRDefault="00E8617E" w:rsidP="00E8617E">
      <w:pPr>
        <w:pStyle w:val="DefaultText"/>
        <w:spacing w:after="120" w:line="300" w:lineRule="atLeast"/>
        <w:rPr>
          <w:rFonts w:cs="Arial"/>
          <w:bCs/>
          <w:szCs w:val="18"/>
          <w:lang w:val="bg-BG" w:eastAsia="en-US"/>
        </w:rPr>
      </w:pPr>
      <w:r w:rsidRPr="00F07F15">
        <w:rPr>
          <w:rFonts w:cs="Arial"/>
          <w:bCs/>
          <w:szCs w:val="18"/>
          <w:lang w:val="bg-BG" w:eastAsia="en-US"/>
        </w:rPr>
        <w:t xml:space="preserve">Източник: МЗХГ </w:t>
      </w:r>
    </w:p>
    <w:p w14:paraId="1BF5B669"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Проектите за ВЕИ като цяло нямат добавена стойност за създаване на нови работни места</w:t>
      </w:r>
    </w:p>
    <w:p w14:paraId="3C639AF5" w14:textId="77777777" w:rsidR="00E8617E" w:rsidRPr="00BC513A" w:rsidRDefault="00E8617E" w:rsidP="00E8617E">
      <w:pPr>
        <w:pStyle w:val="DefaultText"/>
        <w:spacing w:after="120" w:line="300" w:lineRule="atLeast"/>
        <w:rPr>
          <w:rFonts w:ascii="Times New Roman" w:hAnsi="Times New Roman"/>
          <w:sz w:val="24"/>
          <w:lang w:val="bg-BG"/>
        </w:rPr>
      </w:pPr>
      <w:r w:rsidRPr="00BC513A">
        <w:rPr>
          <w:noProof/>
          <w:lang w:val="en-US" w:eastAsia="en-US"/>
        </w:rPr>
        <w:drawing>
          <wp:inline distT="0" distB="0" distL="0" distR="0" wp14:anchorId="73C9EB2C" wp14:editId="244FEC8D">
            <wp:extent cx="5600700" cy="4580165"/>
            <wp:effectExtent l="0" t="0" r="0" b="1143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543C876A" w14:textId="77777777" w:rsidR="00E8617E" w:rsidRPr="00F07F15" w:rsidRDefault="00E8617E" w:rsidP="00E8617E">
      <w:pPr>
        <w:pStyle w:val="DefaultText"/>
        <w:spacing w:after="120" w:line="300" w:lineRule="atLeast"/>
        <w:rPr>
          <w:szCs w:val="18"/>
          <w:lang w:val="bg-BG"/>
        </w:rPr>
      </w:pPr>
      <w:r w:rsidRPr="00F07F15">
        <w:rPr>
          <w:szCs w:val="18"/>
          <w:lang w:val="bg-BG"/>
        </w:rPr>
        <w:t xml:space="preserve">Източник: По данни на ДФЗ-РА </w:t>
      </w:r>
    </w:p>
    <w:p w14:paraId="3123C241" w14:textId="77777777" w:rsidR="00E8617E" w:rsidRPr="00BC513A" w:rsidRDefault="00E8617E" w:rsidP="00E8617E">
      <w:pPr>
        <w:pStyle w:val="DefaultText"/>
        <w:spacing w:after="120" w:line="300" w:lineRule="atLeast"/>
        <w:ind w:firstLine="708"/>
        <w:jc w:val="center"/>
        <w:rPr>
          <w:rFonts w:ascii="Times New Roman" w:hAnsi="Times New Roman"/>
          <w:b/>
          <w:sz w:val="24"/>
          <w:lang w:val="bg-BG"/>
        </w:rPr>
      </w:pPr>
      <w:bookmarkStart w:id="163" w:name="_Toc506984721"/>
      <w:r w:rsidRPr="00BC513A">
        <w:rPr>
          <w:rFonts w:cs="Arial"/>
          <w:b/>
          <w:color w:val="0070C0"/>
          <w:sz w:val="20"/>
          <w:szCs w:val="20"/>
          <w:lang w:val="bg-BG"/>
        </w:rPr>
        <w:t xml:space="preserve">Фигура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Фигура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15</w:t>
      </w:r>
      <w:r w:rsidRPr="00BC513A">
        <w:rPr>
          <w:rFonts w:cs="Arial"/>
          <w:b/>
          <w:color w:val="0070C0"/>
          <w:sz w:val="20"/>
          <w:szCs w:val="20"/>
          <w:lang w:val="bg-BG"/>
        </w:rPr>
        <w:fldChar w:fldCharType="end"/>
      </w:r>
      <w:r w:rsidRPr="00BC513A">
        <w:rPr>
          <w:rFonts w:cs="Arial"/>
          <w:b/>
          <w:color w:val="0070C0"/>
          <w:sz w:val="20"/>
          <w:szCs w:val="20"/>
          <w:lang w:val="bg-BG"/>
        </w:rPr>
        <w:t>. Териториално изпълнение на мярка 311 – брой проекти по области</w:t>
      </w:r>
      <w:bookmarkEnd w:id="163"/>
    </w:p>
    <w:p w14:paraId="43DFFBCC" w14:textId="2163C11C" w:rsidR="00EF0C92" w:rsidRPr="00BC513A" w:rsidRDefault="00EF0C92" w:rsidP="00EF0C92">
      <w:pPr>
        <w:pStyle w:val="DefaultText"/>
        <w:spacing w:after="120" w:line="300" w:lineRule="atLeast"/>
        <w:ind w:firstLine="708"/>
        <w:rPr>
          <w:sz w:val="22"/>
          <w:szCs w:val="22"/>
          <w:lang w:val="bg-BG"/>
        </w:rPr>
      </w:pPr>
      <w:r w:rsidRPr="00BC513A">
        <w:rPr>
          <w:sz w:val="22"/>
          <w:szCs w:val="22"/>
          <w:lang w:val="bg-BG"/>
        </w:rPr>
        <w:t xml:space="preserve">Относно териториалното изпълнение на мярката най-много реализирани проекти има в най-силно развития район на България </w:t>
      </w:r>
      <w:r w:rsidR="006B300D">
        <w:rPr>
          <w:sz w:val="22"/>
          <w:szCs w:val="22"/>
          <w:lang w:val="bg-BG"/>
        </w:rPr>
        <w:t>–</w:t>
      </w:r>
      <w:r w:rsidRPr="00BC513A">
        <w:rPr>
          <w:sz w:val="22"/>
          <w:szCs w:val="22"/>
          <w:lang w:val="bg-BG"/>
        </w:rPr>
        <w:t xml:space="preserve"> Югозападн</w:t>
      </w:r>
      <w:r w:rsidR="00791A48">
        <w:rPr>
          <w:sz w:val="22"/>
          <w:szCs w:val="22"/>
          <w:lang w:val="bg-BG"/>
        </w:rPr>
        <w:t>ия</w:t>
      </w:r>
      <w:r w:rsidRPr="00BC513A">
        <w:rPr>
          <w:sz w:val="22"/>
          <w:szCs w:val="22"/>
          <w:lang w:val="bg-BG"/>
        </w:rPr>
        <w:t xml:space="preserve"> с център столицата София, а най-слабо развитият Северозападен район не е подпомогнат значително. </w:t>
      </w:r>
    </w:p>
    <w:p w14:paraId="02CBA631"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Като недостатък при програмирането и изпълнението на мярка 311 за периода 2007-2013г. може да се отбележи, че не са били предвидени секторни приоритети за различните сектори на икономиката, които се предвижда да бъдат финансирани, с цел да се постигне равномерно стимулиране и постигане на реално разнообразяване на икономиката към неземеделски дейности. Въз основа на опита по САПАРД стратегията за развитие на селските райони за периода 2007-2013г. не предвижда секторни приоритети за разнообразяване на икономическите дейности. Това впоследствие се оказва не особено удачно, тъй като проектните предложения се фокусират основно в два сектора и това не води до съществена диверсификация на икономическите дейности в селските райони.  </w:t>
      </w:r>
    </w:p>
    <w:p w14:paraId="59B35A8D" w14:textId="760E6BE9"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Броят на създадените работни места</w:t>
      </w:r>
      <w:r w:rsidR="00C63AFD">
        <w:rPr>
          <w:sz w:val="22"/>
          <w:szCs w:val="22"/>
          <w:lang w:val="bg-BG"/>
        </w:rPr>
        <w:t>,</w:t>
      </w:r>
      <w:r w:rsidRPr="00BC513A">
        <w:rPr>
          <w:sz w:val="22"/>
          <w:szCs w:val="22"/>
          <w:lang w:val="bg-BG"/>
        </w:rPr>
        <w:t xml:space="preserve"> съгласно данни на УО, МЗХГ</w:t>
      </w:r>
      <w:r w:rsidR="00C63AFD">
        <w:rPr>
          <w:sz w:val="22"/>
          <w:szCs w:val="22"/>
          <w:lang w:val="bg-BG"/>
        </w:rPr>
        <w:t>,</w:t>
      </w:r>
      <w:r w:rsidRPr="00BC513A">
        <w:rPr>
          <w:sz w:val="22"/>
          <w:szCs w:val="22"/>
          <w:lang w:val="bg-BG"/>
        </w:rPr>
        <w:t xml:space="preserve"> представлява 36% от предварително заложения индикатор, а именно 1</w:t>
      </w:r>
      <w:r w:rsidR="00C63AFD">
        <w:rPr>
          <w:sz w:val="22"/>
          <w:szCs w:val="22"/>
          <w:lang w:val="bg-BG"/>
        </w:rPr>
        <w:t> </w:t>
      </w:r>
      <w:r w:rsidRPr="00BC513A">
        <w:rPr>
          <w:sz w:val="22"/>
          <w:szCs w:val="22"/>
          <w:lang w:val="bg-BG"/>
        </w:rPr>
        <w:t>342 работни места спрямо 3</w:t>
      </w:r>
      <w:r w:rsidR="00C63AFD">
        <w:rPr>
          <w:sz w:val="22"/>
          <w:szCs w:val="22"/>
          <w:lang w:val="bg-BG"/>
        </w:rPr>
        <w:t> </w:t>
      </w:r>
      <w:r w:rsidRPr="00BC513A">
        <w:rPr>
          <w:sz w:val="22"/>
          <w:szCs w:val="22"/>
          <w:lang w:val="bg-BG"/>
        </w:rPr>
        <w:t>722 броя, заложени като цел. Този сравнително нисък процент на изпълнение на предварително заложения индикатор се дължи на факта, че създаването на работни места не е бил</w:t>
      </w:r>
      <w:r w:rsidR="00C63AFD">
        <w:rPr>
          <w:sz w:val="22"/>
          <w:szCs w:val="22"/>
          <w:lang w:val="bg-BG"/>
        </w:rPr>
        <w:t>о</w:t>
      </w:r>
      <w:r w:rsidRPr="00BC513A">
        <w:rPr>
          <w:sz w:val="22"/>
          <w:szCs w:val="22"/>
          <w:lang w:val="bg-BG"/>
        </w:rPr>
        <w:t xml:space="preserve"> включен</w:t>
      </w:r>
      <w:r w:rsidR="00C63AFD">
        <w:rPr>
          <w:sz w:val="22"/>
          <w:szCs w:val="22"/>
          <w:lang w:val="bg-BG"/>
        </w:rPr>
        <w:t>о</w:t>
      </w:r>
      <w:r w:rsidRPr="00BC513A">
        <w:rPr>
          <w:sz w:val="22"/>
          <w:szCs w:val="22"/>
          <w:lang w:val="bg-BG"/>
        </w:rPr>
        <w:t xml:space="preserve"> като критерий за подбор на проектните предложения. С оглед постигането на заложените по програмата цели, пропускът за залагане на толкова основополагащ критерий като създаване на работни места в насоките за оценка на проектните предложения представлява много съществен пропуск, който има базисно отражение върху постигането на търсената на Общностно ниво ефективност на ПРСР 2007-2013, свързана с устойчивостта на постигнатите резултати и в крайна сметка с подобряването качеството на живот в селските райони и предоставянето на повече възможности за населението да остане да живее и да се развива в селските райони.   </w:t>
      </w:r>
    </w:p>
    <w:p w14:paraId="50A5A845" w14:textId="6B3CFD55" w:rsidR="00E8617E" w:rsidRPr="00BC513A" w:rsidRDefault="00E8617E" w:rsidP="00E8617E">
      <w:pPr>
        <w:pStyle w:val="DefaultText"/>
        <w:spacing w:line="300" w:lineRule="atLeast"/>
        <w:ind w:firstLine="708"/>
        <w:rPr>
          <w:sz w:val="22"/>
          <w:szCs w:val="22"/>
          <w:lang w:val="bg-BG"/>
        </w:rPr>
      </w:pPr>
      <w:r w:rsidRPr="00BC513A">
        <w:rPr>
          <w:sz w:val="22"/>
          <w:szCs w:val="22"/>
          <w:lang w:val="bg-BG"/>
        </w:rPr>
        <w:t xml:space="preserve">Относно заложения индикатор за </w:t>
      </w:r>
      <w:r w:rsidR="00E75C97">
        <w:rPr>
          <w:sz w:val="22"/>
          <w:szCs w:val="22"/>
          <w:lang w:val="bg-BG"/>
        </w:rPr>
        <w:t>„</w:t>
      </w:r>
      <w:r w:rsidRPr="00BC513A">
        <w:rPr>
          <w:sz w:val="22"/>
          <w:szCs w:val="22"/>
          <w:lang w:val="bg-BG"/>
        </w:rPr>
        <w:t>Увеличена обща добавена стойност от неземеделски бизнеси, подпомогнати по мярка 311</w:t>
      </w:r>
      <w:r w:rsidR="00E75C97">
        <w:rPr>
          <w:sz w:val="22"/>
          <w:szCs w:val="22"/>
          <w:lang w:val="bg-BG"/>
        </w:rPr>
        <w:t>“</w:t>
      </w:r>
      <w:r w:rsidRPr="00BC513A">
        <w:rPr>
          <w:sz w:val="22"/>
          <w:szCs w:val="22"/>
          <w:lang w:val="bg-BG"/>
        </w:rPr>
        <w:t xml:space="preserve"> не може да бъда направен анализ, тъй като заложеният индикатор не е измерван и няма налична информация. Следва да се добави, че този индикатор е бил измерван по сходната мярка 312, но не и по мярка 311.  </w:t>
      </w:r>
    </w:p>
    <w:p w14:paraId="7E352FC3" w14:textId="77777777" w:rsidR="00E8617E" w:rsidRPr="00BC513A" w:rsidRDefault="00E8617E" w:rsidP="00E8617E">
      <w:pPr>
        <w:keepNext/>
        <w:spacing w:before="240" w:after="120" w:line="276" w:lineRule="auto"/>
        <w:jc w:val="both"/>
        <w:rPr>
          <w:rFonts w:ascii="Arial" w:hAnsi="Arial" w:cs="Arial"/>
          <w:b/>
          <w:color w:val="0070C0"/>
          <w:sz w:val="20"/>
          <w:szCs w:val="20"/>
        </w:rPr>
      </w:pPr>
      <w:bookmarkStart w:id="164" w:name="_Toc504136238"/>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66</w:t>
      </w:r>
      <w:r w:rsidRPr="00BC513A">
        <w:rPr>
          <w:rFonts w:ascii="Arial" w:hAnsi="Arial" w:cs="Arial"/>
          <w:b/>
          <w:color w:val="0070C0"/>
          <w:sz w:val="20"/>
          <w:szCs w:val="20"/>
        </w:rPr>
        <w:fldChar w:fldCharType="end"/>
      </w:r>
      <w:r w:rsidRPr="00BC513A">
        <w:rPr>
          <w:rFonts w:ascii="Arial" w:hAnsi="Arial" w:cs="Arial"/>
          <w:b/>
          <w:color w:val="0070C0"/>
          <w:sz w:val="20"/>
          <w:szCs w:val="20"/>
        </w:rPr>
        <w:t>. Изпълнение на индикатори за резултат по мярка 311</w:t>
      </w:r>
      <w:bookmarkEnd w:id="164"/>
    </w:p>
    <w:tbl>
      <w:tblPr>
        <w:tblStyle w:val="TableGrid"/>
        <w:tblW w:w="8788" w:type="dxa"/>
        <w:tblLayout w:type="fixed"/>
        <w:tblLook w:val="04A0" w:firstRow="1" w:lastRow="0" w:firstColumn="1" w:lastColumn="0" w:noHBand="0" w:noVBand="1"/>
      </w:tblPr>
      <w:tblGrid>
        <w:gridCol w:w="2830"/>
        <w:gridCol w:w="1276"/>
        <w:gridCol w:w="1843"/>
        <w:gridCol w:w="1843"/>
        <w:gridCol w:w="996"/>
      </w:tblGrid>
      <w:tr w:rsidR="00E8617E" w:rsidRPr="00BC513A" w14:paraId="05E68410" w14:textId="77777777" w:rsidTr="00922731">
        <w:tc>
          <w:tcPr>
            <w:tcW w:w="2830" w:type="dxa"/>
            <w:shd w:val="clear" w:color="auto" w:fill="1F4E79" w:themeFill="accent1" w:themeFillShade="80"/>
            <w:vAlign w:val="center"/>
          </w:tcPr>
          <w:p w14:paraId="59763DBB"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1276" w:type="dxa"/>
            <w:shd w:val="clear" w:color="auto" w:fill="1F4E79" w:themeFill="accent1" w:themeFillShade="80"/>
            <w:vAlign w:val="center"/>
          </w:tcPr>
          <w:p w14:paraId="282B0C5F"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Първоначална стойност</w:t>
            </w:r>
          </w:p>
        </w:tc>
        <w:tc>
          <w:tcPr>
            <w:tcW w:w="1843" w:type="dxa"/>
            <w:shd w:val="clear" w:color="auto" w:fill="1F4E79" w:themeFill="accent1" w:themeFillShade="80"/>
            <w:vAlign w:val="center"/>
          </w:tcPr>
          <w:p w14:paraId="16865F66"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Окончателна целева стойност</w:t>
            </w:r>
          </w:p>
        </w:tc>
        <w:tc>
          <w:tcPr>
            <w:tcW w:w="1843" w:type="dxa"/>
            <w:shd w:val="clear" w:color="auto" w:fill="1F4E79" w:themeFill="accent1" w:themeFillShade="80"/>
          </w:tcPr>
          <w:p w14:paraId="3C067916"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Постигната стойност след изпълнението на програмата</w:t>
            </w:r>
          </w:p>
        </w:tc>
        <w:tc>
          <w:tcPr>
            <w:tcW w:w="996" w:type="dxa"/>
            <w:shd w:val="clear" w:color="auto" w:fill="1F4E79" w:themeFill="accent1" w:themeFillShade="80"/>
            <w:vAlign w:val="center"/>
          </w:tcPr>
          <w:p w14:paraId="5F602133" w14:textId="77777777" w:rsidR="00E8617E" w:rsidRPr="00BC513A" w:rsidRDefault="00E8617E" w:rsidP="00922731">
            <w:pPr>
              <w:jc w:val="center"/>
              <w:rPr>
                <w:rFonts w:ascii="Arial" w:hAnsi="Arial" w:cs="Arial"/>
                <w:color w:val="FFFFFF" w:themeColor="background1"/>
                <w:sz w:val="20"/>
                <w:szCs w:val="20"/>
              </w:rPr>
            </w:pPr>
            <w:r w:rsidRPr="00BC513A">
              <w:rPr>
                <w:rFonts w:ascii="Arial" w:hAnsi="Arial" w:cs="Arial"/>
                <w:color w:val="FFFFFF" w:themeColor="background1"/>
                <w:sz w:val="20"/>
                <w:szCs w:val="20"/>
              </w:rPr>
              <w:t>%</w:t>
            </w:r>
          </w:p>
        </w:tc>
      </w:tr>
      <w:tr w:rsidR="00E8617E" w:rsidRPr="00BC513A" w14:paraId="3A614070" w14:textId="77777777" w:rsidTr="00922731">
        <w:tc>
          <w:tcPr>
            <w:tcW w:w="2830" w:type="dxa"/>
          </w:tcPr>
          <w:p w14:paraId="776507D1" w14:textId="77777777" w:rsidR="00E8617E" w:rsidRPr="00BC513A" w:rsidRDefault="00E8617E" w:rsidP="00922731">
            <w:pPr>
              <w:rPr>
                <w:rFonts w:ascii="Arial" w:hAnsi="Arial" w:cs="Arial"/>
                <w:sz w:val="20"/>
                <w:szCs w:val="20"/>
              </w:rPr>
            </w:pPr>
            <w:r w:rsidRPr="00BC513A">
              <w:rPr>
                <w:rFonts w:ascii="Arial" w:hAnsi="Arial" w:cs="Arial"/>
                <w:sz w:val="20"/>
                <w:szCs w:val="20"/>
              </w:rPr>
              <w:t>Увеличена обща добавена стойност от неземеделски бизнеси, подпомогнати по мярката</w:t>
            </w:r>
          </w:p>
        </w:tc>
        <w:tc>
          <w:tcPr>
            <w:tcW w:w="1276" w:type="dxa"/>
            <w:vAlign w:val="center"/>
          </w:tcPr>
          <w:p w14:paraId="79E9CAF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25</w:t>
            </w:r>
          </w:p>
        </w:tc>
        <w:tc>
          <w:tcPr>
            <w:tcW w:w="1843" w:type="dxa"/>
            <w:vAlign w:val="center"/>
          </w:tcPr>
          <w:p w14:paraId="191D6C0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17</w:t>
            </w:r>
          </w:p>
        </w:tc>
        <w:tc>
          <w:tcPr>
            <w:tcW w:w="1843" w:type="dxa"/>
            <w:vAlign w:val="center"/>
          </w:tcPr>
          <w:p w14:paraId="18C64F3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w:t>
            </w:r>
          </w:p>
        </w:tc>
        <w:tc>
          <w:tcPr>
            <w:tcW w:w="996" w:type="dxa"/>
            <w:vAlign w:val="center"/>
          </w:tcPr>
          <w:p w14:paraId="0AD8CDF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w:t>
            </w:r>
          </w:p>
        </w:tc>
      </w:tr>
    </w:tbl>
    <w:p w14:paraId="3FF1D0C5" w14:textId="77777777" w:rsidR="00E8617E" w:rsidRPr="00F07F15" w:rsidRDefault="00E8617E" w:rsidP="00E8617E">
      <w:pPr>
        <w:pStyle w:val="DefaultText"/>
        <w:spacing w:line="300" w:lineRule="atLeast"/>
        <w:rPr>
          <w:rFonts w:cs="Arial"/>
          <w:szCs w:val="18"/>
          <w:lang w:val="bg-BG"/>
        </w:rPr>
      </w:pPr>
      <w:r w:rsidRPr="00F07F15">
        <w:rPr>
          <w:rFonts w:cs="Arial"/>
          <w:szCs w:val="18"/>
          <w:lang w:val="bg-BG"/>
        </w:rPr>
        <w:t xml:space="preserve">Източник: ПРСР 2007-2013 </w:t>
      </w:r>
    </w:p>
    <w:p w14:paraId="3AE2E55E" w14:textId="18A21DB3" w:rsidR="00260222" w:rsidRPr="00260222" w:rsidRDefault="00260222" w:rsidP="00840BE9">
      <w:pPr>
        <w:pStyle w:val="DefaultText"/>
        <w:spacing w:before="240" w:after="120" w:line="300" w:lineRule="atLeast"/>
        <w:ind w:firstLine="709"/>
        <w:rPr>
          <w:sz w:val="22"/>
          <w:szCs w:val="22"/>
          <w:lang w:val="bg-BG"/>
        </w:rPr>
      </w:pPr>
      <w:r w:rsidRPr="00205C7B">
        <w:rPr>
          <w:sz w:val="22"/>
          <w:szCs w:val="22"/>
          <w:lang w:val="bg-BG"/>
        </w:rPr>
        <w:t>Теренното проучване сред бенефициенти по мярка 311 показва, че направените инвестиции са налице и са функциониращи. В 8 от 10</w:t>
      </w:r>
      <w:r w:rsidR="00C63AFD">
        <w:rPr>
          <w:sz w:val="22"/>
          <w:szCs w:val="22"/>
          <w:lang w:val="bg-BG"/>
        </w:rPr>
        <w:t>-</w:t>
      </w:r>
      <w:r w:rsidRPr="00205C7B">
        <w:rPr>
          <w:sz w:val="22"/>
          <w:szCs w:val="22"/>
          <w:lang w:val="bg-BG"/>
        </w:rPr>
        <w:t>те посетени проекта са направени допълнителни инвестиции и подобрения, финансирани със собствени средства (в 7 проекта) или от друг източник (4 проекта). Девет от посетените проекти са за развитие на селски туризъм и един е инвестиция за производство на мебели. В 8 от случаите бенефициенти са земеделски производители или юридически лица</w:t>
      </w:r>
      <w:r w:rsidR="00C63AFD">
        <w:rPr>
          <w:sz w:val="22"/>
          <w:szCs w:val="22"/>
          <w:lang w:val="bg-BG"/>
        </w:rPr>
        <w:t>,</w:t>
      </w:r>
      <w:r w:rsidRPr="00205C7B">
        <w:rPr>
          <w:sz w:val="22"/>
          <w:szCs w:val="22"/>
          <w:lang w:val="bg-BG"/>
        </w:rPr>
        <w:t xml:space="preserve"> занимаващи се със земеделие, които </w:t>
      </w:r>
      <w:r w:rsidR="00840BE9">
        <w:rPr>
          <w:sz w:val="22"/>
          <w:szCs w:val="22"/>
          <w:lang w:val="bg-BG"/>
        </w:rPr>
        <w:t>разнообразяват</w:t>
      </w:r>
      <w:r w:rsidRPr="00205C7B">
        <w:rPr>
          <w:sz w:val="22"/>
          <w:szCs w:val="22"/>
          <w:lang w:val="bg-BG"/>
        </w:rPr>
        <w:t xml:space="preserve"> към неземеделски дейности. Само в два от случаите бенефициенти са лица</w:t>
      </w:r>
      <w:r w:rsidR="00C63AFD">
        <w:rPr>
          <w:sz w:val="22"/>
          <w:szCs w:val="22"/>
          <w:lang w:val="bg-BG"/>
        </w:rPr>
        <w:t>,</w:t>
      </w:r>
      <w:r w:rsidRPr="00205C7B">
        <w:rPr>
          <w:sz w:val="22"/>
          <w:szCs w:val="22"/>
          <w:lang w:val="bg-BG"/>
        </w:rPr>
        <w:t xml:space="preserve"> които стартират нова дейност или поначало се занимават с дейности извън земеделието. И по десетте проекта са открити нови работни места – средно по три на проект (общо 32 постоянни работни места). Други докладвани ефекти са ръст на доходите от туризъм, увеличаване на пазарния дял (5 проекта) и увеличаване на производствения капацитет (3 проекта).</w:t>
      </w:r>
      <w:r w:rsidR="009C31A8" w:rsidRPr="00205C7B">
        <w:rPr>
          <w:sz w:val="22"/>
          <w:szCs w:val="22"/>
          <w:lang w:val="bg-BG"/>
        </w:rPr>
        <w:t xml:space="preserve"> Осем от 10</w:t>
      </w:r>
      <w:r w:rsidR="00535876">
        <w:rPr>
          <w:sz w:val="22"/>
          <w:szCs w:val="22"/>
          <w:lang w:val="bg-BG"/>
        </w:rPr>
        <w:t>-</w:t>
      </w:r>
      <w:r w:rsidR="009C31A8" w:rsidRPr="00205C7B">
        <w:rPr>
          <w:sz w:val="22"/>
          <w:szCs w:val="22"/>
          <w:lang w:val="bg-BG"/>
        </w:rPr>
        <w:t>те бенефициент</w:t>
      </w:r>
      <w:r w:rsidR="00C63AFD">
        <w:rPr>
          <w:sz w:val="22"/>
          <w:szCs w:val="22"/>
          <w:lang w:val="bg-BG"/>
        </w:rPr>
        <w:t>и</w:t>
      </w:r>
      <w:r w:rsidR="009C31A8" w:rsidRPr="00205C7B">
        <w:rPr>
          <w:sz w:val="22"/>
          <w:szCs w:val="22"/>
          <w:lang w:val="bg-BG"/>
        </w:rPr>
        <w:t xml:space="preserve"> биха кандидатствали отново за подкрепа по ПРСР.</w:t>
      </w:r>
      <w:r w:rsidR="009C31A8">
        <w:rPr>
          <w:sz w:val="22"/>
          <w:szCs w:val="22"/>
          <w:lang w:val="bg-BG"/>
        </w:rPr>
        <w:t xml:space="preserve"> </w:t>
      </w:r>
    </w:p>
    <w:p w14:paraId="2D860BC9" w14:textId="11763AAB"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Като цяло марка 311 „Разнообразяване към неземеделски дейности“ има частичен принос за постигане на заложените цели за диверсификация към неземеделски дейности. Бюджетът на мярката е редуциран поч</w:t>
      </w:r>
      <w:r w:rsidR="00C63AFD">
        <w:rPr>
          <w:sz w:val="22"/>
          <w:szCs w:val="22"/>
          <w:lang w:val="bg-BG"/>
        </w:rPr>
        <w:t>т</w:t>
      </w:r>
      <w:r w:rsidRPr="00BC513A">
        <w:rPr>
          <w:sz w:val="22"/>
          <w:szCs w:val="22"/>
          <w:lang w:val="bg-BG"/>
        </w:rPr>
        <w:t>и наполовина, а заложените индикатори за подкрепени дейности, инвестиции и създаден</w:t>
      </w:r>
      <w:r w:rsidR="00C63AFD">
        <w:rPr>
          <w:sz w:val="22"/>
          <w:szCs w:val="22"/>
          <w:lang w:val="bg-BG"/>
        </w:rPr>
        <w:t>и</w:t>
      </w:r>
      <w:r w:rsidRPr="00BC513A">
        <w:rPr>
          <w:sz w:val="22"/>
          <w:szCs w:val="22"/>
          <w:lang w:val="bg-BG"/>
        </w:rPr>
        <w:t xml:space="preserve"> работни места с</w:t>
      </w:r>
      <w:r w:rsidR="00C63AFD">
        <w:rPr>
          <w:sz w:val="22"/>
          <w:szCs w:val="22"/>
          <w:lang w:val="bg-BG"/>
        </w:rPr>
        <w:t>а</w:t>
      </w:r>
      <w:r w:rsidRPr="00BC513A">
        <w:rPr>
          <w:sz w:val="22"/>
          <w:szCs w:val="22"/>
          <w:lang w:val="bg-BG"/>
        </w:rPr>
        <w:t xml:space="preserve"> частично изпълнени. По мярката са подкрепени дейности предимно в два сектора – изграждане на къщи за гости и ВЕИ. По този начин приносът на мярката за разнообразяване на селската икономика към неземеделски дейности, създаване на допълнителен доход за земеделските стопани и осигуряване на допълнителна заетост е частичен.</w:t>
      </w:r>
    </w:p>
    <w:p w14:paraId="0A7EE02F"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312. Подкрепа за създаване и развитие на микропредприятия</w:t>
      </w:r>
    </w:p>
    <w:p w14:paraId="406B2D76" w14:textId="500DFBB2"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312 има за цел да насърчи развитието на предприемачеството в селските райони, да подпомогне растежа и създаване на нови работни места в неземеделски микропредприятия в селските райони, както и да подкрепи развитието на интегриран селски туризъм. Основните подкрепени дейности по тази мярка са инвестиции и свързани с тях външни услуги по маркетинг и мениджмънт за развитие на дейности и услуги за развитие на дейности</w:t>
      </w:r>
      <w:r w:rsidR="00C63AFD">
        <w:rPr>
          <w:sz w:val="22"/>
          <w:szCs w:val="22"/>
          <w:lang w:val="bg-BG"/>
        </w:rPr>
        <w:t>,</w:t>
      </w:r>
      <w:r w:rsidRPr="00BC513A">
        <w:rPr>
          <w:sz w:val="22"/>
          <w:szCs w:val="22"/>
          <w:lang w:val="bg-BG"/>
        </w:rPr>
        <w:t xml:space="preserve"> свързани със селски туризъм от частни микропредприятия, отдих и спорт, създаване и развитие на консултантски и бизнес услуги, социални грижи и здравеопазване, транспортни услуги и т.н. </w:t>
      </w:r>
    </w:p>
    <w:p w14:paraId="6ABBDF28"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Първоначално планираният бюджет на мярката възлиза 127 261 669,00 евро.  С последното изменение на програмата бюджетът е намален на 109 866 666 евро и този бюджет е изразходван на почти 98%. </w:t>
      </w:r>
    </w:p>
    <w:p w14:paraId="446CF2D3"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Мярката не постига целевите стойности на индикаторите за „брой на получилите помощта“, „новообразувани микропредприятия“, „други микропредприятия“ и „брой създадени работни места“. Един от главните фактори оказващи влияние, както при мярка 311, е неточното планиране на среден размер на инвестициите в рамките на един проект по мярката при залагането на индикаторите и реалния среден размер на инвестициите като резултат от изпълнението. </w:t>
      </w:r>
    </w:p>
    <w:p w14:paraId="22AC54B5" w14:textId="77777777" w:rsidR="00E8617E" w:rsidRPr="00BC513A" w:rsidRDefault="00E8617E" w:rsidP="00E8617E">
      <w:pPr>
        <w:keepNext/>
        <w:spacing w:before="240" w:after="0" w:line="240" w:lineRule="auto"/>
        <w:rPr>
          <w:rFonts w:ascii="Arial" w:eastAsia="Calibri" w:hAnsi="Arial" w:cs="Arial"/>
          <w:b/>
          <w:iCs/>
          <w:color w:val="0070C0"/>
          <w:sz w:val="20"/>
          <w:szCs w:val="20"/>
        </w:rPr>
      </w:pPr>
      <w:bookmarkStart w:id="165" w:name="_Toc504136239"/>
      <w:r w:rsidRPr="00BC513A">
        <w:rPr>
          <w:rFonts w:ascii="Arial" w:eastAsia="Calibri" w:hAnsi="Arial" w:cs="Arial"/>
          <w:b/>
          <w:iCs/>
          <w:color w:val="0070C0"/>
          <w:sz w:val="20"/>
          <w:szCs w:val="20"/>
        </w:rPr>
        <w:t xml:space="preserve">Таблица </w:t>
      </w:r>
      <w:r w:rsidRPr="00BC513A">
        <w:rPr>
          <w:rFonts w:ascii="Arial" w:eastAsia="Calibri" w:hAnsi="Arial" w:cs="Arial"/>
          <w:b/>
          <w:iCs/>
          <w:color w:val="0070C0"/>
          <w:sz w:val="20"/>
          <w:szCs w:val="20"/>
        </w:rPr>
        <w:fldChar w:fldCharType="begin"/>
      </w:r>
      <w:r w:rsidRPr="00BC513A">
        <w:rPr>
          <w:rFonts w:ascii="Arial" w:eastAsia="Calibri" w:hAnsi="Arial" w:cs="Arial"/>
          <w:b/>
          <w:iCs/>
          <w:color w:val="0070C0"/>
          <w:sz w:val="20"/>
          <w:szCs w:val="20"/>
        </w:rPr>
        <w:instrText xml:space="preserve"> SEQ Таблица \* ARABIC </w:instrText>
      </w:r>
      <w:r w:rsidRPr="00BC513A">
        <w:rPr>
          <w:rFonts w:ascii="Arial" w:eastAsia="Calibri" w:hAnsi="Arial" w:cs="Arial"/>
          <w:b/>
          <w:iCs/>
          <w:color w:val="0070C0"/>
          <w:sz w:val="20"/>
          <w:szCs w:val="20"/>
        </w:rPr>
        <w:fldChar w:fldCharType="separate"/>
      </w:r>
      <w:r w:rsidR="0023010D">
        <w:rPr>
          <w:rFonts w:ascii="Arial" w:eastAsia="Calibri" w:hAnsi="Arial" w:cs="Arial"/>
          <w:b/>
          <w:iCs/>
          <w:noProof/>
          <w:color w:val="0070C0"/>
          <w:sz w:val="20"/>
          <w:szCs w:val="20"/>
        </w:rPr>
        <w:t>67</w:t>
      </w:r>
      <w:r w:rsidRPr="00BC513A">
        <w:rPr>
          <w:rFonts w:ascii="Arial" w:eastAsia="Calibri" w:hAnsi="Arial" w:cs="Arial"/>
          <w:b/>
          <w:iCs/>
          <w:color w:val="0070C0"/>
          <w:sz w:val="20"/>
          <w:szCs w:val="20"/>
        </w:rPr>
        <w:fldChar w:fldCharType="end"/>
      </w:r>
      <w:r w:rsidRPr="00BC513A">
        <w:rPr>
          <w:rFonts w:ascii="Arial" w:eastAsia="Calibri" w:hAnsi="Arial" w:cs="Arial"/>
          <w:b/>
          <w:iCs/>
          <w:color w:val="0070C0"/>
          <w:sz w:val="20"/>
          <w:szCs w:val="20"/>
        </w:rPr>
        <w:t>. Изпълнение на целите на мярка 312 база платени проекти</w:t>
      </w:r>
      <w:bookmarkEnd w:id="165"/>
      <w:r w:rsidRPr="00BC513A">
        <w:rPr>
          <w:rFonts w:ascii="Arial" w:eastAsia="Calibri" w:hAnsi="Arial" w:cs="Arial"/>
          <w:b/>
          <w:iCs/>
          <w:color w:val="0070C0"/>
          <w:sz w:val="20"/>
          <w:szCs w:val="20"/>
        </w:rPr>
        <w:t xml:space="preserve"> </w:t>
      </w:r>
    </w:p>
    <w:tbl>
      <w:tblPr>
        <w:tblStyle w:val="TableGrid"/>
        <w:tblW w:w="9067" w:type="dxa"/>
        <w:tblLayout w:type="fixed"/>
        <w:tblLook w:val="04A0" w:firstRow="1" w:lastRow="0" w:firstColumn="1" w:lastColumn="0" w:noHBand="0" w:noVBand="1"/>
      </w:tblPr>
      <w:tblGrid>
        <w:gridCol w:w="3369"/>
        <w:gridCol w:w="1417"/>
        <w:gridCol w:w="1843"/>
        <w:gridCol w:w="1559"/>
        <w:gridCol w:w="879"/>
      </w:tblGrid>
      <w:tr w:rsidR="00E8617E" w:rsidRPr="00BC513A" w14:paraId="3EAD626D" w14:textId="77777777" w:rsidTr="00535876">
        <w:trPr>
          <w:tblHeader/>
        </w:trPr>
        <w:tc>
          <w:tcPr>
            <w:tcW w:w="3369" w:type="dxa"/>
            <w:shd w:val="clear" w:color="auto" w:fill="1F4E79"/>
            <w:vAlign w:val="center"/>
          </w:tcPr>
          <w:p w14:paraId="483A653E"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1417" w:type="dxa"/>
            <w:shd w:val="clear" w:color="auto" w:fill="1F4E79"/>
            <w:vAlign w:val="center"/>
          </w:tcPr>
          <w:p w14:paraId="034ACBED"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Първоначална стойност</w:t>
            </w:r>
          </w:p>
        </w:tc>
        <w:tc>
          <w:tcPr>
            <w:tcW w:w="1843" w:type="dxa"/>
            <w:shd w:val="clear" w:color="auto" w:fill="1F4E79"/>
            <w:vAlign w:val="center"/>
          </w:tcPr>
          <w:p w14:paraId="677DF2C0"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 xml:space="preserve">Окончателна целева стойност </w:t>
            </w:r>
          </w:p>
        </w:tc>
        <w:tc>
          <w:tcPr>
            <w:tcW w:w="1559" w:type="dxa"/>
            <w:shd w:val="clear" w:color="auto" w:fill="1F4E79"/>
          </w:tcPr>
          <w:p w14:paraId="65D69DAC"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 xml:space="preserve">Постигната стойност </w:t>
            </w:r>
          </w:p>
        </w:tc>
        <w:tc>
          <w:tcPr>
            <w:tcW w:w="879" w:type="dxa"/>
            <w:shd w:val="clear" w:color="auto" w:fill="1F4E79"/>
            <w:vAlign w:val="center"/>
          </w:tcPr>
          <w:p w14:paraId="756BABDE"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w:t>
            </w:r>
          </w:p>
        </w:tc>
      </w:tr>
      <w:tr w:rsidR="00E8617E" w:rsidRPr="00BC513A" w14:paraId="219AA59A" w14:textId="77777777" w:rsidTr="00922731">
        <w:trPr>
          <w:trHeight w:val="128"/>
        </w:trPr>
        <w:tc>
          <w:tcPr>
            <w:tcW w:w="3369" w:type="dxa"/>
            <w:vAlign w:val="center"/>
          </w:tcPr>
          <w:p w14:paraId="1CA5D65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на получилите помощта</w:t>
            </w:r>
          </w:p>
        </w:tc>
        <w:tc>
          <w:tcPr>
            <w:tcW w:w="1417" w:type="dxa"/>
            <w:vAlign w:val="center"/>
          </w:tcPr>
          <w:p w14:paraId="211C091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4 200</w:t>
            </w:r>
          </w:p>
        </w:tc>
        <w:tc>
          <w:tcPr>
            <w:tcW w:w="1843" w:type="dxa"/>
            <w:vAlign w:val="center"/>
          </w:tcPr>
          <w:p w14:paraId="4B968B0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4 031</w:t>
            </w:r>
          </w:p>
        </w:tc>
        <w:tc>
          <w:tcPr>
            <w:tcW w:w="1559" w:type="dxa"/>
            <w:vAlign w:val="center"/>
          </w:tcPr>
          <w:p w14:paraId="695F8DA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747</w:t>
            </w:r>
          </w:p>
        </w:tc>
        <w:tc>
          <w:tcPr>
            <w:tcW w:w="879" w:type="dxa"/>
            <w:vAlign w:val="center"/>
          </w:tcPr>
          <w:p w14:paraId="11CA869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18,5%</w:t>
            </w:r>
          </w:p>
        </w:tc>
      </w:tr>
      <w:tr w:rsidR="00E8617E" w:rsidRPr="00BC513A" w14:paraId="17D14D00" w14:textId="77777777" w:rsidTr="00922731">
        <w:trPr>
          <w:trHeight w:val="128"/>
        </w:trPr>
        <w:tc>
          <w:tcPr>
            <w:tcW w:w="3369" w:type="dxa"/>
            <w:vAlign w:val="center"/>
          </w:tcPr>
          <w:p w14:paraId="44CFCEC0"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Новообразувани микропредприятия</w:t>
            </w:r>
          </w:p>
        </w:tc>
        <w:tc>
          <w:tcPr>
            <w:tcW w:w="1417" w:type="dxa"/>
            <w:vAlign w:val="center"/>
          </w:tcPr>
          <w:p w14:paraId="733B725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1 600</w:t>
            </w:r>
          </w:p>
        </w:tc>
        <w:tc>
          <w:tcPr>
            <w:tcW w:w="1843" w:type="dxa"/>
            <w:vAlign w:val="center"/>
          </w:tcPr>
          <w:p w14:paraId="4A9F591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1 540</w:t>
            </w:r>
          </w:p>
        </w:tc>
        <w:tc>
          <w:tcPr>
            <w:tcW w:w="1559" w:type="dxa"/>
            <w:vAlign w:val="center"/>
          </w:tcPr>
          <w:p w14:paraId="5E29923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449</w:t>
            </w:r>
          </w:p>
        </w:tc>
        <w:tc>
          <w:tcPr>
            <w:tcW w:w="879" w:type="dxa"/>
            <w:vAlign w:val="center"/>
          </w:tcPr>
          <w:p w14:paraId="7BDAE6B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29%</w:t>
            </w:r>
          </w:p>
        </w:tc>
      </w:tr>
      <w:tr w:rsidR="00E8617E" w:rsidRPr="00BC513A" w14:paraId="21E28882" w14:textId="77777777" w:rsidTr="00922731">
        <w:trPr>
          <w:trHeight w:val="128"/>
        </w:trPr>
        <w:tc>
          <w:tcPr>
            <w:tcW w:w="3369" w:type="dxa"/>
            <w:vAlign w:val="center"/>
          </w:tcPr>
          <w:p w14:paraId="5383C91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Други микропредприятния</w:t>
            </w:r>
          </w:p>
        </w:tc>
        <w:tc>
          <w:tcPr>
            <w:tcW w:w="1417" w:type="dxa"/>
            <w:vAlign w:val="center"/>
          </w:tcPr>
          <w:p w14:paraId="01C6A49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2 600</w:t>
            </w:r>
          </w:p>
        </w:tc>
        <w:tc>
          <w:tcPr>
            <w:tcW w:w="1843" w:type="dxa"/>
            <w:vAlign w:val="center"/>
          </w:tcPr>
          <w:p w14:paraId="3CA50CE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2 491</w:t>
            </w:r>
          </w:p>
        </w:tc>
        <w:tc>
          <w:tcPr>
            <w:tcW w:w="1559" w:type="dxa"/>
            <w:vAlign w:val="center"/>
          </w:tcPr>
          <w:p w14:paraId="22EC977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298</w:t>
            </w:r>
          </w:p>
        </w:tc>
        <w:tc>
          <w:tcPr>
            <w:tcW w:w="879" w:type="dxa"/>
            <w:vAlign w:val="center"/>
          </w:tcPr>
          <w:p w14:paraId="697AAA4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12%</w:t>
            </w:r>
          </w:p>
        </w:tc>
      </w:tr>
      <w:tr w:rsidR="00E8617E" w:rsidRPr="00BC513A" w14:paraId="3BC76593" w14:textId="77777777" w:rsidTr="00922731">
        <w:trPr>
          <w:trHeight w:val="127"/>
        </w:trPr>
        <w:tc>
          <w:tcPr>
            <w:tcW w:w="3369" w:type="dxa"/>
            <w:vAlign w:val="center"/>
          </w:tcPr>
          <w:p w14:paraId="0A9BB79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Общ обем на инвестициите (в млн. евро)</w:t>
            </w:r>
          </w:p>
        </w:tc>
        <w:tc>
          <w:tcPr>
            <w:tcW w:w="1417" w:type="dxa"/>
            <w:vAlign w:val="center"/>
          </w:tcPr>
          <w:p w14:paraId="12DF304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182</w:t>
            </w:r>
          </w:p>
        </w:tc>
        <w:tc>
          <w:tcPr>
            <w:tcW w:w="1843" w:type="dxa"/>
            <w:vAlign w:val="center"/>
          </w:tcPr>
          <w:p w14:paraId="174C5A3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185,534</w:t>
            </w:r>
          </w:p>
        </w:tc>
        <w:tc>
          <w:tcPr>
            <w:tcW w:w="1559" w:type="dxa"/>
            <w:vAlign w:val="center"/>
          </w:tcPr>
          <w:p w14:paraId="672D562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166,7</w:t>
            </w:r>
          </w:p>
        </w:tc>
        <w:tc>
          <w:tcPr>
            <w:tcW w:w="879" w:type="dxa"/>
            <w:vAlign w:val="center"/>
          </w:tcPr>
          <w:p w14:paraId="514E16A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90%</w:t>
            </w:r>
          </w:p>
        </w:tc>
      </w:tr>
      <w:tr w:rsidR="00E8617E" w:rsidRPr="00BC513A" w14:paraId="1F2439DA" w14:textId="77777777" w:rsidTr="00922731">
        <w:trPr>
          <w:trHeight w:val="128"/>
        </w:trPr>
        <w:tc>
          <w:tcPr>
            <w:tcW w:w="3369" w:type="dxa"/>
            <w:vAlign w:val="center"/>
          </w:tcPr>
          <w:p w14:paraId="6B9083A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Увеличена обща добавена стойност от неземеделски бизнеси, подпомогнати по мярката</w:t>
            </w:r>
          </w:p>
        </w:tc>
        <w:tc>
          <w:tcPr>
            <w:tcW w:w="1417" w:type="dxa"/>
            <w:vAlign w:val="center"/>
          </w:tcPr>
          <w:p w14:paraId="22169F6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20</w:t>
            </w:r>
          </w:p>
        </w:tc>
        <w:tc>
          <w:tcPr>
            <w:tcW w:w="1843" w:type="dxa"/>
            <w:vAlign w:val="center"/>
          </w:tcPr>
          <w:p w14:paraId="58EE7CF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20</w:t>
            </w:r>
          </w:p>
        </w:tc>
        <w:tc>
          <w:tcPr>
            <w:tcW w:w="1559" w:type="dxa"/>
            <w:shd w:val="clear" w:color="auto" w:fill="auto"/>
            <w:vAlign w:val="center"/>
          </w:tcPr>
          <w:p w14:paraId="503C4F2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67</w:t>
            </w:r>
          </w:p>
        </w:tc>
        <w:tc>
          <w:tcPr>
            <w:tcW w:w="879" w:type="dxa"/>
            <w:vAlign w:val="center"/>
          </w:tcPr>
          <w:p w14:paraId="34B5024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335%</w:t>
            </w:r>
          </w:p>
        </w:tc>
      </w:tr>
      <w:tr w:rsidR="00E8617E" w:rsidRPr="00BC513A" w14:paraId="758F35CF" w14:textId="77777777" w:rsidTr="00922731">
        <w:trPr>
          <w:trHeight w:val="127"/>
        </w:trPr>
        <w:tc>
          <w:tcPr>
            <w:tcW w:w="3369" w:type="dxa"/>
            <w:vAlign w:val="center"/>
          </w:tcPr>
          <w:p w14:paraId="4BCC298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Общ брой на създадените работни места</w:t>
            </w:r>
          </w:p>
        </w:tc>
        <w:tc>
          <w:tcPr>
            <w:tcW w:w="1417" w:type="dxa"/>
            <w:vAlign w:val="center"/>
          </w:tcPr>
          <w:p w14:paraId="7262D96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6 000</w:t>
            </w:r>
          </w:p>
        </w:tc>
        <w:tc>
          <w:tcPr>
            <w:tcW w:w="1843" w:type="dxa"/>
            <w:vAlign w:val="center"/>
          </w:tcPr>
          <w:p w14:paraId="553AC2F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5 738</w:t>
            </w:r>
          </w:p>
        </w:tc>
        <w:tc>
          <w:tcPr>
            <w:tcW w:w="1559" w:type="dxa"/>
            <w:tcBorders>
              <w:bottom w:val="single" w:sz="4" w:space="0" w:color="auto"/>
            </w:tcBorders>
            <w:vAlign w:val="center"/>
          </w:tcPr>
          <w:p w14:paraId="4A57793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2247</w:t>
            </w:r>
          </w:p>
        </w:tc>
        <w:tc>
          <w:tcPr>
            <w:tcW w:w="879" w:type="dxa"/>
            <w:tcBorders>
              <w:bottom w:val="single" w:sz="4" w:space="0" w:color="auto"/>
            </w:tcBorders>
            <w:vAlign w:val="center"/>
          </w:tcPr>
          <w:p w14:paraId="18D319B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39%</w:t>
            </w:r>
          </w:p>
        </w:tc>
      </w:tr>
      <w:tr w:rsidR="00E8617E" w:rsidRPr="00BC513A" w14:paraId="20250464" w14:textId="77777777" w:rsidTr="00922731">
        <w:trPr>
          <w:trHeight w:val="709"/>
        </w:trPr>
        <w:tc>
          <w:tcPr>
            <w:tcW w:w="3369" w:type="dxa"/>
            <w:vAlign w:val="center"/>
          </w:tcPr>
          <w:p w14:paraId="1210315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Икономически растеж (НΔДС в МСПС)</w:t>
            </w:r>
          </w:p>
        </w:tc>
        <w:tc>
          <w:tcPr>
            <w:tcW w:w="1417" w:type="dxa"/>
            <w:vAlign w:val="center"/>
          </w:tcPr>
          <w:p w14:paraId="1241F39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w:t>
            </w:r>
          </w:p>
        </w:tc>
        <w:tc>
          <w:tcPr>
            <w:tcW w:w="1843" w:type="dxa"/>
            <w:vAlign w:val="center"/>
          </w:tcPr>
          <w:p w14:paraId="072A633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w:t>
            </w:r>
          </w:p>
        </w:tc>
        <w:tc>
          <w:tcPr>
            <w:tcW w:w="1559" w:type="dxa"/>
            <w:shd w:val="clear" w:color="auto" w:fill="auto"/>
            <w:vAlign w:val="center"/>
          </w:tcPr>
          <w:p w14:paraId="002CDE6C" w14:textId="77777777" w:rsidR="00E8617E" w:rsidRPr="00BC513A" w:rsidRDefault="00E8617E" w:rsidP="00922731">
            <w:pPr>
              <w:jc w:val="center"/>
              <w:rPr>
                <w:rFonts w:ascii="Arial" w:hAnsi="Arial" w:cs="Arial"/>
                <w:sz w:val="20"/>
                <w:szCs w:val="20"/>
                <w:highlight w:val="yellow"/>
              </w:rPr>
            </w:pPr>
            <w:r w:rsidRPr="00BC513A">
              <w:rPr>
                <w:rFonts w:ascii="Arial" w:hAnsi="Arial" w:cs="Arial"/>
                <w:sz w:val="20"/>
                <w:szCs w:val="20"/>
              </w:rPr>
              <w:t>-</w:t>
            </w:r>
          </w:p>
        </w:tc>
        <w:tc>
          <w:tcPr>
            <w:tcW w:w="879" w:type="dxa"/>
            <w:vAlign w:val="center"/>
          </w:tcPr>
          <w:p w14:paraId="545D738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w:t>
            </w:r>
          </w:p>
        </w:tc>
      </w:tr>
      <w:tr w:rsidR="00E8617E" w:rsidRPr="00BC513A" w14:paraId="762A9322" w14:textId="77777777" w:rsidTr="00922731">
        <w:trPr>
          <w:trHeight w:val="832"/>
        </w:trPr>
        <w:tc>
          <w:tcPr>
            <w:tcW w:w="3369" w:type="dxa"/>
            <w:vAlign w:val="center"/>
          </w:tcPr>
          <w:p w14:paraId="4726411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Създаване на заетост (нетно създадени допълнителни работни места на пълен работен ден)</w:t>
            </w:r>
          </w:p>
        </w:tc>
        <w:tc>
          <w:tcPr>
            <w:tcW w:w="1417" w:type="dxa"/>
            <w:vAlign w:val="center"/>
          </w:tcPr>
          <w:p w14:paraId="219C54F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5 500</w:t>
            </w:r>
          </w:p>
        </w:tc>
        <w:tc>
          <w:tcPr>
            <w:tcW w:w="1843" w:type="dxa"/>
            <w:vAlign w:val="center"/>
          </w:tcPr>
          <w:p w14:paraId="05737AD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259</w:t>
            </w:r>
          </w:p>
        </w:tc>
        <w:tc>
          <w:tcPr>
            <w:tcW w:w="1559" w:type="dxa"/>
            <w:shd w:val="clear" w:color="auto" w:fill="auto"/>
            <w:vAlign w:val="center"/>
          </w:tcPr>
          <w:p w14:paraId="3A3D5DE8" w14:textId="77777777" w:rsidR="00E8617E" w:rsidRPr="00BC513A" w:rsidRDefault="00E8617E" w:rsidP="00922731">
            <w:pPr>
              <w:jc w:val="center"/>
              <w:rPr>
                <w:rFonts w:ascii="Arial" w:hAnsi="Arial" w:cs="Arial"/>
                <w:sz w:val="20"/>
                <w:szCs w:val="20"/>
                <w:highlight w:val="yellow"/>
              </w:rPr>
            </w:pPr>
            <w:r w:rsidRPr="00BC513A">
              <w:rPr>
                <w:rFonts w:ascii="Arial" w:hAnsi="Arial" w:cs="Arial"/>
                <w:sz w:val="20"/>
                <w:szCs w:val="20"/>
              </w:rPr>
              <w:t>-</w:t>
            </w:r>
          </w:p>
        </w:tc>
        <w:tc>
          <w:tcPr>
            <w:tcW w:w="879" w:type="dxa"/>
            <w:vAlign w:val="center"/>
          </w:tcPr>
          <w:p w14:paraId="5F485D2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w:t>
            </w:r>
          </w:p>
        </w:tc>
      </w:tr>
    </w:tbl>
    <w:p w14:paraId="5A5B63C1" w14:textId="77777777" w:rsidR="00E8617E" w:rsidRPr="00BC513A" w:rsidRDefault="00E8617E" w:rsidP="00E8617E">
      <w:pPr>
        <w:pStyle w:val="DefaultText"/>
        <w:spacing w:after="120"/>
        <w:rPr>
          <w:rFonts w:cs="Arial"/>
          <w:sz w:val="20"/>
          <w:szCs w:val="20"/>
          <w:lang w:val="bg-BG"/>
        </w:rPr>
      </w:pPr>
      <w:r w:rsidRPr="00BC513A">
        <w:rPr>
          <w:rFonts w:cs="Arial"/>
          <w:sz w:val="20"/>
          <w:szCs w:val="20"/>
          <w:lang w:val="bg-BG"/>
        </w:rPr>
        <w:t>Източник: Годишен доклад за напредъка на ПРСР 2007-2013г. за</w:t>
      </w:r>
      <w:r w:rsidR="00F07F15">
        <w:rPr>
          <w:rFonts w:cs="Arial"/>
          <w:sz w:val="20"/>
          <w:szCs w:val="20"/>
          <w:lang w:val="bg-BG"/>
        </w:rPr>
        <w:t xml:space="preserve"> </w:t>
      </w:r>
      <w:r w:rsidRPr="00F07F15">
        <w:rPr>
          <w:rFonts w:cs="Arial"/>
          <w:szCs w:val="18"/>
          <w:lang w:val="bg-BG"/>
        </w:rPr>
        <w:t>2015г.</w:t>
      </w:r>
    </w:p>
    <w:p w14:paraId="7F0ECC3C"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Анализът на напредъка за постигане на целите показва, че поставената цел за брой получатели на помощта се постига на 18%, като от нея са се възползвали повече новообразувани микропредприятия спрямо други микропредприятия. Резултатите по отношение на индикатора за инвестиции, реализирани по мярката, показват, че целта е почти достигната – изпълнен</w:t>
      </w:r>
      <w:r w:rsidR="00C5519D">
        <w:rPr>
          <w:sz w:val="22"/>
          <w:szCs w:val="22"/>
          <w:lang w:val="bg-BG"/>
        </w:rPr>
        <w:t>и</w:t>
      </w:r>
      <w:r w:rsidRPr="00BC513A">
        <w:rPr>
          <w:sz w:val="22"/>
          <w:szCs w:val="22"/>
          <w:lang w:val="bg-BG"/>
        </w:rPr>
        <w:t xml:space="preserve">е от 90%. Тук отново се вижда диспропорцията между двата допълнителни индикатора. Това ясно показва, че предварително заложеният среден размер на инвестициите за един проект в туризма е значително занижен спрямо реално предявените инвестиции. </w:t>
      </w:r>
    </w:p>
    <w:p w14:paraId="75BE13ED"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Общият брой на създадените места е 2</w:t>
      </w:r>
      <w:r w:rsidR="00B71FA2">
        <w:rPr>
          <w:sz w:val="22"/>
          <w:szCs w:val="22"/>
          <w:lang w:val="bg-BG"/>
        </w:rPr>
        <w:t> </w:t>
      </w:r>
      <w:r w:rsidRPr="00BC513A">
        <w:rPr>
          <w:sz w:val="22"/>
          <w:szCs w:val="22"/>
          <w:lang w:val="bg-BG"/>
        </w:rPr>
        <w:t>247, което представлява 39% от заложената цел. Резултатът е следствие главно на факта, че секторите, в които са реализирани най-голям брой проекти</w:t>
      </w:r>
      <w:r w:rsidR="00B71FA2">
        <w:rPr>
          <w:sz w:val="22"/>
          <w:szCs w:val="22"/>
          <w:lang w:val="bg-BG"/>
        </w:rPr>
        <w:t>,</w:t>
      </w:r>
      <w:r w:rsidRPr="00BC513A">
        <w:rPr>
          <w:sz w:val="22"/>
          <w:szCs w:val="22"/>
          <w:lang w:val="bg-BG"/>
        </w:rPr>
        <w:t xml:space="preserve"> не предполагат създаване на работни места. В сектор туризъм голям брой от проектите са за създаване на къщи за гости, които са семеен бизнес и не се очаква да се създават нови работни места. В останалите проекти</w:t>
      </w:r>
      <w:r w:rsidR="00B71FA2">
        <w:rPr>
          <w:sz w:val="22"/>
          <w:szCs w:val="22"/>
          <w:lang w:val="bg-BG"/>
        </w:rPr>
        <w:t>,</w:t>
      </w:r>
      <w:r w:rsidRPr="00BC513A">
        <w:rPr>
          <w:sz w:val="22"/>
          <w:szCs w:val="22"/>
          <w:lang w:val="bg-BG"/>
        </w:rPr>
        <w:t xml:space="preserve"> свързани с туризъм</w:t>
      </w:r>
      <w:r w:rsidR="00B71FA2">
        <w:rPr>
          <w:sz w:val="22"/>
          <w:szCs w:val="22"/>
          <w:lang w:val="bg-BG"/>
        </w:rPr>
        <w:t>,</w:t>
      </w:r>
      <w:r w:rsidRPr="00BC513A">
        <w:rPr>
          <w:sz w:val="22"/>
          <w:szCs w:val="22"/>
          <w:lang w:val="bg-BG"/>
        </w:rPr>
        <w:t xml:space="preserve"> често има разминаване между очаквания брой туристи и реалния поради различни причини, което намалява и създаването на работни места. Същевременно и проектите във ВЕИ сектора не са свързани със създаването на нови работни места, което също допринася за реализацията на едва 39% от поставената цел на индикатора.</w:t>
      </w:r>
    </w:p>
    <w:p w14:paraId="180F6E4D"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В ПРСР има заложен индикатор за резултат „Увеличаване на неземеделската брутна добавена стойност в подпомогнатите (микро-) предприятия в млн. евро“ с целева стойност 20 млн. евро. Индикаторът се запазва и в 16-тата последна версия на програмата. В предоставените данни от ДФЗ сумата от брутната добавена стойност при прилагането на мярката възлиза на 67 490 528 млн. евро </w:t>
      </w:r>
    </w:p>
    <w:p w14:paraId="2307358C"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Относно индикаторите за въздействие „Икономически растеж“ и „Създаване на заетост (нетно създадени допълнителни работни места на пълен работен ден)“ не е предоставена информация относно измерена стойност след изпълнението на </w:t>
      </w:r>
      <w:r w:rsidR="000F57E9">
        <w:rPr>
          <w:sz w:val="22"/>
          <w:szCs w:val="22"/>
          <w:lang w:val="bg-BG"/>
        </w:rPr>
        <w:t>п</w:t>
      </w:r>
      <w:r w:rsidRPr="00BC513A">
        <w:rPr>
          <w:sz w:val="22"/>
          <w:szCs w:val="22"/>
          <w:lang w:val="bg-BG"/>
        </w:rPr>
        <w:t>рограмата, въз основа на събирани данни за ИСАК базираните мерки от ДФЗ-РА.</w:t>
      </w:r>
    </w:p>
    <w:p w14:paraId="669E10D3"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Най-голям брой проекти са реализирани в сектор туризъм – 448 проекта или 61% от реализираните проекти, следван от сектор ВЕИ с 218 проекта или 29%. По-големият брой проекти в сектор туризъм спрямо останалите проекти се дължи на интереса на предприятията в селските райони да развиват този бизнес.</w:t>
      </w:r>
    </w:p>
    <w:p w14:paraId="58F86E1B" w14:textId="77777777" w:rsidR="00E8617E" w:rsidRPr="00BC513A" w:rsidRDefault="00E8617E" w:rsidP="00E8617E">
      <w:pPr>
        <w:keepNext/>
        <w:spacing w:before="240" w:after="0" w:line="240" w:lineRule="auto"/>
        <w:rPr>
          <w:rFonts w:ascii="Arial" w:eastAsia="Calibri" w:hAnsi="Arial" w:cs="Arial"/>
          <w:b/>
          <w:iCs/>
          <w:color w:val="0070C0"/>
          <w:sz w:val="20"/>
          <w:szCs w:val="20"/>
        </w:rPr>
      </w:pPr>
      <w:bookmarkStart w:id="166" w:name="_Toc504136240"/>
      <w:bookmarkStart w:id="167" w:name="_Toc391899966"/>
      <w:r w:rsidRPr="00BC513A">
        <w:rPr>
          <w:rFonts w:ascii="Arial" w:eastAsia="Calibri" w:hAnsi="Arial" w:cs="Arial"/>
          <w:b/>
          <w:iCs/>
          <w:color w:val="0070C0"/>
          <w:sz w:val="20"/>
          <w:szCs w:val="20"/>
        </w:rPr>
        <w:t xml:space="preserve">Таблица </w:t>
      </w:r>
      <w:r w:rsidRPr="00BC513A">
        <w:rPr>
          <w:rFonts w:ascii="Arial" w:eastAsia="Calibri" w:hAnsi="Arial" w:cs="Arial"/>
          <w:b/>
          <w:iCs/>
          <w:color w:val="0070C0"/>
          <w:sz w:val="20"/>
          <w:szCs w:val="20"/>
        </w:rPr>
        <w:fldChar w:fldCharType="begin"/>
      </w:r>
      <w:r w:rsidRPr="00BC513A">
        <w:rPr>
          <w:rFonts w:ascii="Arial" w:eastAsia="Calibri" w:hAnsi="Arial" w:cs="Arial"/>
          <w:b/>
          <w:iCs/>
          <w:color w:val="0070C0"/>
          <w:sz w:val="20"/>
          <w:szCs w:val="20"/>
        </w:rPr>
        <w:instrText xml:space="preserve"> SEQ Таблица \* ARABIC </w:instrText>
      </w:r>
      <w:r w:rsidRPr="00BC513A">
        <w:rPr>
          <w:rFonts w:ascii="Arial" w:eastAsia="Calibri" w:hAnsi="Arial" w:cs="Arial"/>
          <w:b/>
          <w:iCs/>
          <w:color w:val="0070C0"/>
          <w:sz w:val="20"/>
          <w:szCs w:val="20"/>
        </w:rPr>
        <w:fldChar w:fldCharType="separate"/>
      </w:r>
      <w:r w:rsidR="0023010D">
        <w:rPr>
          <w:rFonts w:ascii="Arial" w:eastAsia="Calibri" w:hAnsi="Arial" w:cs="Arial"/>
          <w:b/>
          <w:iCs/>
          <w:noProof/>
          <w:color w:val="0070C0"/>
          <w:sz w:val="20"/>
          <w:szCs w:val="20"/>
        </w:rPr>
        <w:t>68</w:t>
      </w:r>
      <w:r w:rsidRPr="00BC513A">
        <w:rPr>
          <w:rFonts w:ascii="Arial" w:eastAsia="Calibri" w:hAnsi="Arial" w:cs="Arial"/>
          <w:b/>
          <w:iCs/>
          <w:color w:val="0070C0"/>
          <w:sz w:val="20"/>
          <w:szCs w:val="20"/>
        </w:rPr>
        <w:fldChar w:fldCharType="end"/>
      </w:r>
      <w:r w:rsidRPr="00BC513A">
        <w:rPr>
          <w:rFonts w:ascii="Arial" w:eastAsia="Calibri" w:hAnsi="Arial" w:cs="Arial"/>
          <w:b/>
          <w:iCs/>
          <w:color w:val="0070C0"/>
          <w:sz w:val="20"/>
          <w:szCs w:val="20"/>
        </w:rPr>
        <w:t>. Насоченост на проектите с окончателно плащане по мярка 312</w:t>
      </w:r>
      <w:bookmarkEnd w:id="166"/>
      <w:r w:rsidRPr="00BC513A">
        <w:rPr>
          <w:rFonts w:ascii="Arial" w:eastAsia="Calibri" w:hAnsi="Arial" w:cs="Arial"/>
          <w:b/>
          <w:iCs/>
          <w:color w:val="0070C0"/>
          <w:sz w:val="20"/>
          <w:szCs w:val="20"/>
        </w:rPr>
        <w:t xml:space="preserve"> </w:t>
      </w:r>
      <w:bookmarkEnd w:id="167"/>
    </w:p>
    <w:tbl>
      <w:tblPr>
        <w:tblW w:w="4953" w:type="pct"/>
        <w:jc w:val="center"/>
        <w:tblBorders>
          <w:top w:val="single" w:sz="4" w:space="0" w:color="auto"/>
          <w:left w:val="single" w:sz="4" w:space="0" w:color="auto"/>
          <w:bottom w:val="single" w:sz="4" w:space="0" w:color="auto"/>
          <w:right w:val="single" w:sz="4" w:space="0" w:color="auto"/>
          <w:insideH w:val="single" w:sz="6" w:space="0" w:color="595959"/>
          <w:insideV w:val="single" w:sz="6" w:space="0" w:color="595959"/>
        </w:tblBorders>
        <w:tblLook w:val="04A0" w:firstRow="1" w:lastRow="0" w:firstColumn="1" w:lastColumn="0" w:noHBand="0" w:noVBand="1"/>
      </w:tblPr>
      <w:tblGrid>
        <w:gridCol w:w="3615"/>
        <w:gridCol w:w="1818"/>
        <w:gridCol w:w="887"/>
        <w:gridCol w:w="1947"/>
        <w:gridCol w:w="933"/>
      </w:tblGrid>
      <w:tr w:rsidR="00E8617E" w:rsidRPr="00BC513A" w14:paraId="031F4A17" w14:textId="77777777" w:rsidTr="00535876">
        <w:trPr>
          <w:trHeight w:val="765"/>
          <w:tblHeader/>
          <w:jc w:val="center"/>
        </w:trPr>
        <w:tc>
          <w:tcPr>
            <w:tcW w:w="1965" w:type="pct"/>
            <w:shd w:val="clear" w:color="auto" w:fill="1F4E79"/>
            <w:vAlign w:val="center"/>
            <w:hideMark/>
          </w:tcPr>
          <w:p w14:paraId="4DA4DA86" w14:textId="77777777" w:rsidR="00E8617E" w:rsidRPr="00BC513A" w:rsidRDefault="00E8617E" w:rsidP="00922731">
            <w:pPr>
              <w:spacing w:after="0"/>
              <w:jc w:val="center"/>
              <w:rPr>
                <w:rFonts w:ascii="Arial" w:eastAsia="Times New Roman" w:hAnsi="Arial" w:cs="Arial"/>
                <w:b/>
                <w:color w:val="FFFFFF" w:themeColor="background1"/>
                <w:sz w:val="20"/>
                <w:szCs w:val="20"/>
                <w:lang w:eastAsia="bg-BG"/>
              </w:rPr>
            </w:pPr>
            <w:r w:rsidRPr="00BC513A">
              <w:rPr>
                <w:rFonts w:ascii="Arial" w:eastAsia="Times New Roman" w:hAnsi="Arial" w:cs="Arial"/>
                <w:b/>
                <w:color w:val="FFFFFF" w:themeColor="background1"/>
                <w:sz w:val="20"/>
                <w:szCs w:val="20"/>
                <w:lang w:eastAsia="bg-BG"/>
              </w:rPr>
              <w:t>Насоченост на  проектите с окончателно плащане</w:t>
            </w:r>
          </w:p>
        </w:tc>
        <w:tc>
          <w:tcPr>
            <w:tcW w:w="988" w:type="pct"/>
            <w:shd w:val="clear" w:color="auto" w:fill="1F4E79"/>
            <w:noWrap/>
            <w:vAlign w:val="center"/>
            <w:hideMark/>
          </w:tcPr>
          <w:p w14:paraId="486022EB" w14:textId="77777777" w:rsidR="00E8617E" w:rsidRPr="00BC513A" w:rsidRDefault="00E8617E" w:rsidP="00922731">
            <w:pPr>
              <w:spacing w:after="0"/>
              <w:jc w:val="center"/>
              <w:rPr>
                <w:rFonts w:ascii="Arial" w:eastAsia="Times New Roman" w:hAnsi="Arial" w:cs="Arial"/>
                <w:b/>
                <w:color w:val="FFFFFF" w:themeColor="background1"/>
                <w:sz w:val="20"/>
                <w:szCs w:val="20"/>
                <w:lang w:eastAsia="bg-BG"/>
              </w:rPr>
            </w:pPr>
            <w:r w:rsidRPr="00BC513A">
              <w:rPr>
                <w:rFonts w:ascii="Arial" w:eastAsia="Times New Roman" w:hAnsi="Arial" w:cs="Arial"/>
                <w:b/>
                <w:color w:val="FFFFFF" w:themeColor="background1"/>
                <w:sz w:val="20"/>
                <w:szCs w:val="20"/>
                <w:lang w:eastAsia="bg-BG"/>
              </w:rPr>
              <w:t>Брой проекти</w:t>
            </w:r>
          </w:p>
        </w:tc>
        <w:tc>
          <w:tcPr>
            <w:tcW w:w="482" w:type="pct"/>
            <w:shd w:val="clear" w:color="auto" w:fill="1F4E79"/>
            <w:noWrap/>
            <w:vAlign w:val="center"/>
            <w:hideMark/>
          </w:tcPr>
          <w:p w14:paraId="2B285BDA" w14:textId="77777777" w:rsidR="00E8617E" w:rsidRPr="00BC513A" w:rsidRDefault="00E8617E" w:rsidP="00922731">
            <w:pPr>
              <w:spacing w:after="0"/>
              <w:jc w:val="center"/>
              <w:rPr>
                <w:rFonts w:ascii="Arial" w:eastAsia="Times New Roman" w:hAnsi="Arial" w:cs="Arial"/>
                <w:b/>
                <w:color w:val="FFFFFF" w:themeColor="background1"/>
                <w:sz w:val="20"/>
                <w:szCs w:val="20"/>
                <w:lang w:eastAsia="bg-BG"/>
              </w:rPr>
            </w:pPr>
            <w:r w:rsidRPr="00BC513A">
              <w:rPr>
                <w:rFonts w:ascii="Arial" w:eastAsia="Times New Roman" w:hAnsi="Arial" w:cs="Arial"/>
                <w:b/>
                <w:color w:val="FFFFFF" w:themeColor="background1"/>
                <w:sz w:val="20"/>
                <w:szCs w:val="20"/>
                <w:lang w:eastAsia="bg-BG"/>
              </w:rPr>
              <w:t>%</w:t>
            </w:r>
          </w:p>
        </w:tc>
        <w:tc>
          <w:tcPr>
            <w:tcW w:w="1058" w:type="pct"/>
            <w:shd w:val="clear" w:color="auto" w:fill="1F4E79"/>
            <w:vAlign w:val="center"/>
            <w:hideMark/>
          </w:tcPr>
          <w:p w14:paraId="465882CD" w14:textId="77777777" w:rsidR="00E8617E" w:rsidRPr="00BC513A" w:rsidRDefault="00E8617E" w:rsidP="00922731">
            <w:pPr>
              <w:spacing w:after="0"/>
              <w:jc w:val="center"/>
              <w:rPr>
                <w:rFonts w:ascii="Arial" w:eastAsia="Times New Roman" w:hAnsi="Arial" w:cs="Arial"/>
                <w:b/>
                <w:color w:val="FFFFFF" w:themeColor="background1"/>
                <w:sz w:val="20"/>
                <w:szCs w:val="20"/>
                <w:lang w:eastAsia="bg-BG"/>
              </w:rPr>
            </w:pPr>
            <w:r w:rsidRPr="00BC513A">
              <w:rPr>
                <w:rFonts w:ascii="Arial" w:eastAsia="Times New Roman" w:hAnsi="Arial" w:cs="Arial"/>
                <w:b/>
                <w:color w:val="FFFFFF" w:themeColor="background1"/>
                <w:sz w:val="20"/>
                <w:szCs w:val="20"/>
                <w:lang w:eastAsia="bg-BG"/>
              </w:rPr>
              <w:t>Обща стойност на инвестициите (млн. евро)</w:t>
            </w:r>
          </w:p>
        </w:tc>
        <w:tc>
          <w:tcPr>
            <w:tcW w:w="507" w:type="pct"/>
            <w:shd w:val="clear" w:color="auto" w:fill="1F4E79"/>
            <w:noWrap/>
            <w:vAlign w:val="center"/>
            <w:hideMark/>
          </w:tcPr>
          <w:p w14:paraId="4C9ECCB0" w14:textId="77777777" w:rsidR="00E8617E" w:rsidRPr="00BC513A" w:rsidRDefault="00E8617E" w:rsidP="00922731">
            <w:pPr>
              <w:spacing w:after="0"/>
              <w:jc w:val="center"/>
              <w:rPr>
                <w:rFonts w:ascii="Arial" w:eastAsia="Times New Roman" w:hAnsi="Arial" w:cs="Arial"/>
                <w:b/>
                <w:color w:val="FFFFFF" w:themeColor="background1"/>
                <w:sz w:val="20"/>
                <w:szCs w:val="20"/>
                <w:lang w:eastAsia="bg-BG"/>
              </w:rPr>
            </w:pPr>
            <w:r w:rsidRPr="00BC513A">
              <w:rPr>
                <w:rFonts w:ascii="Arial" w:eastAsia="Times New Roman" w:hAnsi="Arial" w:cs="Arial"/>
                <w:b/>
                <w:color w:val="FFFFFF" w:themeColor="background1"/>
                <w:sz w:val="20"/>
                <w:szCs w:val="20"/>
                <w:lang w:eastAsia="bg-BG"/>
              </w:rPr>
              <w:t>%</w:t>
            </w:r>
          </w:p>
        </w:tc>
      </w:tr>
      <w:tr w:rsidR="00E8617E" w:rsidRPr="00BC513A" w14:paraId="07D62ED6" w14:textId="77777777" w:rsidTr="00EF0C92">
        <w:trPr>
          <w:trHeight w:val="300"/>
          <w:jc w:val="center"/>
        </w:trPr>
        <w:tc>
          <w:tcPr>
            <w:tcW w:w="1965" w:type="pct"/>
            <w:vAlign w:val="center"/>
            <w:hideMark/>
          </w:tcPr>
          <w:p w14:paraId="626A1923"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туризъм</w:t>
            </w:r>
          </w:p>
        </w:tc>
        <w:tc>
          <w:tcPr>
            <w:tcW w:w="988" w:type="pct"/>
            <w:shd w:val="clear" w:color="auto" w:fill="FFFFFF"/>
            <w:noWrap/>
            <w:vAlign w:val="center"/>
            <w:hideMark/>
          </w:tcPr>
          <w:p w14:paraId="1B534A2E"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448</w:t>
            </w:r>
          </w:p>
        </w:tc>
        <w:tc>
          <w:tcPr>
            <w:tcW w:w="482" w:type="pct"/>
            <w:shd w:val="clear" w:color="auto" w:fill="FFFFFF"/>
            <w:noWrap/>
            <w:vAlign w:val="center"/>
            <w:hideMark/>
          </w:tcPr>
          <w:p w14:paraId="655197DB"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61%</w:t>
            </w:r>
          </w:p>
        </w:tc>
        <w:tc>
          <w:tcPr>
            <w:tcW w:w="1058" w:type="pct"/>
            <w:shd w:val="clear" w:color="auto" w:fill="FFFFFF"/>
            <w:noWrap/>
            <w:vAlign w:val="center"/>
            <w:hideMark/>
          </w:tcPr>
          <w:p w14:paraId="063BA1E6"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96.3</w:t>
            </w:r>
          </w:p>
        </w:tc>
        <w:tc>
          <w:tcPr>
            <w:tcW w:w="507" w:type="pct"/>
            <w:shd w:val="clear" w:color="auto" w:fill="FFFFFF"/>
            <w:noWrap/>
            <w:vAlign w:val="center"/>
            <w:hideMark/>
          </w:tcPr>
          <w:p w14:paraId="38BEB944"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58%</w:t>
            </w:r>
          </w:p>
        </w:tc>
      </w:tr>
      <w:tr w:rsidR="00E8617E" w:rsidRPr="00BC513A" w14:paraId="1383CA61" w14:textId="77777777" w:rsidTr="00EF0C92">
        <w:trPr>
          <w:trHeight w:val="300"/>
          <w:jc w:val="center"/>
        </w:trPr>
        <w:tc>
          <w:tcPr>
            <w:tcW w:w="1965" w:type="pct"/>
            <w:vAlign w:val="center"/>
            <w:hideMark/>
          </w:tcPr>
          <w:p w14:paraId="3ECF8602"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занаятчийство</w:t>
            </w:r>
          </w:p>
        </w:tc>
        <w:tc>
          <w:tcPr>
            <w:tcW w:w="988" w:type="pct"/>
            <w:shd w:val="clear" w:color="auto" w:fill="FFFFFF"/>
            <w:noWrap/>
            <w:vAlign w:val="center"/>
            <w:hideMark/>
          </w:tcPr>
          <w:p w14:paraId="3A54D265"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7</w:t>
            </w:r>
          </w:p>
        </w:tc>
        <w:tc>
          <w:tcPr>
            <w:tcW w:w="482" w:type="pct"/>
            <w:shd w:val="clear" w:color="auto" w:fill="FFFFFF"/>
            <w:noWrap/>
            <w:vAlign w:val="center"/>
            <w:hideMark/>
          </w:tcPr>
          <w:p w14:paraId="63183419"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1%</w:t>
            </w:r>
          </w:p>
        </w:tc>
        <w:tc>
          <w:tcPr>
            <w:tcW w:w="1058" w:type="pct"/>
            <w:shd w:val="clear" w:color="auto" w:fill="FFFFFF"/>
            <w:noWrap/>
            <w:vAlign w:val="center"/>
            <w:hideMark/>
          </w:tcPr>
          <w:p w14:paraId="329380E5"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1.4</w:t>
            </w:r>
          </w:p>
        </w:tc>
        <w:tc>
          <w:tcPr>
            <w:tcW w:w="507" w:type="pct"/>
            <w:shd w:val="clear" w:color="auto" w:fill="FFFFFF"/>
            <w:noWrap/>
            <w:vAlign w:val="center"/>
            <w:hideMark/>
          </w:tcPr>
          <w:p w14:paraId="5FC4948D"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1%</w:t>
            </w:r>
          </w:p>
        </w:tc>
      </w:tr>
      <w:tr w:rsidR="00E8617E" w:rsidRPr="00BC513A" w14:paraId="3B7B0822" w14:textId="77777777" w:rsidTr="00EF0C92">
        <w:trPr>
          <w:trHeight w:val="300"/>
          <w:jc w:val="center"/>
        </w:trPr>
        <w:tc>
          <w:tcPr>
            <w:tcW w:w="1965" w:type="pct"/>
            <w:vAlign w:val="center"/>
            <w:hideMark/>
          </w:tcPr>
          <w:p w14:paraId="41F7A6F5"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търговия на дребно</w:t>
            </w:r>
          </w:p>
        </w:tc>
        <w:tc>
          <w:tcPr>
            <w:tcW w:w="988" w:type="pct"/>
            <w:shd w:val="clear" w:color="auto" w:fill="FFFFFF"/>
            <w:noWrap/>
            <w:vAlign w:val="center"/>
            <w:hideMark/>
          </w:tcPr>
          <w:p w14:paraId="54CCD5ED"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42</w:t>
            </w:r>
          </w:p>
        </w:tc>
        <w:tc>
          <w:tcPr>
            <w:tcW w:w="482" w:type="pct"/>
            <w:shd w:val="clear" w:color="auto" w:fill="FFFFFF"/>
            <w:noWrap/>
            <w:vAlign w:val="center"/>
            <w:hideMark/>
          </w:tcPr>
          <w:p w14:paraId="5137C588"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6%</w:t>
            </w:r>
          </w:p>
        </w:tc>
        <w:tc>
          <w:tcPr>
            <w:tcW w:w="1058" w:type="pct"/>
            <w:shd w:val="clear" w:color="auto" w:fill="FFFFFF"/>
            <w:noWrap/>
            <w:vAlign w:val="center"/>
            <w:hideMark/>
          </w:tcPr>
          <w:p w14:paraId="63A1C37A"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7.9</w:t>
            </w:r>
          </w:p>
        </w:tc>
        <w:tc>
          <w:tcPr>
            <w:tcW w:w="507" w:type="pct"/>
            <w:shd w:val="clear" w:color="auto" w:fill="FFFFFF"/>
            <w:noWrap/>
            <w:vAlign w:val="center"/>
            <w:hideMark/>
          </w:tcPr>
          <w:p w14:paraId="4FD50DB0"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5%</w:t>
            </w:r>
          </w:p>
        </w:tc>
      </w:tr>
      <w:tr w:rsidR="00E8617E" w:rsidRPr="00BC513A" w14:paraId="222BFA2F" w14:textId="77777777" w:rsidTr="00EF0C92">
        <w:trPr>
          <w:trHeight w:val="300"/>
          <w:jc w:val="center"/>
        </w:trPr>
        <w:tc>
          <w:tcPr>
            <w:tcW w:w="1965" w:type="pct"/>
            <w:vAlign w:val="center"/>
            <w:hideMark/>
          </w:tcPr>
          <w:p w14:paraId="79F3C91B"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ВЕИ</w:t>
            </w:r>
          </w:p>
        </w:tc>
        <w:tc>
          <w:tcPr>
            <w:tcW w:w="988" w:type="pct"/>
            <w:shd w:val="clear" w:color="auto" w:fill="FFFFFF"/>
            <w:noWrap/>
            <w:vAlign w:val="center"/>
            <w:hideMark/>
          </w:tcPr>
          <w:p w14:paraId="1876F8F6"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218</w:t>
            </w:r>
          </w:p>
        </w:tc>
        <w:tc>
          <w:tcPr>
            <w:tcW w:w="482" w:type="pct"/>
            <w:shd w:val="clear" w:color="auto" w:fill="FFFFFF"/>
            <w:noWrap/>
            <w:vAlign w:val="center"/>
            <w:hideMark/>
          </w:tcPr>
          <w:p w14:paraId="2739BB6D"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29%</w:t>
            </w:r>
          </w:p>
        </w:tc>
        <w:tc>
          <w:tcPr>
            <w:tcW w:w="1058" w:type="pct"/>
            <w:shd w:val="clear" w:color="auto" w:fill="FFFFFF"/>
            <w:noWrap/>
            <w:vAlign w:val="center"/>
            <w:hideMark/>
          </w:tcPr>
          <w:p w14:paraId="6CD81811"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54.5</w:t>
            </w:r>
          </w:p>
        </w:tc>
        <w:tc>
          <w:tcPr>
            <w:tcW w:w="507" w:type="pct"/>
            <w:shd w:val="clear" w:color="auto" w:fill="FFFFFF"/>
            <w:noWrap/>
            <w:vAlign w:val="center"/>
            <w:hideMark/>
          </w:tcPr>
          <w:p w14:paraId="39202B5A"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33%</w:t>
            </w:r>
          </w:p>
        </w:tc>
      </w:tr>
      <w:tr w:rsidR="00E8617E" w:rsidRPr="00BC513A" w14:paraId="44D3BC12" w14:textId="77777777" w:rsidTr="00EF0C92">
        <w:trPr>
          <w:trHeight w:val="300"/>
          <w:jc w:val="center"/>
        </w:trPr>
        <w:tc>
          <w:tcPr>
            <w:tcW w:w="1965" w:type="pct"/>
            <w:vAlign w:val="center"/>
            <w:hideMark/>
          </w:tcPr>
          <w:p w14:paraId="0C29926D"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други</w:t>
            </w:r>
          </w:p>
        </w:tc>
        <w:tc>
          <w:tcPr>
            <w:tcW w:w="988" w:type="pct"/>
            <w:shd w:val="clear" w:color="auto" w:fill="FFFFFF"/>
            <w:noWrap/>
            <w:vAlign w:val="center"/>
            <w:hideMark/>
          </w:tcPr>
          <w:p w14:paraId="31E31FAA"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28</w:t>
            </w:r>
          </w:p>
        </w:tc>
        <w:tc>
          <w:tcPr>
            <w:tcW w:w="482" w:type="pct"/>
            <w:shd w:val="clear" w:color="auto" w:fill="FFFFFF"/>
            <w:noWrap/>
            <w:vAlign w:val="center"/>
            <w:hideMark/>
          </w:tcPr>
          <w:p w14:paraId="71427BD8"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3%</w:t>
            </w:r>
          </w:p>
        </w:tc>
        <w:tc>
          <w:tcPr>
            <w:tcW w:w="1058" w:type="pct"/>
            <w:shd w:val="clear" w:color="auto" w:fill="FFFFFF"/>
            <w:noWrap/>
            <w:vAlign w:val="center"/>
            <w:hideMark/>
          </w:tcPr>
          <w:p w14:paraId="1E960B6D"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4.8</w:t>
            </w:r>
          </w:p>
        </w:tc>
        <w:tc>
          <w:tcPr>
            <w:tcW w:w="507" w:type="pct"/>
            <w:shd w:val="clear" w:color="auto" w:fill="FFFFFF"/>
            <w:noWrap/>
            <w:vAlign w:val="center"/>
            <w:hideMark/>
          </w:tcPr>
          <w:p w14:paraId="7D41151C"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3%</w:t>
            </w:r>
          </w:p>
        </w:tc>
      </w:tr>
      <w:tr w:rsidR="00E8617E" w:rsidRPr="00BC513A" w14:paraId="4AEB3C96" w14:textId="77777777" w:rsidTr="00EF0C92">
        <w:trPr>
          <w:trHeight w:val="300"/>
          <w:jc w:val="center"/>
        </w:trPr>
        <w:tc>
          <w:tcPr>
            <w:tcW w:w="1965" w:type="pct"/>
            <w:shd w:val="clear" w:color="auto" w:fill="DEEAF6"/>
            <w:vAlign w:val="center"/>
            <w:hideMark/>
          </w:tcPr>
          <w:p w14:paraId="09E2E3C5"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Общо</w:t>
            </w:r>
          </w:p>
        </w:tc>
        <w:tc>
          <w:tcPr>
            <w:tcW w:w="988" w:type="pct"/>
            <w:shd w:val="clear" w:color="auto" w:fill="DEEAF6"/>
            <w:noWrap/>
            <w:vAlign w:val="center"/>
            <w:hideMark/>
          </w:tcPr>
          <w:p w14:paraId="6048BF40"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739</w:t>
            </w:r>
          </w:p>
        </w:tc>
        <w:tc>
          <w:tcPr>
            <w:tcW w:w="482" w:type="pct"/>
            <w:shd w:val="clear" w:color="auto" w:fill="DEEAF6"/>
            <w:noWrap/>
            <w:vAlign w:val="center"/>
            <w:hideMark/>
          </w:tcPr>
          <w:p w14:paraId="61DDED6A"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100%</w:t>
            </w:r>
          </w:p>
        </w:tc>
        <w:tc>
          <w:tcPr>
            <w:tcW w:w="1058" w:type="pct"/>
            <w:shd w:val="clear" w:color="auto" w:fill="DEEAF6"/>
            <w:noWrap/>
            <w:vAlign w:val="center"/>
            <w:hideMark/>
          </w:tcPr>
          <w:p w14:paraId="19E9DC51"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164.9</w:t>
            </w:r>
          </w:p>
        </w:tc>
        <w:tc>
          <w:tcPr>
            <w:tcW w:w="507" w:type="pct"/>
            <w:shd w:val="clear" w:color="auto" w:fill="DEEAF6"/>
            <w:noWrap/>
            <w:vAlign w:val="center"/>
            <w:hideMark/>
          </w:tcPr>
          <w:p w14:paraId="3BB5DCFA" w14:textId="77777777" w:rsidR="00E8617E" w:rsidRPr="00BC513A" w:rsidRDefault="00E8617E" w:rsidP="00922731">
            <w:pPr>
              <w:spacing w:after="0"/>
              <w:jc w:val="center"/>
              <w:rPr>
                <w:rFonts w:ascii="Arial" w:hAnsi="Arial" w:cs="Arial"/>
                <w:sz w:val="20"/>
                <w:szCs w:val="20"/>
              </w:rPr>
            </w:pPr>
            <w:r w:rsidRPr="00BC513A">
              <w:rPr>
                <w:rFonts w:ascii="Arial" w:hAnsi="Arial" w:cs="Arial"/>
                <w:sz w:val="20"/>
                <w:szCs w:val="20"/>
              </w:rPr>
              <w:t>100%</w:t>
            </w:r>
          </w:p>
        </w:tc>
      </w:tr>
    </w:tbl>
    <w:p w14:paraId="3D801132" w14:textId="77777777" w:rsidR="00E8617E" w:rsidRPr="00F07F15" w:rsidRDefault="00E8617E" w:rsidP="00E8617E">
      <w:pPr>
        <w:pStyle w:val="DefaultText"/>
        <w:spacing w:after="120" w:line="300" w:lineRule="atLeast"/>
        <w:rPr>
          <w:rFonts w:eastAsiaTheme="minorHAnsi" w:cs="Arial"/>
          <w:szCs w:val="18"/>
          <w:lang w:val="bg-BG" w:eastAsia="en-US"/>
        </w:rPr>
      </w:pPr>
      <w:r w:rsidRPr="00F07F15">
        <w:rPr>
          <w:rFonts w:eastAsiaTheme="minorHAnsi" w:cs="Arial"/>
          <w:szCs w:val="18"/>
          <w:lang w:val="bg-BG" w:eastAsia="en-US"/>
        </w:rPr>
        <w:t>Източник: МЗХГ, Основни изводи от прилагането на програма за развитие на селските райони за периода 2007-2013 г. Данните са към 31.12.2015 г.</w:t>
      </w:r>
    </w:p>
    <w:p w14:paraId="752088AC"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Мярката има частичен принос към подобряването на конкурентоспособността на бенефициентите. В ПРСР за периода 2007-2013</w:t>
      </w:r>
      <w:r w:rsidR="00B71FA2">
        <w:rPr>
          <w:sz w:val="22"/>
          <w:szCs w:val="22"/>
          <w:lang w:val="bg-BG"/>
        </w:rPr>
        <w:t xml:space="preserve"> </w:t>
      </w:r>
      <w:r w:rsidRPr="00BC513A">
        <w:rPr>
          <w:sz w:val="22"/>
          <w:szCs w:val="22"/>
          <w:lang w:val="bg-BG"/>
        </w:rPr>
        <w:t xml:space="preserve">г. не са предвидени секторни приоритети за разнообразяване на икономическите дейности. Това впоследствие се оказва не особено удачно, тъй като проектните предложения се фокусират основно в две сфери – финансиране на къщи за гости и фотоволтаични централи, което от своя страна не постига заложената цел за диверсификация на икономиката в селските региони. Разпределението на проектите по дейностите, допустими за финансиране, не е балансирано, което води само до частично подобряване на конкурентоспособността, както и повлиява на стойностите на индикаторите за „Общ брой на създадени места“ и „Създаване на заетост (нетно създадени допълнителни работни места). </w:t>
      </w:r>
    </w:p>
    <w:p w14:paraId="7C2822B2"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Анализът на изпълнението на база одобрени проекти с окончателно плащане по допълнителните индикатори за мярката показва, че поставената цел за подпомагане на нови предприятия с туристически дейности е постигната на 62% или 448 проекта. Относно индикатора обем на инвестициите в туризма се постига изпълнение от 241%. Диспропорцията между двата допълнителни индикатора се дължи на неточното планиране на среден размер на инвестициите в рамките на един проект по мярката (49 000 евро) и реалния среден размер на инвестициите като резултат от изпълнението.</w:t>
      </w:r>
    </w:p>
    <w:p w14:paraId="2AC7FC61" w14:textId="77777777" w:rsidR="00E8617E" w:rsidRPr="00BC513A" w:rsidRDefault="00E8617E" w:rsidP="00E8617E">
      <w:pPr>
        <w:keepNext/>
        <w:spacing w:before="240" w:after="0" w:line="240" w:lineRule="auto"/>
        <w:jc w:val="both"/>
        <w:rPr>
          <w:rFonts w:ascii="Arial" w:eastAsia="Calibri" w:hAnsi="Arial" w:cs="Arial"/>
          <w:b/>
          <w:color w:val="0070C0"/>
          <w:sz w:val="20"/>
          <w:szCs w:val="20"/>
        </w:rPr>
      </w:pPr>
      <w:bookmarkStart w:id="168" w:name="_Toc504136241"/>
      <w:r w:rsidRPr="00BC513A">
        <w:rPr>
          <w:rFonts w:ascii="Arial" w:eastAsia="Calibri" w:hAnsi="Arial" w:cs="Arial"/>
          <w:b/>
          <w:color w:val="0070C0"/>
          <w:sz w:val="20"/>
          <w:szCs w:val="20"/>
        </w:rPr>
        <w:t xml:space="preserve">Таблица </w:t>
      </w:r>
      <w:r w:rsidRPr="00BC513A">
        <w:rPr>
          <w:rFonts w:ascii="Arial" w:eastAsia="Calibri" w:hAnsi="Arial" w:cs="Arial"/>
          <w:b/>
          <w:color w:val="0070C0"/>
          <w:sz w:val="20"/>
          <w:szCs w:val="20"/>
        </w:rPr>
        <w:fldChar w:fldCharType="begin"/>
      </w:r>
      <w:r w:rsidRPr="00BC513A">
        <w:rPr>
          <w:rFonts w:ascii="Arial" w:eastAsia="Calibri" w:hAnsi="Arial" w:cs="Arial"/>
          <w:b/>
          <w:color w:val="0070C0"/>
          <w:sz w:val="20"/>
          <w:szCs w:val="20"/>
        </w:rPr>
        <w:instrText xml:space="preserve"> SEQ Таблица \* ARABIC </w:instrText>
      </w:r>
      <w:r w:rsidRPr="00BC513A">
        <w:rPr>
          <w:rFonts w:ascii="Arial" w:eastAsia="Calibri" w:hAnsi="Arial" w:cs="Arial"/>
          <w:b/>
          <w:color w:val="0070C0"/>
          <w:sz w:val="20"/>
          <w:szCs w:val="20"/>
        </w:rPr>
        <w:fldChar w:fldCharType="separate"/>
      </w:r>
      <w:r w:rsidR="0023010D">
        <w:rPr>
          <w:rFonts w:ascii="Arial" w:eastAsia="Calibri" w:hAnsi="Arial" w:cs="Arial"/>
          <w:b/>
          <w:noProof/>
          <w:color w:val="0070C0"/>
          <w:sz w:val="20"/>
          <w:szCs w:val="20"/>
        </w:rPr>
        <w:t>69</w:t>
      </w:r>
      <w:r w:rsidRPr="00BC513A">
        <w:rPr>
          <w:rFonts w:ascii="Arial" w:eastAsia="Calibri" w:hAnsi="Arial" w:cs="Arial"/>
          <w:b/>
          <w:color w:val="0070C0"/>
          <w:sz w:val="20"/>
          <w:szCs w:val="20"/>
        </w:rPr>
        <w:fldChar w:fldCharType="end"/>
      </w:r>
      <w:r w:rsidRPr="00BC513A">
        <w:rPr>
          <w:rFonts w:ascii="Arial" w:eastAsia="Calibri" w:hAnsi="Arial" w:cs="Arial"/>
          <w:b/>
          <w:color w:val="0070C0"/>
          <w:sz w:val="20"/>
          <w:szCs w:val="20"/>
        </w:rPr>
        <w:t>. Изпълнение на допълнителни специфични индикатори на база проекти с окончателно плащане  на към  31.12.2015 г.</w:t>
      </w:r>
      <w:bookmarkEnd w:id="168"/>
    </w:p>
    <w:tbl>
      <w:tblPr>
        <w:tblStyle w:val="TableGrid"/>
        <w:tblW w:w="9214" w:type="dxa"/>
        <w:tblInd w:w="-5" w:type="dxa"/>
        <w:tblLook w:val="04A0" w:firstRow="1" w:lastRow="0" w:firstColumn="1" w:lastColumn="0" w:noHBand="0" w:noVBand="1"/>
      </w:tblPr>
      <w:tblGrid>
        <w:gridCol w:w="3772"/>
        <w:gridCol w:w="987"/>
        <w:gridCol w:w="1829"/>
        <w:gridCol w:w="1640"/>
        <w:gridCol w:w="986"/>
      </w:tblGrid>
      <w:tr w:rsidR="00E8617E" w:rsidRPr="00BC513A" w14:paraId="51534135" w14:textId="77777777" w:rsidTr="00922731">
        <w:tc>
          <w:tcPr>
            <w:tcW w:w="3772" w:type="dxa"/>
            <w:shd w:val="clear" w:color="auto" w:fill="1F4E79"/>
            <w:vAlign w:val="center"/>
          </w:tcPr>
          <w:p w14:paraId="5529D680"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987" w:type="dxa"/>
            <w:shd w:val="clear" w:color="auto" w:fill="1F4E79"/>
            <w:vAlign w:val="center"/>
          </w:tcPr>
          <w:p w14:paraId="4116CE5B"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Цел 2007-2013г.</w:t>
            </w:r>
          </w:p>
        </w:tc>
        <w:tc>
          <w:tcPr>
            <w:tcW w:w="1829" w:type="dxa"/>
            <w:shd w:val="clear" w:color="auto" w:fill="1F4E79"/>
            <w:vAlign w:val="center"/>
          </w:tcPr>
          <w:p w14:paraId="22F75B71" w14:textId="77777777" w:rsidR="00E8617E" w:rsidRPr="00BC513A" w:rsidRDefault="00E8617E" w:rsidP="00922731">
            <w:pPr>
              <w:jc w:val="center"/>
              <w:rPr>
                <w:rFonts w:ascii="Arial" w:hAnsi="Arial" w:cs="Arial"/>
                <w:color w:val="FFFFFF" w:themeColor="background1"/>
                <w:sz w:val="20"/>
                <w:szCs w:val="20"/>
              </w:rPr>
            </w:pPr>
            <w:r w:rsidRPr="00BC513A">
              <w:rPr>
                <w:rFonts w:ascii="Arial" w:hAnsi="Arial" w:cs="Arial"/>
                <w:b/>
                <w:color w:val="FFFFFF" w:themeColor="background1"/>
                <w:sz w:val="20"/>
                <w:szCs w:val="20"/>
              </w:rPr>
              <w:t>Стойност след 16-тото изменение на ПРСР 2007-2013</w:t>
            </w:r>
          </w:p>
        </w:tc>
        <w:tc>
          <w:tcPr>
            <w:tcW w:w="1640" w:type="dxa"/>
            <w:shd w:val="clear" w:color="auto" w:fill="1F4E79"/>
            <w:vAlign w:val="center"/>
          </w:tcPr>
          <w:p w14:paraId="067BC47D" w14:textId="77777777" w:rsidR="00E8617E" w:rsidRPr="00BC513A" w:rsidRDefault="00E8617E" w:rsidP="00922731">
            <w:pPr>
              <w:jc w:val="center"/>
              <w:rPr>
                <w:rFonts w:ascii="Arial" w:hAnsi="Arial" w:cs="Arial"/>
                <w:color w:val="FFFFFF" w:themeColor="background1"/>
                <w:sz w:val="20"/>
                <w:szCs w:val="20"/>
              </w:rPr>
            </w:pPr>
            <w:r w:rsidRPr="00BC513A">
              <w:rPr>
                <w:rFonts w:ascii="Arial" w:hAnsi="Arial" w:cs="Arial"/>
                <w:b/>
                <w:color w:val="FFFFFF" w:themeColor="background1"/>
                <w:sz w:val="20"/>
                <w:szCs w:val="20"/>
              </w:rPr>
              <w:t>Постигната стойност след изпълнението на програмата</w:t>
            </w:r>
          </w:p>
        </w:tc>
        <w:tc>
          <w:tcPr>
            <w:tcW w:w="986" w:type="dxa"/>
            <w:shd w:val="clear" w:color="auto" w:fill="1F4E79"/>
            <w:vAlign w:val="center"/>
          </w:tcPr>
          <w:p w14:paraId="552D98FF"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w:t>
            </w:r>
          </w:p>
        </w:tc>
      </w:tr>
      <w:tr w:rsidR="00E8617E" w:rsidRPr="00BC513A" w14:paraId="42CE699C" w14:textId="77777777" w:rsidTr="00922731">
        <w:tc>
          <w:tcPr>
            <w:tcW w:w="3772" w:type="dxa"/>
            <w:vAlign w:val="center"/>
          </w:tcPr>
          <w:p w14:paraId="01F96E8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подпомогнати нови предприятия с туристически дейности</w:t>
            </w:r>
          </w:p>
        </w:tc>
        <w:tc>
          <w:tcPr>
            <w:tcW w:w="987" w:type="dxa"/>
            <w:vAlign w:val="center"/>
          </w:tcPr>
          <w:p w14:paraId="5912674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750</w:t>
            </w:r>
          </w:p>
        </w:tc>
        <w:tc>
          <w:tcPr>
            <w:tcW w:w="1829" w:type="dxa"/>
            <w:vAlign w:val="center"/>
          </w:tcPr>
          <w:p w14:paraId="3210925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717</w:t>
            </w:r>
          </w:p>
        </w:tc>
        <w:tc>
          <w:tcPr>
            <w:tcW w:w="1640" w:type="dxa"/>
            <w:vAlign w:val="center"/>
          </w:tcPr>
          <w:p w14:paraId="40CA0C8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448</w:t>
            </w:r>
          </w:p>
        </w:tc>
        <w:tc>
          <w:tcPr>
            <w:tcW w:w="986" w:type="dxa"/>
            <w:vAlign w:val="center"/>
          </w:tcPr>
          <w:p w14:paraId="224EC45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62%</w:t>
            </w:r>
          </w:p>
        </w:tc>
      </w:tr>
      <w:tr w:rsidR="00E8617E" w:rsidRPr="00BC513A" w14:paraId="0F458C0B" w14:textId="77777777" w:rsidTr="00922731">
        <w:tc>
          <w:tcPr>
            <w:tcW w:w="3772" w:type="dxa"/>
            <w:vAlign w:val="center"/>
          </w:tcPr>
          <w:p w14:paraId="03B66E20"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Общ обем на инвестициите в туризъм (в млн. евро )</w:t>
            </w:r>
          </w:p>
        </w:tc>
        <w:tc>
          <w:tcPr>
            <w:tcW w:w="987" w:type="dxa"/>
            <w:vAlign w:val="center"/>
          </w:tcPr>
          <w:p w14:paraId="08AB7D0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40</w:t>
            </w:r>
          </w:p>
        </w:tc>
        <w:tc>
          <w:tcPr>
            <w:tcW w:w="1829" w:type="dxa"/>
            <w:vAlign w:val="center"/>
          </w:tcPr>
          <w:p w14:paraId="35E8EA6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38</w:t>
            </w:r>
          </w:p>
        </w:tc>
        <w:tc>
          <w:tcPr>
            <w:tcW w:w="1640" w:type="dxa"/>
            <w:vAlign w:val="center"/>
          </w:tcPr>
          <w:p w14:paraId="437588B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96</w:t>
            </w:r>
          </w:p>
        </w:tc>
        <w:tc>
          <w:tcPr>
            <w:tcW w:w="986" w:type="dxa"/>
            <w:vAlign w:val="center"/>
          </w:tcPr>
          <w:p w14:paraId="0F0A0A9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241%</w:t>
            </w:r>
          </w:p>
        </w:tc>
      </w:tr>
    </w:tbl>
    <w:p w14:paraId="7A1A2A28" w14:textId="77777777" w:rsidR="00E8617E" w:rsidRDefault="00E8617E" w:rsidP="00E8617E">
      <w:pPr>
        <w:pStyle w:val="DefaultText"/>
        <w:spacing w:after="120" w:line="300" w:lineRule="atLeast"/>
        <w:rPr>
          <w:rFonts w:cs="Arial"/>
          <w:bCs/>
          <w:szCs w:val="18"/>
          <w:lang w:val="bg-BG"/>
        </w:rPr>
      </w:pPr>
      <w:r w:rsidRPr="00F07F15">
        <w:rPr>
          <w:szCs w:val="18"/>
          <w:lang w:val="bg-BG"/>
        </w:rPr>
        <w:t xml:space="preserve">Източник: </w:t>
      </w:r>
      <w:r w:rsidRPr="00F07F15">
        <w:rPr>
          <w:rFonts w:cs="Arial"/>
          <w:bCs/>
          <w:szCs w:val="18"/>
          <w:lang w:val="bg-BG"/>
        </w:rPr>
        <w:t>Годишен доклад за напредъка на ПРСР 2007-2013г. за 2015г</w:t>
      </w:r>
      <w:r w:rsidR="00F07F15">
        <w:rPr>
          <w:rFonts w:cs="Arial"/>
          <w:bCs/>
          <w:szCs w:val="18"/>
          <w:lang w:val="bg-BG"/>
        </w:rPr>
        <w:t>.</w:t>
      </w:r>
    </w:p>
    <w:p w14:paraId="20D0B864" w14:textId="77777777" w:rsidR="00837873" w:rsidRPr="00BC513A" w:rsidRDefault="00C5519D" w:rsidP="00837873">
      <w:pPr>
        <w:pStyle w:val="DefaultText"/>
        <w:spacing w:after="120" w:line="300" w:lineRule="atLeast"/>
        <w:ind w:firstLine="708"/>
        <w:rPr>
          <w:sz w:val="22"/>
          <w:szCs w:val="22"/>
          <w:lang w:val="bg-BG"/>
        </w:rPr>
      </w:pPr>
      <w:r w:rsidRPr="00BC513A">
        <w:rPr>
          <w:sz w:val="22"/>
          <w:szCs w:val="22"/>
          <w:lang w:val="bg-BG"/>
        </w:rPr>
        <w:t xml:space="preserve">Най-много проекти са реализирани в област Благоевград </w:t>
      </w:r>
      <w:r w:rsidR="00B71FA2">
        <w:rPr>
          <w:sz w:val="22"/>
          <w:szCs w:val="22"/>
          <w:lang w:val="bg-BG"/>
        </w:rPr>
        <w:t>–</w:t>
      </w:r>
      <w:r w:rsidRPr="00BC513A">
        <w:rPr>
          <w:sz w:val="22"/>
          <w:szCs w:val="22"/>
          <w:lang w:val="bg-BG"/>
        </w:rPr>
        <w:t xml:space="preserve"> 148 проекта, а най-малко в област Разград – едва 4 проекта. </w:t>
      </w:r>
      <w:r w:rsidR="00837873">
        <w:rPr>
          <w:sz w:val="22"/>
          <w:szCs w:val="22"/>
          <w:lang w:val="bg-BG"/>
        </w:rPr>
        <w:t>Н</w:t>
      </w:r>
      <w:r w:rsidR="00837873" w:rsidRPr="00BC513A">
        <w:rPr>
          <w:sz w:val="22"/>
          <w:szCs w:val="22"/>
          <w:lang w:val="bg-BG"/>
        </w:rPr>
        <w:t>ай-слабо развитият Северозападен район на България не е обхванат добре от мярката и реализираните там проекти са под средния брой за областите. Същевременно област София е втора по брой реализирани проекти.  Това показва липсата на териториално приоритизиране и е предпоставка за недостатъчно равномерното изпълнение на мярката.</w:t>
      </w:r>
    </w:p>
    <w:p w14:paraId="58D02828" w14:textId="1C526A9D" w:rsidR="00C5519D" w:rsidRPr="00BC513A" w:rsidRDefault="00C5519D" w:rsidP="00C5519D">
      <w:pPr>
        <w:pStyle w:val="DefaultText"/>
        <w:spacing w:after="120" w:line="300" w:lineRule="atLeast"/>
        <w:ind w:firstLine="708"/>
        <w:rPr>
          <w:sz w:val="22"/>
          <w:szCs w:val="22"/>
          <w:lang w:val="bg-BG"/>
        </w:rPr>
      </w:pPr>
    </w:p>
    <w:p w14:paraId="44A16876" w14:textId="77777777" w:rsidR="00C5519D" w:rsidRPr="00F07F15" w:rsidRDefault="00C5519D" w:rsidP="00E8617E">
      <w:pPr>
        <w:pStyle w:val="DefaultText"/>
        <w:spacing w:after="120" w:line="300" w:lineRule="atLeast"/>
        <w:rPr>
          <w:szCs w:val="18"/>
          <w:lang w:val="bg-BG"/>
        </w:rPr>
      </w:pPr>
    </w:p>
    <w:p w14:paraId="7F316036" w14:textId="77777777" w:rsidR="00E8617E" w:rsidRPr="00BC513A" w:rsidRDefault="00E8617E" w:rsidP="00E8617E">
      <w:pPr>
        <w:pStyle w:val="DefaultText"/>
        <w:spacing w:after="120" w:line="300" w:lineRule="atLeast"/>
        <w:jc w:val="center"/>
        <w:rPr>
          <w:sz w:val="22"/>
          <w:szCs w:val="22"/>
          <w:highlight w:val="yellow"/>
          <w:lang w:val="bg-BG"/>
        </w:rPr>
      </w:pPr>
      <w:r w:rsidRPr="00BC513A">
        <w:rPr>
          <w:noProof/>
          <w:lang w:val="en-US" w:eastAsia="en-US"/>
        </w:rPr>
        <w:drawing>
          <wp:inline distT="0" distB="0" distL="0" distR="0" wp14:anchorId="2932908D" wp14:editId="13E034F6">
            <wp:extent cx="5691505" cy="4555672"/>
            <wp:effectExtent l="0" t="0" r="4445" b="16510"/>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244506A8" w14:textId="77777777" w:rsidR="00E8617E" w:rsidRPr="00F07F15" w:rsidRDefault="00E8617E" w:rsidP="00E8617E">
      <w:pPr>
        <w:spacing w:after="120" w:line="300" w:lineRule="atLeast"/>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 xml:space="preserve">Източник: По данни на ДФЗ-РА </w:t>
      </w:r>
    </w:p>
    <w:p w14:paraId="071D2B6F" w14:textId="77777777" w:rsidR="00E8617E" w:rsidRPr="00BC513A" w:rsidRDefault="00E8617E" w:rsidP="00E8617E">
      <w:pPr>
        <w:spacing w:after="120" w:line="300" w:lineRule="atLeast"/>
        <w:ind w:firstLine="708"/>
        <w:jc w:val="center"/>
        <w:rPr>
          <w:rFonts w:ascii="Times New Roman" w:eastAsia="Times New Roman" w:hAnsi="Times New Roman" w:cs="Times New Roman"/>
          <w:b/>
          <w:sz w:val="24"/>
          <w:szCs w:val="24"/>
          <w:lang w:eastAsia="nl-NL"/>
        </w:rPr>
      </w:pPr>
      <w:bookmarkStart w:id="169" w:name="_Toc506984722"/>
      <w:r w:rsidRPr="00BC513A">
        <w:rPr>
          <w:rFonts w:ascii="Arial" w:eastAsia="Times New Roman" w:hAnsi="Arial" w:cs="Arial"/>
          <w:b/>
          <w:color w:val="0070C0"/>
          <w:sz w:val="20"/>
          <w:szCs w:val="20"/>
          <w:lang w:eastAsia="nl-NL"/>
        </w:rPr>
        <w:t xml:space="preserve">Фигура </w:t>
      </w:r>
      <w:r w:rsidRPr="00BC513A">
        <w:rPr>
          <w:rFonts w:ascii="Arial" w:eastAsia="Times New Roman" w:hAnsi="Arial" w:cs="Arial"/>
          <w:b/>
          <w:color w:val="0070C0"/>
          <w:sz w:val="20"/>
          <w:szCs w:val="20"/>
          <w:lang w:eastAsia="nl-NL"/>
        </w:rPr>
        <w:fldChar w:fldCharType="begin"/>
      </w:r>
      <w:r w:rsidRPr="00BC513A">
        <w:rPr>
          <w:rFonts w:ascii="Arial" w:eastAsia="Times New Roman" w:hAnsi="Arial" w:cs="Arial"/>
          <w:b/>
          <w:color w:val="0070C0"/>
          <w:sz w:val="20"/>
          <w:szCs w:val="20"/>
          <w:lang w:eastAsia="nl-NL"/>
        </w:rPr>
        <w:instrText xml:space="preserve"> SEQ Фигура \* ARABIC </w:instrText>
      </w:r>
      <w:r w:rsidRPr="00BC513A">
        <w:rPr>
          <w:rFonts w:ascii="Arial" w:eastAsia="Times New Roman" w:hAnsi="Arial" w:cs="Arial"/>
          <w:b/>
          <w:color w:val="0070C0"/>
          <w:sz w:val="20"/>
          <w:szCs w:val="20"/>
          <w:lang w:eastAsia="nl-NL"/>
        </w:rPr>
        <w:fldChar w:fldCharType="separate"/>
      </w:r>
      <w:r w:rsidR="0023010D">
        <w:rPr>
          <w:rFonts w:ascii="Arial" w:eastAsia="Times New Roman" w:hAnsi="Arial" w:cs="Arial"/>
          <w:b/>
          <w:noProof/>
          <w:color w:val="0070C0"/>
          <w:sz w:val="20"/>
          <w:szCs w:val="20"/>
          <w:lang w:eastAsia="nl-NL"/>
        </w:rPr>
        <w:t>16</w:t>
      </w:r>
      <w:r w:rsidRPr="00BC513A">
        <w:rPr>
          <w:rFonts w:ascii="Arial" w:eastAsia="Times New Roman" w:hAnsi="Arial" w:cs="Arial"/>
          <w:b/>
          <w:color w:val="0070C0"/>
          <w:sz w:val="20"/>
          <w:szCs w:val="20"/>
          <w:lang w:eastAsia="nl-NL"/>
        </w:rPr>
        <w:fldChar w:fldCharType="end"/>
      </w:r>
      <w:r w:rsidRPr="00BC513A">
        <w:rPr>
          <w:rFonts w:ascii="Arial" w:eastAsia="Times New Roman" w:hAnsi="Arial" w:cs="Arial"/>
          <w:b/>
          <w:color w:val="0070C0"/>
          <w:sz w:val="20"/>
          <w:szCs w:val="20"/>
          <w:lang w:eastAsia="nl-NL"/>
        </w:rPr>
        <w:t>. Брой проекти по области подкрепени по мярка 312</w:t>
      </w:r>
      <w:bookmarkEnd w:id="169"/>
    </w:p>
    <w:p w14:paraId="0517F0FC" w14:textId="13E8BC5C"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Един от основните показатели за неуспех на мярката е </w:t>
      </w:r>
      <w:r w:rsidR="00837873">
        <w:rPr>
          <w:sz w:val="22"/>
          <w:szCs w:val="22"/>
          <w:lang w:val="bg-BG"/>
        </w:rPr>
        <w:t>малкият</w:t>
      </w:r>
      <w:r w:rsidRPr="00BC513A">
        <w:rPr>
          <w:sz w:val="22"/>
          <w:szCs w:val="22"/>
          <w:lang w:val="bg-BG"/>
        </w:rPr>
        <w:t xml:space="preserve"> брой получатели на помощта – едва 747 или 18,5% от заложения индикатор. Важно е да се отбележи и наличието на 306 анулирани договора, както и 28 неподписани от кандидатите договори. Това показва наличието на проблеми и трудности, пред които са били изправени бенефициентите при 30 % от общия брой проектни предложения</w:t>
      </w:r>
      <w:r w:rsidR="00B71FA2">
        <w:rPr>
          <w:sz w:val="22"/>
          <w:szCs w:val="22"/>
          <w:lang w:val="bg-BG"/>
        </w:rPr>
        <w:t>,</w:t>
      </w:r>
      <w:r w:rsidRPr="00BC513A">
        <w:rPr>
          <w:sz w:val="22"/>
          <w:szCs w:val="22"/>
          <w:lang w:val="bg-BG"/>
        </w:rPr>
        <w:t xml:space="preserve"> предложени за финансиране и невъзможност за изпълнение на проектите. </w:t>
      </w:r>
    </w:p>
    <w:p w14:paraId="028494BF"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Открояват се няколко</w:t>
      </w:r>
      <w:r w:rsidRPr="00BC513A">
        <w:rPr>
          <w:rFonts w:ascii="Times New Roman" w:hAnsi="Times New Roman"/>
          <w:sz w:val="24"/>
          <w:lang w:val="bg-BG"/>
        </w:rPr>
        <w:t xml:space="preserve"> </w:t>
      </w:r>
      <w:r w:rsidRPr="00BC513A">
        <w:rPr>
          <w:sz w:val="22"/>
          <w:szCs w:val="22"/>
          <w:lang w:val="bg-BG"/>
        </w:rPr>
        <w:t>основни причини, водещи до трудности и неуспешно изпълнение на проектите по мярката</w:t>
      </w:r>
      <w:r w:rsidRPr="00BC513A">
        <w:rPr>
          <w:rFonts w:ascii="Times New Roman" w:hAnsi="Times New Roman"/>
          <w:sz w:val="24"/>
          <w:lang w:val="bg-BG"/>
        </w:rPr>
        <w:t xml:space="preserve">. </w:t>
      </w:r>
      <w:r w:rsidRPr="00BC513A">
        <w:rPr>
          <w:sz w:val="22"/>
          <w:szCs w:val="22"/>
          <w:lang w:val="bg-BG"/>
        </w:rPr>
        <w:t xml:space="preserve">Един от основните проблеми е свързан с осигуряване на съфинансирането на одобрените проекти и неприемането от страна на банките на договорите за безвъзмездна финансова помощ като обезпечение. Това създава предпоставка за многото неподписни договори или неизвършени заявени инвестиции. Бавното одобряване на проектите е друг много сериозен недостатък, който често води до ценови промени в предварително заложените бюджетни разчети, което поставя бенефициентите в ситуация на невъзможно изпълнение на инвестициите или необходимост от влагане на допълнително лични или заемни средства, което невинаги е възможно. </w:t>
      </w:r>
    </w:p>
    <w:p w14:paraId="334B0268"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Във връзка с инвестициите в места за настаняване са констатирани редица случаи на неефективни инвестиции или инвестиции, които не допринасят в достатъчна степен за развитието на туризма. Това налага да се обърне специално внимание в тази сфера и да бъдат предвидени промени в условията за финансиране на проекти с инвестициите за места за настаняване или завишаване на последяващия контрол. </w:t>
      </w:r>
    </w:p>
    <w:p w14:paraId="5FA83144" w14:textId="745C8D8C" w:rsidR="00E8617E" w:rsidRDefault="00E8617E" w:rsidP="00E8617E">
      <w:pPr>
        <w:pStyle w:val="DefaultText"/>
        <w:spacing w:after="120" w:line="300" w:lineRule="atLeast"/>
        <w:ind w:firstLine="708"/>
        <w:rPr>
          <w:sz w:val="22"/>
          <w:szCs w:val="22"/>
          <w:lang w:val="bg-BG"/>
        </w:rPr>
      </w:pPr>
      <w:r w:rsidRPr="00BC513A">
        <w:rPr>
          <w:sz w:val="22"/>
          <w:szCs w:val="22"/>
          <w:lang w:val="bg-BG"/>
        </w:rPr>
        <w:t>Друг съществен пропуск е липсата на Методология на финансовите санкции, както и проследяемост на индикаторите (мониторинг), в т.ч. прехвърляния на собствеността и запазване  активите, поддържане на системни регистри за предлаганите услуги и др., поради това няма и заложени подобни клаузи в договорите за предоставяне на безвъзмездна финансова помощ. Липсата на методология за определяне жизнеспособността на бизнес идеите, заложени в проектните предложения, също компрометира в известна степен постигането на устойчиви и ефективни резултати, имащи съществен принос за подобряване качеството на живот и реалното разнообразяване на икономическите дейности в селските райони.</w:t>
      </w:r>
    </w:p>
    <w:p w14:paraId="5276D43F" w14:textId="04018EC6" w:rsidR="009C31A8" w:rsidRPr="009C31A8" w:rsidRDefault="009C31A8" w:rsidP="009C31A8">
      <w:pPr>
        <w:pStyle w:val="DefaultText"/>
        <w:spacing w:after="120" w:line="300" w:lineRule="atLeast"/>
        <w:ind w:firstLine="708"/>
        <w:rPr>
          <w:sz w:val="22"/>
          <w:szCs w:val="22"/>
          <w:lang w:val="bg-BG"/>
        </w:rPr>
      </w:pPr>
      <w:r w:rsidRPr="00205C7B">
        <w:rPr>
          <w:sz w:val="22"/>
          <w:szCs w:val="22"/>
          <w:lang w:val="bg-BG"/>
        </w:rPr>
        <w:t>Теренното проучване сред бенефициенти по мярка 312 показва, че направените инвестиции са налице и са функциониращи. Във всички обекти са налице работници/служители. В 7 от проектите бенефициентите са направили допълнителни подобрения/инвестиции извън рамките на проекта. Седем от посетените проекти са за развитие на селски туризъм и два са инвестиция за ВЕИ. В 6 от случаите бенефициенти са еднолични търговци или юридически лица, стартиращи с неземеделска дейност, един е заним</w:t>
      </w:r>
      <w:r w:rsidR="00840BE9">
        <w:rPr>
          <w:sz w:val="22"/>
          <w:szCs w:val="22"/>
          <w:lang w:val="bg-BG"/>
        </w:rPr>
        <w:t>аващ се със земеделие, който разнообразява</w:t>
      </w:r>
      <w:r w:rsidRPr="00205C7B">
        <w:rPr>
          <w:sz w:val="22"/>
          <w:szCs w:val="22"/>
          <w:lang w:val="bg-BG"/>
        </w:rPr>
        <w:t xml:space="preserve"> към неземеделски дейности. Един </w:t>
      </w:r>
      <w:r w:rsidR="00840BE9">
        <w:rPr>
          <w:sz w:val="22"/>
          <w:szCs w:val="22"/>
          <w:lang w:val="bg-BG"/>
        </w:rPr>
        <w:t>бенефициент</w:t>
      </w:r>
      <w:r w:rsidRPr="00205C7B">
        <w:rPr>
          <w:sz w:val="22"/>
          <w:szCs w:val="22"/>
          <w:lang w:val="bg-BG"/>
        </w:rPr>
        <w:t xml:space="preserve"> се </w:t>
      </w:r>
      <w:r w:rsidR="00840BE9">
        <w:rPr>
          <w:sz w:val="22"/>
          <w:szCs w:val="22"/>
          <w:lang w:val="bg-BG"/>
        </w:rPr>
        <w:t xml:space="preserve">занимава </w:t>
      </w:r>
      <w:r w:rsidRPr="00205C7B">
        <w:rPr>
          <w:sz w:val="22"/>
          <w:szCs w:val="22"/>
          <w:lang w:val="bg-BG"/>
        </w:rPr>
        <w:t>отпреди с неземеделска дейност и един е земеделски производител. И по десетте проекта са открити нови работни места – средно по 1,5 на проект (общо 14 постоянни работни места). Други докладвани ефекти са ръст на доходите от туризъм</w:t>
      </w:r>
      <w:r w:rsidR="00903B3F">
        <w:rPr>
          <w:sz w:val="22"/>
          <w:szCs w:val="22"/>
          <w:lang w:val="bg-BG"/>
        </w:rPr>
        <w:t xml:space="preserve"> и</w:t>
      </w:r>
      <w:r w:rsidRPr="00205C7B">
        <w:rPr>
          <w:sz w:val="22"/>
          <w:szCs w:val="22"/>
          <w:lang w:val="bg-BG"/>
        </w:rPr>
        <w:t xml:space="preserve"> увеличаване на пазарния дял (5 проекта). Шест от деветте бенефициента споделят, че биха кандидатствали отново по програмата, а останалите трима споделят, че не биха кандидатствали друг път.</w:t>
      </w:r>
    </w:p>
    <w:p w14:paraId="33B946DC" w14:textId="628EC6B9" w:rsidR="00E8617E" w:rsidRDefault="00E8617E" w:rsidP="00E8617E">
      <w:pPr>
        <w:pStyle w:val="DefaultText"/>
        <w:spacing w:after="120" w:line="300" w:lineRule="atLeast"/>
        <w:ind w:firstLine="708"/>
        <w:rPr>
          <w:sz w:val="22"/>
          <w:szCs w:val="22"/>
          <w:lang w:val="bg-BG"/>
        </w:rPr>
      </w:pPr>
      <w:r w:rsidRPr="00BC513A">
        <w:rPr>
          <w:sz w:val="22"/>
          <w:szCs w:val="22"/>
          <w:lang w:val="bg-BG"/>
        </w:rPr>
        <w:t xml:space="preserve">В обобщение може да се заключи, че Мярка 312 постига две от заложените си цели – насърчава развитието на предприемачеството в селските райони и подпомага развитието на интегриран селски туризъм. Трета цел на мярката да се подпомогне  растежа и създаване на нови работни места е частично изпълнена. </w:t>
      </w:r>
    </w:p>
    <w:p w14:paraId="65E034D2"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313. Насърчаване на туристическите дейности</w:t>
      </w:r>
    </w:p>
    <w:p w14:paraId="65574064"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313 има като основна цел да насърчи растежа на доходите и да създаде заетост в селските райони чрез развитието на интегриран селски туризъм. Други основни цели на мярката са разнообразяването и подобряването на туристическата инфраструктура, атракциите и съоръженията за посетители в селските райони. В процеса на програмиране е идентифицирана необходимост от инвестиции за развитие на икономически дейности, свързани с използване на местните традиции и местата с потенциал за развитие на туризма в селските райони. Прилагането на мярката е свързано с изпълнение на проекти, имащи за цел разнообразяване на местната икономика чрез интервенции в подобряване състоянието и достъпа до обекти, свързани с предоставяне на туристически продукти и услуги на територията на селските общини.</w:t>
      </w:r>
    </w:p>
    <w:p w14:paraId="5F4E2FF1" w14:textId="023EA661"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Мярката има предвиден първоначален бюджет от 31 милиона евро, който е редуциран с около 24 %. Редуцираният бюджет е усвоен на 97%.</w:t>
      </w:r>
    </w:p>
    <w:p w14:paraId="559214CE"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Като цяло мярката има много добро постигане на целевите стойности на заложените индикатори. Само индикатор „Брой на подпомогнатите нови туристически дейности“  има не толкова добри постигнати резултати. Специфичните индикатори за схемата са надхвърлени многократно. </w:t>
      </w:r>
    </w:p>
    <w:p w14:paraId="6034FE06" w14:textId="77777777" w:rsidR="00E8617E" w:rsidRPr="00BC513A" w:rsidRDefault="00E8617E" w:rsidP="00E8617E">
      <w:pPr>
        <w:keepNext/>
        <w:spacing w:before="240" w:after="0" w:line="240" w:lineRule="auto"/>
        <w:rPr>
          <w:rFonts w:ascii="Arial" w:eastAsia="Calibri" w:hAnsi="Arial" w:cs="Arial"/>
          <w:b/>
          <w:iCs/>
          <w:color w:val="0070C0"/>
          <w:sz w:val="20"/>
          <w:szCs w:val="20"/>
        </w:rPr>
      </w:pPr>
      <w:bookmarkStart w:id="170" w:name="_Toc504136242"/>
      <w:r w:rsidRPr="00BC513A">
        <w:rPr>
          <w:rFonts w:ascii="Arial" w:eastAsia="Calibri" w:hAnsi="Arial" w:cs="Arial"/>
          <w:b/>
          <w:iCs/>
          <w:color w:val="0070C0"/>
          <w:sz w:val="20"/>
          <w:szCs w:val="20"/>
        </w:rPr>
        <w:t xml:space="preserve">Таблица </w:t>
      </w:r>
      <w:r w:rsidRPr="00BC513A">
        <w:rPr>
          <w:rFonts w:ascii="Arial" w:eastAsia="Calibri" w:hAnsi="Arial" w:cs="Arial"/>
          <w:b/>
          <w:iCs/>
          <w:color w:val="0070C0"/>
          <w:sz w:val="20"/>
          <w:szCs w:val="20"/>
        </w:rPr>
        <w:fldChar w:fldCharType="begin"/>
      </w:r>
      <w:r w:rsidRPr="00BC513A">
        <w:rPr>
          <w:rFonts w:ascii="Arial" w:eastAsia="Calibri" w:hAnsi="Arial" w:cs="Arial"/>
          <w:b/>
          <w:iCs/>
          <w:color w:val="0070C0"/>
          <w:sz w:val="20"/>
          <w:szCs w:val="20"/>
        </w:rPr>
        <w:instrText xml:space="preserve"> SEQ Таблица \* ARABIC </w:instrText>
      </w:r>
      <w:r w:rsidRPr="00BC513A">
        <w:rPr>
          <w:rFonts w:ascii="Arial" w:eastAsia="Calibri" w:hAnsi="Arial" w:cs="Arial"/>
          <w:b/>
          <w:iCs/>
          <w:color w:val="0070C0"/>
          <w:sz w:val="20"/>
          <w:szCs w:val="20"/>
        </w:rPr>
        <w:fldChar w:fldCharType="separate"/>
      </w:r>
      <w:r w:rsidR="0023010D">
        <w:rPr>
          <w:rFonts w:ascii="Arial" w:eastAsia="Calibri" w:hAnsi="Arial" w:cs="Arial"/>
          <w:b/>
          <w:iCs/>
          <w:noProof/>
          <w:color w:val="0070C0"/>
          <w:sz w:val="20"/>
          <w:szCs w:val="20"/>
        </w:rPr>
        <w:t>70</w:t>
      </w:r>
      <w:r w:rsidRPr="00BC513A">
        <w:rPr>
          <w:rFonts w:ascii="Arial" w:eastAsia="Calibri" w:hAnsi="Arial" w:cs="Arial"/>
          <w:b/>
          <w:iCs/>
          <w:color w:val="0070C0"/>
          <w:sz w:val="20"/>
          <w:szCs w:val="20"/>
        </w:rPr>
        <w:fldChar w:fldCharType="end"/>
      </w:r>
      <w:r w:rsidRPr="00BC513A">
        <w:rPr>
          <w:rFonts w:ascii="Arial" w:eastAsia="Calibri" w:hAnsi="Arial" w:cs="Arial"/>
          <w:b/>
          <w:iCs/>
          <w:color w:val="0070C0"/>
          <w:sz w:val="20"/>
          <w:szCs w:val="20"/>
        </w:rPr>
        <w:t>. Изпълнение на целите на мярка 313 база платени проекти</w:t>
      </w:r>
      <w:bookmarkEnd w:id="170"/>
      <w:r w:rsidRPr="00BC513A">
        <w:rPr>
          <w:rFonts w:ascii="Arial" w:eastAsia="Calibri" w:hAnsi="Arial" w:cs="Arial"/>
          <w:b/>
          <w:iCs/>
          <w:color w:val="0070C0"/>
          <w:sz w:val="20"/>
          <w:szCs w:val="20"/>
        </w:rPr>
        <w:t xml:space="preserve"> </w:t>
      </w:r>
    </w:p>
    <w:tbl>
      <w:tblPr>
        <w:tblStyle w:val="TableGrid"/>
        <w:tblW w:w="9605" w:type="dxa"/>
        <w:tblLayout w:type="fixed"/>
        <w:tblLook w:val="04A0" w:firstRow="1" w:lastRow="0" w:firstColumn="1" w:lastColumn="0" w:noHBand="0" w:noVBand="1"/>
      </w:tblPr>
      <w:tblGrid>
        <w:gridCol w:w="3227"/>
        <w:gridCol w:w="1559"/>
        <w:gridCol w:w="1730"/>
        <w:gridCol w:w="1984"/>
        <w:gridCol w:w="1105"/>
      </w:tblGrid>
      <w:tr w:rsidR="00E8617E" w:rsidRPr="00BC513A" w14:paraId="6AEF181F" w14:textId="77777777" w:rsidTr="00932807">
        <w:tc>
          <w:tcPr>
            <w:tcW w:w="3227" w:type="dxa"/>
            <w:shd w:val="clear" w:color="auto" w:fill="1F4E79"/>
            <w:vAlign w:val="center"/>
          </w:tcPr>
          <w:p w14:paraId="6C020830"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1559" w:type="dxa"/>
            <w:shd w:val="clear" w:color="auto" w:fill="1F4E79"/>
            <w:vAlign w:val="center"/>
          </w:tcPr>
          <w:p w14:paraId="25011BBD"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Първоначална стойност</w:t>
            </w:r>
          </w:p>
        </w:tc>
        <w:tc>
          <w:tcPr>
            <w:tcW w:w="1730" w:type="dxa"/>
            <w:shd w:val="clear" w:color="auto" w:fill="1F4E79"/>
            <w:vAlign w:val="center"/>
          </w:tcPr>
          <w:p w14:paraId="3691F6B4"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 xml:space="preserve">Окончателна целева стойност </w:t>
            </w:r>
          </w:p>
        </w:tc>
        <w:tc>
          <w:tcPr>
            <w:tcW w:w="1984" w:type="dxa"/>
            <w:shd w:val="clear" w:color="auto" w:fill="1F4E79"/>
          </w:tcPr>
          <w:p w14:paraId="18B23774" w14:textId="77777777" w:rsidR="00E8617E" w:rsidRPr="00BC513A" w:rsidRDefault="00E8617E" w:rsidP="000F57E9">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 xml:space="preserve">Постигната стойност след изпълнението на </w:t>
            </w:r>
            <w:r w:rsidR="000F57E9">
              <w:rPr>
                <w:rFonts w:ascii="Arial" w:eastAsia="Calibri" w:hAnsi="Arial" w:cs="Arial"/>
                <w:b/>
                <w:color w:val="FFFFFF" w:themeColor="background1"/>
                <w:sz w:val="20"/>
                <w:szCs w:val="20"/>
              </w:rPr>
              <w:t>п</w:t>
            </w:r>
            <w:r w:rsidRPr="00BC513A">
              <w:rPr>
                <w:rFonts w:ascii="Arial" w:eastAsia="Calibri" w:hAnsi="Arial" w:cs="Arial"/>
                <w:b/>
                <w:color w:val="FFFFFF" w:themeColor="background1"/>
                <w:sz w:val="20"/>
                <w:szCs w:val="20"/>
              </w:rPr>
              <w:t>рограмата</w:t>
            </w:r>
          </w:p>
        </w:tc>
        <w:tc>
          <w:tcPr>
            <w:tcW w:w="1105" w:type="dxa"/>
            <w:shd w:val="clear" w:color="auto" w:fill="1F4E79"/>
            <w:vAlign w:val="center"/>
          </w:tcPr>
          <w:p w14:paraId="08060B60"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color w:val="FFFFFF" w:themeColor="background1"/>
                <w:sz w:val="20"/>
                <w:szCs w:val="20"/>
              </w:rPr>
              <w:t>%</w:t>
            </w:r>
          </w:p>
        </w:tc>
      </w:tr>
      <w:tr w:rsidR="00E8617E" w:rsidRPr="00BC513A" w14:paraId="707AA0AC" w14:textId="77777777" w:rsidTr="00932807">
        <w:tc>
          <w:tcPr>
            <w:tcW w:w="3227" w:type="dxa"/>
            <w:vAlign w:val="center"/>
          </w:tcPr>
          <w:p w14:paraId="717D4A9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на подпомогнатите нови туристически дейности</w:t>
            </w:r>
          </w:p>
        </w:tc>
        <w:tc>
          <w:tcPr>
            <w:tcW w:w="1559" w:type="dxa"/>
            <w:vAlign w:val="center"/>
          </w:tcPr>
          <w:p w14:paraId="6EA3109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250</w:t>
            </w:r>
          </w:p>
        </w:tc>
        <w:tc>
          <w:tcPr>
            <w:tcW w:w="1730" w:type="dxa"/>
            <w:vAlign w:val="center"/>
          </w:tcPr>
          <w:p w14:paraId="00BF6DC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206</w:t>
            </w:r>
          </w:p>
        </w:tc>
        <w:tc>
          <w:tcPr>
            <w:tcW w:w="1984" w:type="dxa"/>
            <w:vAlign w:val="center"/>
          </w:tcPr>
          <w:p w14:paraId="4AE45DA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57</w:t>
            </w:r>
          </w:p>
        </w:tc>
        <w:tc>
          <w:tcPr>
            <w:tcW w:w="1105" w:type="dxa"/>
            <w:vAlign w:val="center"/>
          </w:tcPr>
          <w:p w14:paraId="35EA16D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28%</w:t>
            </w:r>
          </w:p>
        </w:tc>
      </w:tr>
      <w:tr w:rsidR="00E8617E" w:rsidRPr="00BC513A" w14:paraId="54C868E1" w14:textId="77777777" w:rsidTr="00932807">
        <w:tc>
          <w:tcPr>
            <w:tcW w:w="3227" w:type="dxa"/>
            <w:vAlign w:val="center"/>
          </w:tcPr>
          <w:p w14:paraId="2B72E8A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Общ обем на инвестициите в млн. евро</w:t>
            </w:r>
          </w:p>
        </w:tc>
        <w:tc>
          <w:tcPr>
            <w:tcW w:w="1559" w:type="dxa"/>
            <w:vAlign w:val="center"/>
          </w:tcPr>
          <w:p w14:paraId="72537C5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38</w:t>
            </w:r>
          </w:p>
        </w:tc>
        <w:tc>
          <w:tcPr>
            <w:tcW w:w="1730" w:type="dxa"/>
            <w:vAlign w:val="center"/>
          </w:tcPr>
          <w:p w14:paraId="07D53E1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32</w:t>
            </w:r>
          </w:p>
        </w:tc>
        <w:tc>
          <w:tcPr>
            <w:tcW w:w="1984" w:type="dxa"/>
            <w:vAlign w:val="center"/>
          </w:tcPr>
          <w:p w14:paraId="1ABBCC3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27</w:t>
            </w:r>
          </w:p>
        </w:tc>
        <w:tc>
          <w:tcPr>
            <w:tcW w:w="1105" w:type="dxa"/>
            <w:vAlign w:val="center"/>
          </w:tcPr>
          <w:p w14:paraId="3195A42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84%</w:t>
            </w:r>
          </w:p>
        </w:tc>
      </w:tr>
      <w:tr w:rsidR="00E8617E" w:rsidRPr="00BC513A" w14:paraId="3F50CE6A" w14:textId="77777777" w:rsidTr="00932807">
        <w:trPr>
          <w:trHeight w:val="254"/>
        </w:trPr>
        <w:tc>
          <w:tcPr>
            <w:tcW w:w="3227" w:type="dxa"/>
            <w:vAlign w:val="center"/>
          </w:tcPr>
          <w:p w14:paraId="276C565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на еднодневните посетители</w:t>
            </w:r>
          </w:p>
        </w:tc>
        <w:tc>
          <w:tcPr>
            <w:tcW w:w="1559" w:type="dxa"/>
            <w:vAlign w:val="center"/>
          </w:tcPr>
          <w:p w14:paraId="0239BA0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4 000</w:t>
            </w:r>
          </w:p>
        </w:tc>
        <w:tc>
          <w:tcPr>
            <w:tcW w:w="1730" w:type="dxa"/>
            <w:vAlign w:val="center"/>
          </w:tcPr>
          <w:p w14:paraId="7BA15CC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3 297</w:t>
            </w:r>
          </w:p>
        </w:tc>
        <w:tc>
          <w:tcPr>
            <w:tcW w:w="1984" w:type="dxa"/>
            <w:vAlign w:val="center"/>
          </w:tcPr>
          <w:p w14:paraId="787122C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877 754</w:t>
            </w:r>
          </w:p>
        </w:tc>
        <w:tc>
          <w:tcPr>
            <w:tcW w:w="1105" w:type="dxa"/>
            <w:vAlign w:val="center"/>
          </w:tcPr>
          <w:p w14:paraId="274FE6AA" w14:textId="77777777" w:rsidR="00E8617E" w:rsidRPr="00BC513A" w:rsidRDefault="00794F67" w:rsidP="00922731">
            <w:pPr>
              <w:jc w:val="center"/>
              <w:rPr>
                <w:rFonts w:ascii="Arial" w:hAnsi="Arial" w:cs="Arial"/>
                <w:sz w:val="20"/>
                <w:szCs w:val="20"/>
              </w:rPr>
            </w:pPr>
            <w:r>
              <w:rPr>
                <w:rFonts w:ascii="Arial" w:hAnsi="Arial" w:cs="Arial"/>
                <w:sz w:val="20"/>
                <w:szCs w:val="20"/>
              </w:rPr>
              <w:t>26 622%</w:t>
            </w:r>
          </w:p>
        </w:tc>
      </w:tr>
      <w:tr w:rsidR="00E8617E" w:rsidRPr="00BC513A" w14:paraId="1DC238A6" w14:textId="77777777" w:rsidTr="00932807">
        <w:trPr>
          <w:trHeight w:val="253"/>
        </w:trPr>
        <w:tc>
          <w:tcPr>
            <w:tcW w:w="3227" w:type="dxa"/>
            <w:vAlign w:val="center"/>
          </w:tcPr>
          <w:p w14:paraId="1A0B9D5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на нощувките</w:t>
            </w:r>
          </w:p>
        </w:tc>
        <w:tc>
          <w:tcPr>
            <w:tcW w:w="1559" w:type="dxa"/>
            <w:vAlign w:val="center"/>
          </w:tcPr>
          <w:p w14:paraId="4AA0BEF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4 000</w:t>
            </w:r>
          </w:p>
        </w:tc>
        <w:tc>
          <w:tcPr>
            <w:tcW w:w="1730" w:type="dxa"/>
            <w:vAlign w:val="center"/>
          </w:tcPr>
          <w:p w14:paraId="13CBF7A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3 297</w:t>
            </w:r>
          </w:p>
        </w:tc>
        <w:tc>
          <w:tcPr>
            <w:tcW w:w="1984" w:type="dxa"/>
            <w:vAlign w:val="center"/>
          </w:tcPr>
          <w:p w14:paraId="12E9AD2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253 186</w:t>
            </w:r>
          </w:p>
        </w:tc>
        <w:tc>
          <w:tcPr>
            <w:tcW w:w="1105" w:type="dxa"/>
            <w:vAlign w:val="center"/>
          </w:tcPr>
          <w:p w14:paraId="29A4439A" w14:textId="77777777" w:rsidR="00E8617E" w:rsidRPr="00BC513A" w:rsidRDefault="00794F67" w:rsidP="00794F67">
            <w:pPr>
              <w:jc w:val="center"/>
              <w:rPr>
                <w:rFonts w:ascii="Arial" w:hAnsi="Arial" w:cs="Arial"/>
                <w:sz w:val="20"/>
                <w:szCs w:val="20"/>
              </w:rPr>
            </w:pPr>
            <w:r>
              <w:rPr>
                <w:rFonts w:ascii="Arial" w:hAnsi="Arial" w:cs="Arial"/>
                <w:sz w:val="20"/>
                <w:szCs w:val="20"/>
              </w:rPr>
              <w:t>7 679%</w:t>
            </w:r>
          </w:p>
        </w:tc>
      </w:tr>
      <w:tr w:rsidR="00E8617E" w:rsidRPr="00BC513A" w14:paraId="70FA76DA" w14:textId="77777777" w:rsidTr="00932807">
        <w:trPr>
          <w:trHeight w:val="253"/>
        </w:trPr>
        <w:tc>
          <w:tcPr>
            <w:tcW w:w="3227" w:type="dxa"/>
            <w:vAlign w:val="center"/>
          </w:tcPr>
          <w:p w14:paraId="3F03F9A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Общ брой на създадените работни места*</w:t>
            </w:r>
          </w:p>
        </w:tc>
        <w:tc>
          <w:tcPr>
            <w:tcW w:w="1559" w:type="dxa"/>
            <w:vAlign w:val="center"/>
          </w:tcPr>
          <w:p w14:paraId="168CF16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300</w:t>
            </w:r>
          </w:p>
        </w:tc>
        <w:tc>
          <w:tcPr>
            <w:tcW w:w="1730" w:type="dxa"/>
            <w:vAlign w:val="center"/>
          </w:tcPr>
          <w:p w14:paraId="3815DAA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247</w:t>
            </w:r>
          </w:p>
        </w:tc>
        <w:tc>
          <w:tcPr>
            <w:tcW w:w="1984" w:type="dxa"/>
            <w:vAlign w:val="center"/>
          </w:tcPr>
          <w:p w14:paraId="39730C0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489</w:t>
            </w:r>
          </w:p>
        </w:tc>
        <w:tc>
          <w:tcPr>
            <w:tcW w:w="1105" w:type="dxa"/>
            <w:vAlign w:val="center"/>
          </w:tcPr>
          <w:p w14:paraId="0DA0E83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198%</w:t>
            </w:r>
          </w:p>
        </w:tc>
      </w:tr>
    </w:tbl>
    <w:p w14:paraId="53AE6B5A" w14:textId="77777777" w:rsidR="00E8617E" w:rsidRPr="00F07F15" w:rsidRDefault="00E8617E" w:rsidP="00E8617E">
      <w:pPr>
        <w:spacing w:after="0" w:line="276" w:lineRule="auto"/>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Източник: Годишен доклад за напредъка на ПРСР 2007-2013г. за 2015г.</w:t>
      </w:r>
    </w:p>
    <w:p w14:paraId="655933BC" w14:textId="77777777" w:rsidR="00E8617E" w:rsidRPr="00BC513A" w:rsidRDefault="00E8617E" w:rsidP="00840BE9">
      <w:pPr>
        <w:spacing w:before="240" w:after="120"/>
        <w:ind w:firstLine="709"/>
        <w:jc w:val="both"/>
        <w:rPr>
          <w:rFonts w:ascii="Arial" w:hAnsi="Arial" w:cs="Arial"/>
        </w:rPr>
      </w:pPr>
      <w:r w:rsidRPr="00BC513A">
        <w:rPr>
          <w:rFonts w:ascii="Arial" w:hAnsi="Arial" w:cs="Arial"/>
        </w:rPr>
        <w:t>Анализът на количествената информация позволява да се направи качествен анализ и оценка по отношение напредъка, насочеността и окончателното изпълнение на проектите по мярката, както следва:</w:t>
      </w:r>
    </w:p>
    <w:p w14:paraId="2A229D8C" w14:textId="77777777" w:rsidR="00E8617E" w:rsidRPr="00BC513A" w:rsidRDefault="00E8617E" w:rsidP="00E8617E">
      <w:pPr>
        <w:pStyle w:val="ListParagraph"/>
        <w:numPr>
          <w:ilvl w:val="1"/>
          <w:numId w:val="49"/>
        </w:numPr>
        <w:jc w:val="both"/>
        <w:rPr>
          <w:rFonts w:ascii="Arial" w:hAnsi="Arial" w:cs="Arial"/>
        </w:rPr>
      </w:pPr>
      <w:r w:rsidRPr="00BC513A">
        <w:rPr>
          <w:rFonts w:ascii="Arial" w:hAnsi="Arial" w:cs="Arial"/>
        </w:rPr>
        <w:t>При установено близо 100 % финансово изпълнение на бюджета за мярката и постигане на 84% от заложените количествени цели относно сума на инвестициите за сметка на 28% по отношение броя подпомогнати дейности в рамките на 179 приключили с изплащане на окончателна субсидия проекти, мярката се оценява като успешно изпълнена.</w:t>
      </w:r>
    </w:p>
    <w:p w14:paraId="0D02CD11" w14:textId="77777777" w:rsidR="00E8617E" w:rsidRPr="00BC513A" w:rsidRDefault="00E8617E" w:rsidP="00E8617E">
      <w:pPr>
        <w:pStyle w:val="ListParagraph"/>
        <w:numPr>
          <w:ilvl w:val="1"/>
          <w:numId w:val="49"/>
        </w:numPr>
        <w:jc w:val="both"/>
        <w:rPr>
          <w:rFonts w:ascii="Arial" w:hAnsi="Arial" w:cs="Arial"/>
        </w:rPr>
      </w:pPr>
      <w:r w:rsidRPr="00BC513A">
        <w:rPr>
          <w:rFonts w:ascii="Arial" w:hAnsi="Arial" w:cs="Arial"/>
        </w:rPr>
        <w:t>Макар и само с близо една четвърт от планирания брой подпомогнати нови туристически дейности, реално са постигнати 84% изпълнение спрямо планирания обем на инвестиционна подкрепа за бенефициентите по мярка, с което от своя страна са преизпълнени всички заложени специфични индикатори за резултат, в т.ч. е увеличен броя</w:t>
      </w:r>
      <w:r w:rsidR="00B71FA2">
        <w:rPr>
          <w:rFonts w:ascii="Arial" w:hAnsi="Arial" w:cs="Arial"/>
        </w:rPr>
        <w:t>т</w:t>
      </w:r>
      <w:r w:rsidRPr="00BC513A">
        <w:rPr>
          <w:rFonts w:ascii="Arial" w:hAnsi="Arial" w:cs="Arial"/>
        </w:rPr>
        <w:t xml:space="preserve"> на туристите на база еднодневни посещения и нощувки;</w:t>
      </w:r>
    </w:p>
    <w:p w14:paraId="3F81CA69" w14:textId="77777777" w:rsidR="00E8617E" w:rsidRPr="00BC513A" w:rsidRDefault="00E8617E" w:rsidP="00E8617E">
      <w:pPr>
        <w:pStyle w:val="ListParagraph"/>
        <w:numPr>
          <w:ilvl w:val="1"/>
          <w:numId w:val="49"/>
        </w:numPr>
        <w:jc w:val="both"/>
        <w:rPr>
          <w:rFonts w:ascii="Arial" w:hAnsi="Arial" w:cs="Arial"/>
        </w:rPr>
      </w:pPr>
      <w:r w:rsidRPr="00BC513A">
        <w:rPr>
          <w:rFonts w:ascii="Arial" w:hAnsi="Arial" w:cs="Arial"/>
        </w:rPr>
        <w:t>Създадени са почти два пъти повече от планираните работни места в предлагането на туристически услуги;</w:t>
      </w:r>
    </w:p>
    <w:p w14:paraId="713EF1B0" w14:textId="77777777" w:rsidR="00E8617E" w:rsidRPr="00BC513A" w:rsidRDefault="00E8617E" w:rsidP="00E8617E">
      <w:pPr>
        <w:ind w:firstLine="708"/>
        <w:jc w:val="both"/>
        <w:rPr>
          <w:rFonts w:ascii="Arial" w:hAnsi="Arial" w:cs="Arial"/>
        </w:rPr>
      </w:pPr>
      <w:r w:rsidRPr="00BC513A">
        <w:rPr>
          <w:rFonts w:ascii="Arial" w:hAnsi="Arial" w:cs="Arial"/>
        </w:rPr>
        <w:t xml:space="preserve">При изпълнението на мярката се установява балансиран подход при интервенцията според насочеността на инвестиционната подкрепа в подобрена туристическа инфраструктура, създадени туристически атракции и </w:t>
      </w:r>
      <w:r w:rsidR="00794F67">
        <w:rPr>
          <w:rFonts w:ascii="Arial" w:hAnsi="Arial" w:cs="Arial"/>
        </w:rPr>
        <w:t>насърчаване развитието на</w:t>
      </w:r>
      <w:r w:rsidRPr="00BC513A">
        <w:rPr>
          <w:rFonts w:ascii="Arial" w:hAnsi="Arial" w:cs="Arial"/>
        </w:rPr>
        <w:t xml:space="preserve"> съпътстващи услуги:</w:t>
      </w:r>
    </w:p>
    <w:p w14:paraId="16CADB16" w14:textId="77777777" w:rsidR="00E8617E" w:rsidRPr="00BC513A" w:rsidRDefault="00E8617E" w:rsidP="00E8617E">
      <w:pPr>
        <w:keepNext/>
        <w:spacing w:before="240" w:after="0" w:line="240" w:lineRule="auto"/>
        <w:rPr>
          <w:rFonts w:ascii="Arial" w:eastAsia="Calibri" w:hAnsi="Arial" w:cs="Arial"/>
          <w:b/>
          <w:iCs/>
          <w:color w:val="0070C0"/>
          <w:sz w:val="20"/>
          <w:szCs w:val="20"/>
        </w:rPr>
      </w:pPr>
      <w:bookmarkStart w:id="171" w:name="_Toc504136243"/>
      <w:r w:rsidRPr="00BC513A">
        <w:rPr>
          <w:rFonts w:ascii="Arial" w:eastAsia="Calibri" w:hAnsi="Arial" w:cs="Arial"/>
          <w:b/>
          <w:iCs/>
          <w:color w:val="0070C0"/>
          <w:sz w:val="20"/>
          <w:szCs w:val="20"/>
        </w:rPr>
        <w:t xml:space="preserve">Таблица </w:t>
      </w:r>
      <w:r w:rsidRPr="00BC513A">
        <w:rPr>
          <w:rFonts w:ascii="Arial" w:eastAsia="Calibri" w:hAnsi="Arial" w:cs="Arial"/>
          <w:b/>
          <w:iCs/>
          <w:color w:val="0070C0"/>
          <w:sz w:val="20"/>
          <w:szCs w:val="20"/>
        </w:rPr>
        <w:fldChar w:fldCharType="begin"/>
      </w:r>
      <w:r w:rsidRPr="00BC513A">
        <w:rPr>
          <w:rFonts w:ascii="Arial" w:eastAsia="Calibri" w:hAnsi="Arial" w:cs="Arial"/>
          <w:b/>
          <w:iCs/>
          <w:color w:val="0070C0"/>
          <w:sz w:val="20"/>
          <w:szCs w:val="20"/>
        </w:rPr>
        <w:instrText xml:space="preserve"> SEQ Таблица \* ARABIC </w:instrText>
      </w:r>
      <w:r w:rsidRPr="00BC513A">
        <w:rPr>
          <w:rFonts w:ascii="Arial" w:eastAsia="Calibri" w:hAnsi="Arial" w:cs="Arial"/>
          <w:b/>
          <w:iCs/>
          <w:color w:val="0070C0"/>
          <w:sz w:val="20"/>
          <w:szCs w:val="20"/>
        </w:rPr>
        <w:fldChar w:fldCharType="separate"/>
      </w:r>
      <w:r w:rsidR="0023010D">
        <w:rPr>
          <w:rFonts w:ascii="Arial" w:eastAsia="Calibri" w:hAnsi="Arial" w:cs="Arial"/>
          <w:b/>
          <w:iCs/>
          <w:noProof/>
          <w:color w:val="0070C0"/>
          <w:sz w:val="20"/>
          <w:szCs w:val="20"/>
        </w:rPr>
        <w:t>71</w:t>
      </w:r>
      <w:r w:rsidRPr="00BC513A">
        <w:rPr>
          <w:rFonts w:ascii="Arial" w:eastAsia="Calibri" w:hAnsi="Arial" w:cs="Arial"/>
          <w:b/>
          <w:iCs/>
          <w:color w:val="0070C0"/>
          <w:sz w:val="20"/>
          <w:szCs w:val="20"/>
        </w:rPr>
        <w:fldChar w:fldCharType="end"/>
      </w:r>
      <w:r w:rsidRPr="00BC513A">
        <w:rPr>
          <w:rFonts w:ascii="Arial" w:eastAsia="Calibri" w:hAnsi="Arial" w:cs="Arial"/>
          <w:b/>
          <w:iCs/>
          <w:color w:val="0070C0"/>
          <w:sz w:val="20"/>
          <w:szCs w:val="20"/>
        </w:rPr>
        <w:t>. Разпределение на туристическите дейности по вид</w:t>
      </w:r>
      <w:bookmarkEnd w:id="171"/>
      <w:r w:rsidRPr="00BC513A">
        <w:rPr>
          <w:rFonts w:ascii="Arial" w:eastAsia="Calibri" w:hAnsi="Arial" w:cs="Arial"/>
          <w:b/>
          <w:iCs/>
          <w:color w:val="0070C0"/>
          <w:sz w:val="20"/>
          <w:szCs w:val="20"/>
        </w:rPr>
        <w:t xml:space="preserve"> </w:t>
      </w:r>
    </w:p>
    <w:tbl>
      <w:tblPr>
        <w:tblStyle w:val="TableGrid"/>
        <w:tblW w:w="0" w:type="auto"/>
        <w:tblLook w:val="04A0" w:firstRow="1" w:lastRow="0" w:firstColumn="1" w:lastColumn="0" w:noHBand="0" w:noVBand="1"/>
      </w:tblPr>
      <w:tblGrid>
        <w:gridCol w:w="5382"/>
        <w:gridCol w:w="3634"/>
      </w:tblGrid>
      <w:tr w:rsidR="00E8617E" w:rsidRPr="00BC513A" w14:paraId="37C9505E" w14:textId="77777777" w:rsidTr="00535876">
        <w:trPr>
          <w:tblHeader/>
        </w:trPr>
        <w:tc>
          <w:tcPr>
            <w:tcW w:w="5382" w:type="dxa"/>
            <w:tcBorders>
              <w:bottom w:val="single" w:sz="4" w:space="0" w:color="auto"/>
            </w:tcBorders>
            <w:shd w:val="clear" w:color="auto" w:fill="1F4E79"/>
            <w:vAlign w:val="center"/>
          </w:tcPr>
          <w:p w14:paraId="7F438F10" w14:textId="77777777" w:rsidR="00E8617E" w:rsidRPr="00BC513A" w:rsidRDefault="00E8617E" w:rsidP="00922731">
            <w:pPr>
              <w:keepNext/>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Вид дейности</w:t>
            </w:r>
          </w:p>
        </w:tc>
        <w:tc>
          <w:tcPr>
            <w:tcW w:w="3634" w:type="dxa"/>
            <w:tcBorders>
              <w:bottom w:val="single" w:sz="4" w:space="0" w:color="auto"/>
            </w:tcBorders>
            <w:shd w:val="clear" w:color="auto" w:fill="1F4E79"/>
            <w:vAlign w:val="center"/>
          </w:tcPr>
          <w:p w14:paraId="5DD4623B" w14:textId="77777777" w:rsidR="00E8617E" w:rsidRPr="00BC513A" w:rsidRDefault="00E8617E" w:rsidP="00922731">
            <w:pPr>
              <w:keepNext/>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Брой на новите подкрепени туристически дейности</w:t>
            </w:r>
          </w:p>
        </w:tc>
      </w:tr>
      <w:tr w:rsidR="00E8617E" w:rsidRPr="00BC513A" w14:paraId="62E1B1C1" w14:textId="77777777" w:rsidTr="00922731">
        <w:tc>
          <w:tcPr>
            <w:tcW w:w="5382" w:type="dxa"/>
            <w:shd w:val="clear" w:color="auto" w:fill="FFFFFF" w:themeFill="background1"/>
            <w:vAlign w:val="center"/>
          </w:tcPr>
          <w:p w14:paraId="411D054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Малка инфраструктура (информационни центрове, обозначаване на туристически обекти и др.)</w:t>
            </w:r>
          </w:p>
        </w:tc>
        <w:tc>
          <w:tcPr>
            <w:tcW w:w="3634" w:type="dxa"/>
            <w:shd w:val="clear" w:color="auto" w:fill="FFFFFF" w:themeFill="background1"/>
            <w:vAlign w:val="center"/>
          </w:tcPr>
          <w:p w14:paraId="1161756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50</w:t>
            </w:r>
          </w:p>
        </w:tc>
      </w:tr>
      <w:tr w:rsidR="00E8617E" w:rsidRPr="00BC513A" w14:paraId="40854C96" w14:textId="77777777" w:rsidTr="00922731">
        <w:tc>
          <w:tcPr>
            <w:tcW w:w="5382" w:type="dxa"/>
            <w:tcBorders>
              <w:bottom w:val="single" w:sz="4" w:space="0" w:color="auto"/>
            </w:tcBorders>
            <w:shd w:val="clear" w:color="auto" w:fill="FFFFFF" w:themeFill="background1"/>
            <w:vAlign w:val="center"/>
          </w:tcPr>
          <w:p w14:paraId="076D21F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Развлекателна инфраструктура (предлагане на достъп до природни зони, настаняване с малък капацитет и др.)</w:t>
            </w:r>
          </w:p>
        </w:tc>
        <w:tc>
          <w:tcPr>
            <w:tcW w:w="3634" w:type="dxa"/>
            <w:tcBorders>
              <w:bottom w:val="single" w:sz="4" w:space="0" w:color="auto"/>
            </w:tcBorders>
            <w:shd w:val="clear" w:color="auto" w:fill="FFFFFF" w:themeFill="background1"/>
            <w:vAlign w:val="center"/>
          </w:tcPr>
          <w:p w14:paraId="00BBD27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73</w:t>
            </w:r>
          </w:p>
        </w:tc>
      </w:tr>
      <w:tr w:rsidR="00E8617E" w:rsidRPr="00BC513A" w14:paraId="3EB5C266" w14:textId="77777777" w:rsidTr="00922731">
        <w:tc>
          <w:tcPr>
            <w:tcW w:w="53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D7E2E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Развитие/Маркетинг на селски туристически услуги</w:t>
            </w:r>
          </w:p>
        </w:tc>
        <w:tc>
          <w:tcPr>
            <w:tcW w:w="36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29412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58</w:t>
            </w:r>
          </w:p>
        </w:tc>
      </w:tr>
    </w:tbl>
    <w:p w14:paraId="5DEF8A4F" w14:textId="77777777" w:rsidR="00E8617E" w:rsidRPr="00F07F15" w:rsidRDefault="00E8617E" w:rsidP="00E8617E">
      <w:pPr>
        <w:jc w:val="both"/>
        <w:rPr>
          <w:rFonts w:ascii="Arial" w:hAnsi="Arial" w:cs="Arial"/>
          <w:sz w:val="18"/>
          <w:szCs w:val="18"/>
        </w:rPr>
      </w:pPr>
      <w:r w:rsidRPr="00F07F15">
        <w:rPr>
          <w:rFonts w:ascii="Arial" w:hAnsi="Arial" w:cs="Arial"/>
          <w:sz w:val="18"/>
          <w:szCs w:val="18"/>
        </w:rPr>
        <w:t>Източник: Годишен доклад за всички индикатори</w:t>
      </w:r>
    </w:p>
    <w:p w14:paraId="4999EEF0" w14:textId="77777777" w:rsidR="00E8617E" w:rsidRDefault="00E8617E" w:rsidP="00535876">
      <w:pPr>
        <w:pStyle w:val="DefaultText"/>
        <w:spacing w:line="300" w:lineRule="atLeast"/>
        <w:ind w:firstLine="360"/>
        <w:rPr>
          <w:sz w:val="22"/>
          <w:szCs w:val="22"/>
          <w:lang w:val="bg-BG"/>
        </w:rPr>
      </w:pPr>
      <w:r w:rsidRPr="00BC513A">
        <w:rPr>
          <w:sz w:val="22"/>
          <w:szCs w:val="22"/>
          <w:lang w:val="bg-BG"/>
        </w:rPr>
        <w:t xml:space="preserve">По данни от ДФЗ-РА регионалното изпълнение на мярка 313 към приключване на </w:t>
      </w:r>
      <w:r w:rsidR="000F57E9">
        <w:rPr>
          <w:sz w:val="22"/>
          <w:szCs w:val="22"/>
          <w:lang w:val="bg-BG"/>
        </w:rPr>
        <w:t>п</w:t>
      </w:r>
      <w:r w:rsidRPr="00BC513A">
        <w:rPr>
          <w:sz w:val="22"/>
          <w:szCs w:val="22"/>
          <w:lang w:val="bg-BG"/>
        </w:rPr>
        <w:t>рограмата, има следното измерение:</w:t>
      </w:r>
    </w:p>
    <w:p w14:paraId="5ABEEA74" w14:textId="77777777" w:rsidR="00E8617E" w:rsidRPr="00BC513A" w:rsidRDefault="00E8617E" w:rsidP="00E8617E">
      <w:pPr>
        <w:pStyle w:val="DefaultText"/>
        <w:spacing w:after="120" w:line="300" w:lineRule="atLeast"/>
        <w:ind w:firstLine="360"/>
        <w:rPr>
          <w:sz w:val="22"/>
          <w:szCs w:val="22"/>
          <w:lang w:val="bg-BG"/>
        </w:rPr>
      </w:pPr>
      <w:r w:rsidRPr="00BC513A">
        <w:rPr>
          <w:noProof/>
          <w:lang w:val="en-US" w:eastAsia="en-US"/>
        </w:rPr>
        <w:drawing>
          <wp:inline distT="0" distB="0" distL="0" distR="0" wp14:anchorId="1B5C7CA3" wp14:editId="3778EF06">
            <wp:extent cx="5464810" cy="4715584"/>
            <wp:effectExtent l="0" t="0" r="2540" b="8890"/>
            <wp:docPr id="5165" name="Chart 51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69353C7B" w14:textId="77777777" w:rsidR="00E8617E" w:rsidRPr="00F07F15" w:rsidRDefault="00E8617E" w:rsidP="00535876">
      <w:pPr>
        <w:spacing w:after="0" w:line="240" w:lineRule="auto"/>
        <w:ind w:left="425"/>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 xml:space="preserve">Източник: По данни на ДФЗ-РА </w:t>
      </w:r>
    </w:p>
    <w:p w14:paraId="3A5E1A71" w14:textId="77777777" w:rsidR="00E8617E" w:rsidRPr="00BC513A" w:rsidRDefault="00E8617E" w:rsidP="00E8617E">
      <w:pPr>
        <w:spacing w:after="120" w:line="300" w:lineRule="atLeast"/>
        <w:ind w:firstLine="708"/>
        <w:jc w:val="center"/>
        <w:rPr>
          <w:rFonts w:ascii="Times New Roman" w:eastAsia="Times New Roman" w:hAnsi="Times New Roman" w:cs="Times New Roman"/>
          <w:b/>
          <w:sz w:val="24"/>
          <w:szCs w:val="24"/>
          <w:lang w:eastAsia="nl-NL"/>
        </w:rPr>
      </w:pPr>
      <w:bookmarkStart w:id="172" w:name="_Toc506984723"/>
      <w:r w:rsidRPr="00BC513A">
        <w:rPr>
          <w:rFonts w:ascii="Arial" w:eastAsia="Times New Roman" w:hAnsi="Arial" w:cs="Arial"/>
          <w:b/>
          <w:color w:val="0070C0"/>
          <w:sz w:val="20"/>
          <w:szCs w:val="20"/>
          <w:lang w:eastAsia="nl-NL"/>
        </w:rPr>
        <w:t xml:space="preserve">Фигура </w:t>
      </w:r>
      <w:r w:rsidRPr="00BC513A">
        <w:rPr>
          <w:rFonts w:ascii="Arial" w:eastAsia="Times New Roman" w:hAnsi="Arial" w:cs="Arial"/>
          <w:b/>
          <w:color w:val="0070C0"/>
          <w:sz w:val="20"/>
          <w:szCs w:val="20"/>
          <w:lang w:eastAsia="nl-NL"/>
        </w:rPr>
        <w:fldChar w:fldCharType="begin"/>
      </w:r>
      <w:r w:rsidRPr="00BC513A">
        <w:rPr>
          <w:rFonts w:ascii="Arial" w:eastAsia="Times New Roman" w:hAnsi="Arial" w:cs="Arial"/>
          <w:b/>
          <w:color w:val="0070C0"/>
          <w:sz w:val="20"/>
          <w:szCs w:val="20"/>
          <w:lang w:eastAsia="nl-NL"/>
        </w:rPr>
        <w:instrText xml:space="preserve"> SEQ Фигура \* ARABIC </w:instrText>
      </w:r>
      <w:r w:rsidRPr="00BC513A">
        <w:rPr>
          <w:rFonts w:ascii="Arial" w:eastAsia="Times New Roman" w:hAnsi="Arial" w:cs="Arial"/>
          <w:b/>
          <w:color w:val="0070C0"/>
          <w:sz w:val="20"/>
          <w:szCs w:val="20"/>
          <w:lang w:eastAsia="nl-NL"/>
        </w:rPr>
        <w:fldChar w:fldCharType="separate"/>
      </w:r>
      <w:r w:rsidR="0023010D">
        <w:rPr>
          <w:rFonts w:ascii="Arial" w:eastAsia="Times New Roman" w:hAnsi="Arial" w:cs="Arial"/>
          <w:b/>
          <w:noProof/>
          <w:color w:val="0070C0"/>
          <w:sz w:val="20"/>
          <w:szCs w:val="20"/>
          <w:lang w:eastAsia="nl-NL"/>
        </w:rPr>
        <w:t>17</w:t>
      </w:r>
      <w:r w:rsidRPr="00BC513A">
        <w:rPr>
          <w:rFonts w:ascii="Arial" w:eastAsia="Times New Roman" w:hAnsi="Arial" w:cs="Arial"/>
          <w:b/>
          <w:color w:val="0070C0"/>
          <w:sz w:val="20"/>
          <w:szCs w:val="20"/>
          <w:lang w:eastAsia="nl-NL"/>
        </w:rPr>
        <w:fldChar w:fldCharType="end"/>
      </w:r>
      <w:r w:rsidRPr="00BC513A">
        <w:rPr>
          <w:rFonts w:ascii="Arial" w:eastAsia="Times New Roman" w:hAnsi="Arial" w:cs="Arial"/>
          <w:b/>
          <w:color w:val="0070C0"/>
          <w:sz w:val="20"/>
          <w:szCs w:val="20"/>
          <w:lang w:eastAsia="nl-NL"/>
        </w:rPr>
        <w:t>. Брой проекти по области подкрепени по мярка 313</w:t>
      </w:r>
      <w:bookmarkEnd w:id="172"/>
    </w:p>
    <w:p w14:paraId="2200C33D" w14:textId="77777777" w:rsidR="00837873" w:rsidRPr="00BC513A" w:rsidRDefault="00837873" w:rsidP="00837873">
      <w:pPr>
        <w:pStyle w:val="DefaultText"/>
        <w:numPr>
          <w:ilvl w:val="0"/>
          <w:numId w:val="50"/>
        </w:numPr>
        <w:spacing w:line="300" w:lineRule="atLeast"/>
        <w:rPr>
          <w:sz w:val="22"/>
          <w:szCs w:val="22"/>
          <w:lang w:val="bg-BG"/>
        </w:rPr>
      </w:pPr>
      <w:r>
        <w:rPr>
          <w:sz w:val="22"/>
          <w:szCs w:val="22"/>
          <w:lang w:val="bg-BG"/>
        </w:rPr>
        <w:t>Северозападен район (</w:t>
      </w:r>
      <w:r w:rsidRPr="00BC513A">
        <w:rPr>
          <w:sz w:val="22"/>
          <w:szCs w:val="22"/>
          <w:lang w:val="bg-BG"/>
        </w:rPr>
        <w:t>СЗР</w:t>
      </w:r>
      <w:r>
        <w:rPr>
          <w:sz w:val="22"/>
          <w:szCs w:val="22"/>
          <w:lang w:val="bg-BG"/>
        </w:rPr>
        <w:t>)</w:t>
      </w:r>
      <w:r w:rsidRPr="00BC513A">
        <w:rPr>
          <w:sz w:val="22"/>
          <w:szCs w:val="22"/>
          <w:lang w:val="bg-BG"/>
        </w:rPr>
        <w:t xml:space="preserve"> </w:t>
      </w:r>
      <w:r>
        <w:rPr>
          <w:sz w:val="22"/>
          <w:szCs w:val="22"/>
          <w:lang w:val="bg-BG"/>
        </w:rPr>
        <w:t xml:space="preserve">с </w:t>
      </w:r>
      <w:r w:rsidRPr="00BC513A">
        <w:rPr>
          <w:sz w:val="22"/>
          <w:szCs w:val="22"/>
          <w:lang w:val="bg-BG"/>
        </w:rPr>
        <w:t>вкл</w:t>
      </w:r>
      <w:r>
        <w:rPr>
          <w:sz w:val="22"/>
          <w:szCs w:val="22"/>
          <w:lang w:val="bg-BG"/>
        </w:rPr>
        <w:t>ючени</w:t>
      </w:r>
      <w:r w:rsidRPr="00BC513A">
        <w:rPr>
          <w:sz w:val="22"/>
          <w:szCs w:val="22"/>
          <w:lang w:val="bg-BG"/>
        </w:rPr>
        <w:t xml:space="preserve"> области Видин, Враца, Монтана, Ловеч и Плевен – 18 общини са изпълнили общо 31 проекта, няма проекти реализирани от други бенефициенти;</w:t>
      </w:r>
    </w:p>
    <w:p w14:paraId="124EADF7" w14:textId="77777777" w:rsidR="00837873" w:rsidRPr="00BC513A" w:rsidRDefault="00837873" w:rsidP="00837873">
      <w:pPr>
        <w:pStyle w:val="DefaultText"/>
        <w:numPr>
          <w:ilvl w:val="0"/>
          <w:numId w:val="50"/>
        </w:numPr>
        <w:spacing w:line="300" w:lineRule="atLeast"/>
        <w:rPr>
          <w:sz w:val="22"/>
          <w:szCs w:val="22"/>
          <w:lang w:val="bg-BG"/>
        </w:rPr>
      </w:pPr>
      <w:r>
        <w:rPr>
          <w:sz w:val="22"/>
          <w:szCs w:val="22"/>
          <w:lang w:val="bg-BG"/>
        </w:rPr>
        <w:t>Северен централен район (</w:t>
      </w:r>
      <w:r w:rsidRPr="00BC513A">
        <w:rPr>
          <w:sz w:val="22"/>
          <w:szCs w:val="22"/>
          <w:lang w:val="bg-BG"/>
        </w:rPr>
        <w:t>СЦР</w:t>
      </w:r>
      <w:r>
        <w:rPr>
          <w:sz w:val="22"/>
          <w:szCs w:val="22"/>
          <w:lang w:val="bg-BG"/>
        </w:rPr>
        <w:t>)</w:t>
      </w:r>
      <w:r w:rsidRPr="00BC513A">
        <w:rPr>
          <w:sz w:val="22"/>
          <w:szCs w:val="22"/>
          <w:lang w:val="bg-BG"/>
        </w:rPr>
        <w:t xml:space="preserve"> </w:t>
      </w:r>
      <w:r>
        <w:rPr>
          <w:sz w:val="22"/>
          <w:szCs w:val="22"/>
          <w:lang w:val="bg-BG"/>
        </w:rPr>
        <w:t xml:space="preserve">с </w:t>
      </w:r>
      <w:r w:rsidRPr="00BC513A">
        <w:rPr>
          <w:sz w:val="22"/>
          <w:szCs w:val="22"/>
          <w:lang w:val="bg-BG"/>
        </w:rPr>
        <w:t>вкл</w:t>
      </w:r>
      <w:r>
        <w:rPr>
          <w:sz w:val="22"/>
          <w:szCs w:val="22"/>
          <w:lang w:val="bg-BG"/>
        </w:rPr>
        <w:t>ючени</w:t>
      </w:r>
      <w:r w:rsidRPr="00BC513A">
        <w:rPr>
          <w:sz w:val="22"/>
          <w:szCs w:val="22"/>
          <w:lang w:val="bg-BG"/>
        </w:rPr>
        <w:t xml:space="preserve"> области Велико Търново, Габрово, Разград, Русе и Силистра – 7 общини са изпълнили общо 10 проекта и 1 проект е реализиран от СНЦ;</w:t>
      </w:r>
    </w:p>
    <w:p w14:paraId="6F74960C" w14:textId="77777777" w:rsidR="00837873" w:rsidRPr="00BC513A" w:rsidRDefault="00837873" w:rsidP="00837873">
      <w:pPr>
        <w:pStyle w:val="DefaultText"/>
        <w:numPr>
          <w:ilvl w:val="0"/>
          <w:numId w:val="50"/>
        </w:numPr>
        <w:spacing w:line="300" w:lineRule="atLeast"/>
        <w:rPr>
          <w:sz w:val="22"/>
          <w:szCs w:val="22"/>
          <w:lang w:val="bg-BG"/>
        </w:rPr>
      </w:pPr>
      <w:r>
        <w:rPr>
          <w:sz w:val="22"/>
          <w:szCs w:val="22"/>
          <w:lang w:val="bg-BG"/>
        </w:rPr>
        <w:t>Североизточен район (</w:t>
      </w:r>
      <w:r w:rsidRPr="00BC513A">
        <w:rPr>
          <w:sz w:val="22"/>
          <w:szCs w:val="22"/>
          <w:lang w:val="bg-BG"/>
        </w:rPr>
        <w:t>СИР</w:t>
      </w:r>
      <w:r>
        <w:rPr>
          <w:sz w:val="22"/>
          <w:szCs w:val="22"/>
          <w:lang w:val="bg-BG"/>
        </w:rPr>
        <w:t>)</w:t>
      </w:r>
      <w:r w:rsidRPr="00BC513A">
        <w:rPr>
          <w:sz w:val="22"/>
          <w:szCs w:val="22"/>
          <w:lang w:val="bg-BG"/>
        </w:rPr>
        <w:t xml:space="preserve"> </w:t>
      </w:r>
      <w:r>
        <w:rPr>
          <w:sz w:val="22"/>
          <w:szCs w:val="22"/>
          <w:lang w:val="bg-BG"/>
        </w:rPr>
        <w:t xml:space="preserve">с </w:t>
      </w:r>
      <w:r w:rsidRPr="00BC513A">
        <w:rPr>
          <w:sz w:val="22"/>
          <w:szCs w:val="22"/>
          <w:lang w:val="bg-BG"/>
        </w:rPr>
        <w:t>вкл</w:t>
      </w:r>
      <w:r>
        <w:rPr>
          <w:sz w:val="22"/>
          <w:szCs w:val="22"/>
          <w:lang w:val="bg-BG"/>
        </w:rPr>
        <w:t>ючени</w:t>
      </w:r>
      <w:r w:rsidRPr="00BC513A">
        <w:rPr>
          <w:sz w:val="22"/>
          <w:szCs w:val="22"/>
          <w:lang w:val="bg-BG"/>
        </w:rPr>
        <w:t xml:space="preserve"> области Варна, Добрич, Търговище и Шумен – 7 общини са изпълнили общо 8 проекта, няма проекти реализирани от други бенефициенти;</w:t>
      </w:r>
    </w:p>
    <w:p w14:paraId="66AD48D6" w14:textId="77777777" w:rsidR="00837873" w:rsidRPr="00BC513A" w:rsidRDefault="00837873" w:rsidP="00837873">
      <w:pPr>
        <w:pStyle w:val="DefaultText"/>
        <w:numPr>
          <w:ilvl w:val="0"/>
          <w:numId w:val="50"/>
        </w:numPr>
        <w:spacing w:line="300" w:lineRule="atLeast"/>
        <w:rPr>
          <w:sz w:val="22"/>
          <w:szCs w:val="22"/>
          <w:lang w:val="bg-BG"/>
        </w:rPr>
      </w:pPr>
      <w:r>
        <w:rPr>
          <w:sz w:val="22"/>
          <w:szCs w:val="22"/>
          <w:lang w:val="bg-BG"/>
        </w:rPr>
        <w:t>Югозападен район (</w:t>
      </w:r>
      <w:r w:rsidRPr="00BC513A">
        <w:rPr>
          <w:sz w:val="22"/>
          <w:szCs w:val="22"/>
          <w:lang w:val="bg-BG"/>
        </w:rPr>
        <w:t>ЮЗР</w:t>
      </w:r>
      <w:r>
        <w:rPr>
          <w:sz w:val="22"/>
          <w:szCs w:val="22"/>
          <w:lang w:val="bg-BG"/>
        </w:rPr>
        <w:t xml:space="preserve">) с </w:t>
      </w:r>
      <w:r w:rsidRPr="00BC513A">
        <w:rPr>
          <w:sz w:val="22"/>
          <w:szCs w:val="22"/>
          <w:lang w:val="bg-BG"/>
        </w:rPr>
        <w:t>вкл</w:t>
      </w:r>
      <w:r>
        <w:rPr>
          <w:sz w:val="22"/>
          <w:szCs w:val="22"/>
          <w:lang w:val="bg-BG"/>
        </w:rPr>
        <w:t>ючени</w:t>
      </w:r>
      <w:r w:rsidRPr="00BC513A">
        <w:rPr>
          <w:sz w:val="22"/>
          <w:szCs w:val="22"/>
          <w:lang w:val="bg-BG"/>
        </w:rPr>
        <w:t xml:space="preserve"> области Бургас, Сливен, Стара Загора и Ямбол) – 23 общини са изпълнили общо 54 проекта, а 9 проекта са реализирани от ЮЛНЦ;</w:t>
      </w:r>
    </w:p>
    <w:p w14:paraId="20D02AF6" w14:textId="77777777" w:rsidR="00837873" w:rsidRPr="00BC513A" w:rsidRDefault="00837873" w:rsidP="00837873">
      <w:pPr>
        <w:pStyle w:val="DefaultText"/>
        <w:numPr>
          <w:ilvl w:val="0"/>
          <w:numId w:val="50"/>
        </w:numPr>
        <w:spacing w:line="300" w:lineRule="atLeast"/>
        <w:rPr>
          <w:sz w:val="22"/>
          <w:szCs w:val="22"/>
          <w:lang w:val="bg-BG"/>
        </w:rPr>
      </w:pPr>
      <w:r>
        <w:rPr>
          <w:sz w:val="22"/>
          <w:szCs w:val="22"/>
          <w:lang w:val="bg-BG"/>
        </w:rPr>
        <w:t>Южен централен район (</w:t>
      </w:r>
      <w:r w:rsidRPr="00BC513A">
        <w:rPr>
          <w:sz w:val="22"/>
          <w:szCs w:val="22"/>
          <w:lang w:val="bg-BG"/>
        </w:rPr>
        <w:t>ЮЦР</w:t>
      </w:r>
      <w:r>
        <w:rPr>
          <w:sz w:val="22"/>
          <w:szCs w:val="22"/>
          <w:lang w:val="bg-BG"/>
        </w:rPr>
        <w:t>) с</w:t>
      </w:r>
      <w:r w:rsidRPr="00BC513A">
        <w:rPr>
          <w:sz w:val="22"/>
          <w:szCs w:val="22"/>
          <w:lang w:val="bg-BG"/>
        </w:rPr>
        <w:t xml:space="preserve"> вкл</w:t>
      </w:r>
      <w:r>
        <w:rPr>
          <w:sz w:val="22"/>
          <w:szCs w:val="22"/>
          <w:lang w:val="bg-BG"/>
        </w:rPr>
        <w:t>ючени</w:t>
      </w:r>
      <w:r w:rsidRPr="00BC513A">
        <w:rPr>
          <w:sz w:val="22"/>
          <w:szCs w:val="22"/>
          <w:lang w:val="bg-BG"/>
        </w:rPr>
        <w:t xml:space="preserve"> области Благоевград, Кюстендил, Перник, Софийска и София – 17 общини са изпълнили общо 62 проекта, а 2 проекта са реализирани от други бенефициенти – сдружения в обществена полза;</w:t>
      </w:r>
    </w:p>
    <w:p w14:paraId="6D0CE473" w14:textId="77777777" w:rsidR="00837873" w:rsidRPr="00BC513A" w:rsidRDefault="00837873" w:rsidP="00837873">
      <w:pPr>
        <w:pStyle w:val="DefaultText"/>
        <w:numPr>
          <w:ilvl w:val="0"/>
          <w:numId w:val="50"/>
        </w:numPr>
        <w:spacing w:line="300" w:lineRule="atLeast"/>
        <w:rPr>
          <w:sz w:val="22"/>
          <w:szCs w:val="22"/>
          <w:lang w:val="bg-BG"/>
        </w:rPr>
      </w:pPr>
      <w:r>
        <w:rPr>
          <w:sz w:val="22"/>
          <w:szCs w:val="22"/>
          <w:lang w:val="bg-BG"/>
        </w:rPr>
        <w:t>Югоизточен район (</w:t>
      </w:r>
      <w:r w:rsidRPr="00BC513A">
        <w:rPr>
          <w:sz w:val="22"/>
          <w:szCs w:val="22"/>
          <w:lang w:val="bg-BG"/>
        </w:rPr>
        <w:t>ЮИР</w:t>
      </w:r>
      <w:r>
        <w:rPr>
          <w:sz w:val="22"/>
          <w:szCs w:val="22"/>
          <w:lang w:val="bg-BG"/>
        </w:rPr>
        <w:t>) с</w:t>
      </w:r>
      <w:r w:rsidRPr="00BC513A">
        <w:rPr>
          <w:sz w:val="22"/>
          <w:szCs w:val="22"/>
          <w:lang w:val="bg-BG"/>
        </w:rPr>
        <w:t xml:space="preserve"> вкл</w:t>
      </w:r>
      <w:r>
        <w:rPr>
          <w:sz w:val="22"/>
          <w:szCs w:val="22"/>
          <w:lang w:val="bg-BG"/>
        </w:rPr>
        <w:t>ючени</w:t>
      </w:r>
      <w:r w:rsidRPr="00BC513A">
        <w:rPr>
          <w:sz w:val="22"/>
          <w:szCs w:val="22"/>
          <w:lang w:val="bg-BG"/>
        </w:rPr>
        <w:t xml:space="preserve"> области Кърджали, Пазарджик, Пловдив, Смолян и Хасково – 5 общини са изпълнили общо 8 проекта, няма проекти реализирани от други бенефициенти.</w:t>
      </w:r>
    </w:p>
    <w:p w14:paraId="47294022" w14:textId="77777777" w:rsidR="00E8617E" w:rsidRPr="00BC513A" w:rsidRDefault="00E8617E" w:rsidP="00837873">
      <w:pPr>
        <w:pStyle w:val="DefaultText"/>
        <w:spacing w:before="120" w:after="120" w:line="300" w:lineRule="atLeast"/>
        <w:ind w:firstLine="709"/>
        <w:rPr>
          <w:sz w:val="22"/>
          <w:szCs w:val="22"/>
          <w:lang w:val="bg-BG"/>
        </w:rPr>
      </w:pPr>
      <w:r w:rsidRPr="00BC513A">
        <w:rPr>
          <w:sz w:val="22"/>
          <w:szCs w:val="22"/>
          <w:lang w:val="bg-BG"/>
        </w:rPr>
        <w:t>От така представените синтезирани данни е видно, че чувствително преобладават бенефициентите – общини</w:t>
      </w:r>
      <w:r w:rsidR="00E61965">
        <w:rPr>
          <w:sz w:val="22"/>
          <w:szCs w:val="22"/>
          <w:lang w:val="bg-BG"/>
        </w:rPr>
        <w:t>,</w:t>
      </w:r>
      <w:r w:rsidRPr="00BC513A">
        <w:rPr>
          <w:sz w:val="22"/>
          <w:szCs w:val="22"/>
          <w:lang w:val="bg-BG"/>
        </w:rPr>
        <w:t xml:space="preserve"> на фона на останалите ползватели на помощта</w:t>
      </w:r>
      <w:r w:rsidR="00E61965">
        <w:rPr>
          <w:sz w:val="22"/>
          <w:szCs w:val="22"/>
          <w:lang w:val="bg-BG"/>
        </w:rPr>
        <w:t>,</w:t>
      </w:r>
      <w:r w:rsidRPr="00BC513A">
        <w:rPr>
          <w:sz w:val="22"/>
          <w:szCs w:val="22"/>
          <w:lang w:val="bg-BG"/>
        </w:rPr>
        <w:t xml:space="preserve"> като в някои от районите за планиране (изцяло в Северна България) изобщо липсват проекти, изпълнявани от други бенефициенти. Най-много проекти по мярката са реализирани в ЮЦР и ЮЗР, следвани от близък брой общини от СЗР, но с наполовина изпълнен брой проекти.</w:t>
      </w:r>
    </w:p>
    <w:p w14:paraId="148E4573" w14:textId="2CA75094" w:rsidR="00E8617E" w:rsidRPr="00BC513A" w:rsidRDefault="00E8617E" w:rsidP="00E8617E">
      <w:pPr>
        <w:pStyle w:val="DefaultText"/>
        <w:spacing w:after="120" w:line="276" w:lineRule="auto"/>
        <w:ind w:firstLine="708"/>
        <w:rPr>
          <w:sz w:val="22"/>
          <w:szCs w:val="22"/>
          <w:lang w:val="bg-BG"/>
        </w:rPr>
      </w:pPr>
      <w:r w:rsidRPr="00BC513A">
        <w:rPr>
          <w:sz w:val="22"/>
          <w:szCs w:val="22"/>
          <w:lang w:val="bg-BG"/>
        </w:rPr>
        <w:t>В резултат на извършения анализ може да се заключи, че мярката има съществен принос към подобряване икономическото разнообразяване на бенефициентите. Основните ползи се изразяват в подпомагането на бенефициентите чрез инвестиции в подобряване състоянието и достъпа до съществуващата туристическа и рекреационна инфраструктура, непосредствено свързани с предлагането на нови туристически дейности и услуги на територията на селските общини, в т.ч.  туристически маршрути, еко пътеки, места за отдих и настаняване, организиране на фестивали и събития от местно значение и съпътстващите ги услуги, хотелиерство, ресторантьорство и др.</w:t>
      </w:r>
    </w:p>
    <w:p w14:paraId="310B123D" w14:textId="77777777" w:rsidR="00E8617E" w:rsidRPr="00BC513A" w:rsidRDefault="00E8617E" w:rsidP="00E8617E">
      <w:pPr>
        <w:pStyle w:val="DefaultText"/>
        <w:spacing w:after="120" w:line="276" w:lineRule="auto"/>
        <w:ind w:firstLine="708"/>
        <w:rPr>
          <w:sz w:val="22"/>
          <w:szCs w:val="22"/>
          <w:lang w:val="bg-BG"/>
        </w:rPr>
      </w:pPr>
      <w:r w:rsidRPr="00BC513A">
        <w:rPr>
          <w:sz w:val="22"/>
          <w:szCs w:val="22"/>
          <w:lang w:val="bg-BG"/>
        </w:rPr>
        <w:t xml:space="preserve">Както е видно от таблиците с данни по-горе, въпреки констатираното разминаване при общите индикатори за резултат и тяхното изпълнение в края на периода, по отношение на специфичните индикатори за мярка 313 е налице значително преизпълнение и по трите показателя: брой посетители/брой нощувки/брой работни места. Последното показва, че въпреки че по-малко от половината постъпили по мярката проектни предложения са реално изпълнени и изплатени от </w:t>
      </w:r>
      <w:r w:rsidR="000F57E9">
        <w:rPr>
          <w:sz w:val="22"/>
          <w:szCs w:val="22"/>
          <w:lang w:val="bg-BG"/>
        </w:rPr>
        <w:t>п</w:t>
      </w:r>
      <w:r w:rsidRPr="00BC513A">
        <w:rPr>
          <w:sz w:val="22"/>
          <w:szCs w:val="22"/>
          <w:lang w:val="bg-BG"/>
        </w:rPr>
        <w:t>рограмата, с вложения финансов ресурс е постигнато съществено въздействие върху разнообразяването на икономическите дейности на територията на селските общини в Република България, чрез увеличаване броя на посетителите на обновените туристически атракции, броя на нощуващите в местата за настаняване, както и чрез създаване на устойчиви работни места за населението. По този начин, прилагането на мярката отбелязва изцяло положителен ефект върху местната икономика на първо място като средство за намаляване на безработицата на местно равнище, както и чрез подобряване на базата и достъпа за предоставяне на разнообразни туристически продукти и услуги на местния пазар за целите на интегрирания селски туризъм в национален мащаб.</w:t>
      </w:r>
    </w:p>
    <w:p w14:paraId="10C77040" w14:textId="77777777" w:rsidR="00E8617E" w:rsidRPr="00BC513A" w:rsidRDefault="00E8617E" w:rsidP="00E8617E">
      <w:pPr>
        <w:pStyle w:val="ListParagraph"/>
        <w:keepNext/>
        <w:numPr>
          <w:ilvl w:val="0"/>
          <w:numId w:val="47"/>
        </w:numPr>
        <w:spacing w:before="240" w:after="120"/>
        <w:ind w:left="709" w:hanging="507"/>
        <w:contextualSpacing w:val="0"/>
        <w:jc w:val="both"/>
        <w:rPr>
          <w:rFonts w:ascii="Arial" w:hAnsi="Arial" w:cs="Arial"/>
          <w:color w:val="0070C0"/>
        </w:rPr>
      </w:pPr>
      <w:r w:rsidRPr="00BC513A">
        <w:rPr>
          <w:rFonts w:ascii="Arial" w:hAnsi="Arial" w:cs="Arial"/>
          <w:color w:val="0070C0"/>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w:t>
      </w:r>
      <w:r w:rsidRPr="00535876">
        <w:rPr>
          <w:vertAlign w:val="superscript"/>
        </w:rPr>
        <w:footnoteReference w:id="31"/>
      </w:r>
    </w:p>
    <w:p w14:paraId="4E2A02AB" w14:textId="6B9B11EA" w:rsidR="00E8617E" w:rsidRPr="00BC513A" w:rsidRDefault="00E8617E" w:rsidP="00E8617E">
      <w:pPr>
        <w:pStyle w:val="FootnoteText"/>
        <w:spacing w:after="120" w:line="300" w:lineRule="atLeast"/>
        <w:ind w:firstLine="709"/>
        <w:jc w:val="both"/>
        <w:rPr>
          <w:rFonts w:ascii="Arial" w:hAnsi="Arial"/>
          <w:lang w:eastAsia="nl-NL"/>
        </w:rPr>
      </w:pPr>
      <w:r w:rsidRPr="00BC513A">
        <w:rPr>
          <w:rFonts w:ascii="Arial" w:hAnsi="Arial"/>
          <w:lang w:eastAsia="nl-NL"/>
        </w:rPr>
        <w:t xml:space="preserve">Налице са следните взаимодействия между отделните мерки в обхвата на </w:t>
      </w:r>
      <w:r w:rsidR="009A20B6">
        <w:rPr>
          <w:rFonts w:ascii="Arial" w:hAnsi="Arial"/>
          <w:lang w:eastAsia="nl-NL"/>
        </w:rPr>
        <w:t>ч</w:t>
      </w:r>
      <w:r w:rsidRPr="00BC513A">
        <w:rPr>
          <w:rFonts w:ascii="Arial" w:hAnsi="Arial"/>
          <w:lang w:eastAsia="nl-NL"/>
        </w:rPr>
        <w:t>л</w:t>
      </w:r>
      <w:r w:rsidR="009A20B6">
        <w:rPr>
          <w:rFonts w:ascii="Arial" w:hAnsi="Arial"/>
          <w:lang w:eastAsia="nl-NL"/>
        </w:rPr>
        <w:t>. </w:t>
      </w:r>
      <w:r w:rsidRPr="00BC513A">
        <w:rPr>
          <w:rFonts w:ascii="Arial" w:hAnsi="Arial"/>
          <w:lang w:eastAsia="nl-NL"/>
        </w:rPr>
        <w:t>52(a) на Регламент 1698/2005, по отношение на вътрешното съгласуване:</w:t>
      </w:r>
    </w:p>
    <w:p w14:paraId="3CB53589" w14:textId="77777777" w:rsidR="00E8617E" w:rsidRPr="00BC513A" w:rsidRDefault="00E8617E" w:rsidP="00E8617E">
      <w:pPr>
        <w:keepNext/>
        <w:spacing w:before="240" w:after="0" w:line="300" w:lineRule="atLeast"/>
        <w:jc w:val="both"/>
        <w:rPr>
          <w:rFonts w:ascii="Arial" w:hAnsi="Arial" w:cs="Arial"/>
          <w:b/>
          <w:color w:val="0070C0"/>
          <w:sz w:val="20"/>
          <w:szCs w:val="20"/>
        </w:rPr>
      </w:pPr>
      <w:bookmarkStart w:id="173" w:name="_Toc504136244"/>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72</w:t>
      </w:r>
      <w:r w:rsidRPr="00BC513A">
        <w:rPr>
          <w:rFonts w:ascii="Arial" w:hAnsi="Arial" w:cs="Arial"/>
          <w:b/>
          <w:color w:val="0070C0"/>
          <w:sz w:val="20"/>
          <w:szCs w:val="20"/>
        </w:rPr>
        <w:fldChar w:fldCharType="end"/>
      </w:r>
      <w:r w:rsidR="00047E2D">
        <w:rPr>
          <w:rFonts w:ascii="Arial" w:hAnsi="Arial" w:cs="Arial"/>
          <w:b/>
          <w:color w:val="0070C0"/>
          <w:sz w:val="20"/>
          <w:szCs w:val="20"/>
        </w:rPr>
        <w:t>.</w:t>
      </w:r>
      <w:r w:rsidRPr="00BC513A">
        <w:rPr>
          <w:rFonts w:ascii="Arial" w:hAnsi="Arial" w:cs="Arial"/>
          <w:b/>
          <w:color w:val="0070C0"/>
          <w:sz w:val="20"/>
          <w:szCs w:val="20"/>
        </w:rPr>
        <w:t xml:space="preserve"> Взаимодействия между отделните мерки</w:t>
      </w:r>
      <w:bookmarkEnd w:id="173"/>
    </w:p>
    <w:tbl>
      <w:tblPr>
        <w:tblStyle w:val="TableGrid"/>
        <w:tblW w:w="8926" w:type="dxa"/>
        <w:tblLayout w:type="fixed"/>
        <w:tblLook w:val="04A0" w:firstRow="1" w:lastRow="0" w:firstColumn="1" w:lastColumn="0" w:noHBand="0" w:noVBand="1"/>
      </w:tblPr>
      <w:tblGrid>
        <w:gridCol w:w="6232"/>
        <w:gridCol w:w="993"/>
        <w:gridCol w:w="850"/>
        <w:gridCol w:w="851"/>
      </w:tblGrid>
      <w:tr w:rsidR="00E8617E" w:rsidRPr="00BC513A" w14:paraId="491F89F8" w14:textId="77777777" w:rsidTr="00535876">
        <w:trPr>
          <w:trHeight w:val="406"/>
          <w:tblHeader/>
        </w:trPr>
        <w:tc>
          <w:tcPr>
            <w:tcW w:w="6232" w:type="dxa"/>
            <w:shd w:val="clear" w:color="auto" w:fill="1F4E79"/>
          </w:tcPr>
          <w:p w14:paraId="0ED39354" w14:textId="77777777" w:rsidR="00E8617E" w:rsidRPr="00BC513A" w:rsidRDefault="00E8617E" w:rsidP="00922731">
            <w:pPr>
              <w:keepNext/>
              <w:jc w:val="right"/>
              <w:rPr>
                <w:rFonts w:ascii="Arial" w:hAnsi="Arial" w:cs="Arial"/>
                <w:b/>
                <w:color w:val="FFFFFF" w:themeColor="background1"/>
                <w:sz w:val="20"/>
                <w:szCs w:val="20"/>
              </w:rPr>
            </w:pPr>
            <w:r w:rsidRPr="00BC513A">
              <w:rPr>
                <w:rFonts w:ascii="Arial" w:hAnsi="Arial" w:cs="Arial"/>
                <w:b/>
                <w:color w:val="FFFFFF" w:themeColor="background1"/>
                <w:sz w:val="20"/>
                <w:szCs w:val="20"/>
              </w:rPr>
              <w:t>Мярка</w:t>
            </w:r>
          </w:p>
          <w:p w14:paraId="65C7A6B9" w14:textId="77777777" w:rsidR="00E8617E" w:rsidRPr="00535876" w:rsidRDefault="00E8617E" w:rsidP="00922731">
            <w:pPr>
              <w:keepNext/>
              <w:rPr>
                <w:rFonts w:ascii="Arial" w:hAnsi="Arial" w:cs="Arial"/>
                <w:b/>
                <w:color w:val="FFFFFF" w:themeColor="background1"/>
                <w:sz w:val="6"/>
                <w:szCs w:val="20"/>
              </w:rPr>
            </w:pPr>
          </w:p>
          <w:p w14:paraId="375403AA" w14:textId="77777777" w:rsidR="00E8617E" w:rsidRPr="00BC513A" w:rsidRDefault="00E8617E" w:rsidP="00922731">
            <w:pPr>
              <w:keepNext/>
              <w:rPr>
                <w:rFonts w:ascii="Arial" w:hAnsi="Arial" w:cs="Arial"/>
                <w:b/>
                <w:color w:val="FFFFFF" w:themeColor="background1"/>
                <w:sz w:val="20"/>
                <w:szCs w:val="20"/>
                <w:lang w:eastAsia="de-DE"/>
              </w:rPr>
            </w:pPr>
            <w:r w:rsidRPr="00BC513A">
              <w:rPr>
                <w:rFonts w:ascii="Arial" w:hAnsi="Arial" w:cs="Arial"/>
                <w:b/>
                <w:color w:val="FFFFFF" w:themeColor="background1"/>
                <w:sz w:val="20"/>
                <w:szCs w:val="20"/>
              </w:rPr>
              <w:t>Оперативна цел/Въздействия</w:t>
            </w:r>
          </w:p>
        </w:tc>
        <w:tc>
          <w:tcPr>
            <w:tcW w:w="993" w:type="dxa"/>
            <w:shd w:val="clear" w:color="auto" w:fill="1F4E79"/>
            <w:vAlign w:val="center"/>
          </w:tcPr>
          <w:p w14:paraId="2D1D5F49" w14:textId="77777777" w:rsidR="00E8617E" w:rsidRPr="00BC513A" w:rsidRDefault="00E8617E" w:rsidP="00922731">
            <w:pPr>
              <w:keepNext/>
              <w:jc w:val="center"/>
              <w:rPr>
                <w:rFonts w:ascii="Arial" w:hAnsi="Arial" w:cs="Arial"/>
                <w:color w:val="FFFFFF" w:themeColor="background1"/>
                <w:sz w:val="20"/>
                <w:szCs w:val="20"/>
                <w:lang w:eastAsia="de-DE"/>
              </w:rPr>
            </w:pPr>
            <w:r w:rsidRPr="00BC513A">
              <w:rPr>
                <w:rFonts w:ascii="Arial" w:hAnsi="Arial" w:cs="Arial"/>
                <w:color w:val="FFFFFF" w:themeColor="background1"/>
                <w:sz w:val="20"/>
                <w:szCs w:val="20"/>
                <w:lang w:eastAsia="de-DE"/>
              </w:rPr>
              <w:t>311</w:t>
            </w:r>
          </w:p>
        </w:tc>
        <w:tc>
          <w:tcPr>
            <w:tcW w:w="850" w:type="dxa"/>
            <w:shd w:val="clear" w:color="auto" w:fill="1F4E79"/>
            <w:vAlign w:val="center"/>
          </w:tcPr>
          <w:p w14:paraId="5ADD34C8" w14:textId="77777777" w:rsidR="00E8617E" w:rsidRPr="00BC513A" w:rsidRDefault="00E8617E" w:rsidP="00922731">
            <w:pPr>
              <w:keepNext/>
              <w:jc w:val="center"/>
              <w:rPr>
                <w:rFonts w:ascii="Arial" w:hAnsi="Arial" w:cs="Arial"/>
                <w:color w:val="FFFFFF" w:themeColor="background1"/>
                <w:sz w:val="20"/>
                <w:szCs w:val="20"/>
                <w:lang w:eastAsia="de-DE"/>
              </w:rPr>
            </w:pPr>
            <w:r w:rsidRPr="00BC513A">
              <w:rPr>
                <w:rFonts w:ascii="Arial" w:hAnsi="Arial" w:cs="Arial"/>
                <w:color w:val="FFFFFF" w:themeColor="background1"/>
                <w:sz w:val="20"/>
                <w:szCs w:val="20"/>
                <w:lang w:eastAsia="de-DE"/>
              </w:rPr>
              <w:t>312</w:t>
            </w:r>
          </w:p>
        </w:tc>
        <w:tc>
          <w:tcPr>
            <w:tcW w:w="851" w:type="dxa"/>
            <w:shd w:val="clear" w:color="auto" w:fill="1F4E79"/>
            <w:vAlign w:val="center"/>
          </w:tcPr>
          <w:p w14:paraId="733EBE83" w14:textId="77777777" w:rsidR="00E8617E" w:rsidRPr="00BC513A" w:rsidRDefault="00E8617E" w:rsidP="00922731">
            <w:pPr>
              <w:keepNext/>
              <w:jc w:val="center"/>
              <w:rPr>
                <w:rFonts w:ascii="Arial" w:hAnsi="Arial" w:cs="Arial"/>
                <w:color w:val="FFFFFF" w:themeColor="background1"/>
                <w:sz w:val="20"/>
                <w:szCs w:val="20"/>
              </w:rPr>
            </w:pPr>
            <w:r w:rsidRPr="00BC513A">
              <w:rPr>
                <w:rFonts w:ascii="Arial" w:hAnsi="Arial" w:cs="Arial"/>
                <w:color w:val="FFFFFF" w:themeColor="background1"/>
                <w:sz w:val="20"/>
                <w:szCs w:val="20"/>
              </w:rPr>
              <w:t>313</w:t>
            </w:r>
          </w:p>
        </w:tc>
      </w:tr>
      <w:tr w:rsidR="00E8617E" w:rsidRPr="00BC513A" w14:paraId="5D82328B" w14:textId="77777777" w:rsidTr="00535876">
        <w:trPr>
          <w:trHeight w:val="404"/>
        </w:trPr>
        <w:tc>
          <w:tcPr>
            <w:tcW w:w="6232" w:type="dxa"/>
            <w:shd w:val="clear" w:color="auto" w:fill="DEEAF6"/>
            <w:vAlign w:val="center"/>
          </w:tcPr>
          <w:p w14:paraId="59FCDBF7" w14:textId="77777777" w:rsidR="00E8617E" w:rsidRPr="00BC513A" w:rsidRDefault="00E8617E" w:rsidP="00922731">
            <w:pPr>
              <w:spacing w:before="60" w:after="60"/>
              <w:jc w:val="center"/>
              <w:rPr>
                <w:rFonts w:ascii="Arial" w:hAnsi="Arial" w:cs="Arial"/>
                <w:b/>
                <w:sz w:val="20"/>
                <w:szCs w:val="20"/>
                <w:lang w:eastAsia="de-DE"/>
              </w:rPr>
            </w:pPr>
            <w:r w:rsidRPr="00BC513A">
              <w:rPr>
                <w:rFonts w:ascii="Arial" w:hAnsi="Arial" w:cs="Arial"/>
                <w:sz w:val="20"/>
                <w:szCs w:val="20"/>
                <w:lang w:eastAsia="de-DE"/>
              </w:rPr>
              <w:t>Развиване на дейности, създаващи доходи извън земеделския сектор за стопанството и за населението от селските райони</w:t>
            </w:r>
          </w:p>
        </w:tc>
        <w:tc>
          <w:tcPr>
            <w:tcW w:w="993" w:type="dxa"/>
            <w:shd w:val="clear" w:color="auto" w:fill="DEEAF6"/>
            <w:vAlign w:val="center"/>
          </w:tcPr>
          <w:p w14:paraId="548F69A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c>
          <w:tcPr>
            <w:tcW w:w="850" w:type="dxa"/>
            <w:shd w:val="clear" w:color="auto" w:fill="DEEAF6"/>
            <w:vAlign w:val="center"/>
          </w:tcPr>
          <w:p w14:paraId="1CD4D3C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c>
          <w:tcPr>
            <w:tcW w:w="851" w:type="dxa"/>
            <w:shd w:val="clear" w:color="auto" w:fill="DEEAF6"/>
            <w:vAlign w:val="center"/>
          </w:tcPr>
          <w:p w14:paraId="2BCC73C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r>
      <w:tr w:rsidR="00E8617E" w:rsidRPr="00BC513A" w14:paraId="56743A34" w14:textId="77777777" w:rsidTr="00535876">
        <w:tc>
          <w:tcPr>
            <w:tcW w:w="6232" w:type="dxa"/>
            <w:shd w:val="clear" w:color="auto" w:fill="DEEAF6"/>
            <w:vAlign w:val="center"/>
          </w:tcPr>
          <w:p w14:paraId="66D9E080" w14:textId="77777777" w:rsidR="00E8617E" w:rsidRPr="00BC513A" w:rsidRDefault="00E8617E" w:rsidP="00922731">
            <w:pPr>
              <w:spacing w:before="60" w:after="60"/>
              <w:jc w:val="center"/>
              <w:rPr>
                <w:rFonts w:ascii="Arial" w:hAnsi="Arial" w:cs="Arial"/>
                <w:sz w:val="20"/>
                <w:szCs w:val="20"/>
                <w:lang w:eastAsia="de-DE"/>
              </w:rPr>
            </w:pPr>
            <w:r w:rsidRPr="00BC513A">
              <w:rPr>
                <w:rFonts w:ascii="Arial" w:hAnsi="Arial" w:cs="Arial"/>
                <w:sz w:val="20"/>
                <w:szCs w:val="20"/>
                <w:lang w:eastAsia="de-DE"/>
              </w:rPr>
              <w:t>Икономически растеж</w:t>
            </w:r>
          </w:p>
        </w:tc>
        <w:tc>
          <w:tcPr>
            <w:tcW w:w="993" w:type="dxa"/>
            <w:shd w:val="clear" w:color="auto" w:fill="DEEAF6"/>
            <w:vAlign w:val="center"/>
          </w:tcPr>
          <w:p w14:paraId="4F867ED1"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rPr>
              <w:sym w:font="Wingdings 2" w:char="F052"/>
            </w:r>
          </w:p>
        </w:tc>
        <w:tc>
          <w:tcPr>
            <w:tcW w:w="850" w:type="dxa"/>
            <w:shd w:val="clear" w:color="auto" w:fill="DEEAF6"/>
            <w:vAlign w:val="center"/>
          </w:tcPr>
          <w:p w14:paraId="75BBFC7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c>
          <w:tcPr>
            <w:tcW w:w="851" w:type="dxa"/>
            <w:shd w:val="clear" w:color="auto" w:fill="DEEAF6"/>
            <w:vAlign w:val="center"/>
          </w:tcPr>
          <w:p w14:paraId="47D1CB62"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rPr>
              <w:sym w:font="Wingdings 2" w:char="F052"/>
            </w:r>
          </w:p>
        </w:tc>
      </w:tr>
      <w:tr w:rsidR="00E8617E" w:rsidRPr="00BC513A" w14:paraId="7E241935" w14:textId="77777777" w:rsidTr="00535876">
        <w:tc>
          <w:tcPr>
            <w:tcW w:w="6232" w:type="dxa"/>
            <w:shd w:val="clear" w:color="auto" w:fill="auto"/>
            <w:vAlign w:val="center"/>
          </w:tcPr>
          <w:p w14:paraId="43E9C14B" w14:textId="77777777" w:rsidR="00E8617E" w:rsidRPr="00BC513A" w:rsidRDefault="00E8617E" w:rsidP="00922731">
            <w:pPr>
              <w:spacing w:before="60" w:after="60"/>
              <w:jc w:val="center"/>
              <w:rPr>
                <w:rFonts w:ascii="Arial" w:hAnsi="Arial" w:cs="Arial"/>
                <w:sz w:val="20"/>
                <w:szCs w:val="20"/>
                <w:lang w:eastAsia="de-DE"/>
              </w:rPr>
            </w:pPr>
            <w:r w:rsidRPr="00BC513A">
              <w:rPr>
                <w:rFonts w:ascii="Arial" w:hAnsi="Arial" w:cs="Arial"/>
                <w:sz w:val="20"/>
                <w:szCs w:val="20"/>
                <w:lang w:eastAsia="de-DE"/>
              </w:rPr>
              <w:t>Създадени работни места</w:t>
            </w:r>
          </w:p>
        </w:tc>
        <w:tc>
          <w:tcPr>
            <w:tcW w:w="993" w:type="dxa"/>
            <w:shd w:val="clear" w:color="auto" w:fill="auto"/>
            <w:vAlign w:val="center"/>
          </w:tcPr>
          <w:p w14:paraId="79A9435E"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rPr>
              <w:sym w:font="Wingdings 2" w:char="F052"/>
            </w:r>
          </w:p>
        </w:tc>
        <w:tc>
          <w:tcPr>
            <w:tcW w:w="850" w:type="dxa"/>
            <w:shd w:val="clear" w:color="auto" w:fill="auto"/>
            <w:vAlign w:val="center"/>
          </w:tcPr>
          <w:p w14:paraId="6D8A674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c>
          <w:tcPr>
            <w:tcW w:w="851" w:type="dxa"/>
            <w:shd w:val="clear" w:color="auto" w:fill="auto"/>
            <w:vAlign w:val="center"/>
          </w:tcPr>
          <w:p w14:paraId="71A911F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r>
      <w:tr w:rsidR="00E8617E" w:rsidRPr="00BC513A" w14:paraId="2D911FCE" w14:textId="77777777" w:rsidTr="00535876">
        <w:tc>
          <w:tcPr>
            <w:tcW w:w="6232" w:type="dxa"/>
            <w:shd w:val="clear" w:color="auto" w:fill="auto"/>
            <w:vAlign w:val="center"/>
          </w:tcPr>
          <w:p w14:paraId="49E801A9" w14:textId="77777777" w:rsidR="00E8617E" w:rsidRPr="00BC513A" w:rsidRDefault="00E8617E" w:rsidP="00922731">
            <w:pPr>
              <w:spacing w:before="60" w:after="60"/>
              <w:jc w:val="center"/>
              <w:rPr>
                <w:rFonts w:ascii="Arial" w:hAnsi="Arial" w:cs="Arial"/>
                <w:sz w:val="20"/>
                <w:szCs w:val="20"/>
                <w:lang w:eastAsia="de-DE"/>
              </w:rPr>
            </w:pPr>
            <w:r w:rsidRPr="00BC513A">
              <w:rPr>
                <w:rFonts w:ascii="Arial" w:hAnsi="Arial" w:cs="Arial"/>
                <w:sz w:val="20"/>
                <w:szCs w:val="20"/>
                <w:lang w:eastAsia="de-DE"/>
              </w:rPr>
              <w:t>Ръст в БДС от не-земеделски дейности</w:t>
            </w:r>
          </w:p>
        </w:tc>
        <w:tc>
          <w:tcPr>
            <w:tcW w:w="993" w:type="dxa"/>
            <w:shd w:val="clear" w:color="auto" w:fill="auto"/>
            <w:vAlign w:val="center"/>
          </w:tcPr>
          <w:p w14:paraId="64949087"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rPr>
              <w:sym w:font="Wingdings 2" w:char="F052"/>
            </w:r>
          </w:p>
        </w:tc>
        <w:tc>
          <w:tcPr>
            <w:tcW w:w="850" w:type="dxa"/>
            <w:shd w:val="clear" w:color="auto" w:fill="auto"/>
            <w:vAlign w:val="center"/>
          </w:tcPr>
          <w:p w14:paraId="3279669B"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rPr>
              <w:sym w:font="Wingdings 2" w:char="F052"/>
            </w:r>
          </w:p>
        </w:tc>
        <w:tc>
          <w:tcPr>
            <w:tcW w:w="851" w:type="dxa"/>
            <w:shd w:val="clear" w:color="auto" w:fill="auto"/>
            <w:vAlign w:val="center"/>
          </w:tcPr>
          <w:p w14:paraId="766220C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1"/>
            </w:r>
          </w:p>
        </w:tc>
      </w:tr>
      <w:tr w:rsidR="00E8617E" w:rsidRPr="00BC513A" w14:paraId="556FD22E" w14:textId="77777777" w:rsidTr="00535876">
        <w:tc>
          <w:tcPr>
            <w:tcW w:w="6232" w:type="dxa"/>
            <w:shd w:val="clear" w:color="auto" w:fill="auto"/>
            <w:vAlign w:val="center"/>
          </w:tcPr>
          <w:p w14:paraId="337DF8AE" w14:textId="77777777" w:rsidR="00E8617E" w:rsidRPr="00BC513A" w:rsidRDefault="00E8617E" w:rsidP="00922731">
            <w:pPr>
              <w:spacing w:before="60" w:after="60"/>
              <w:jc w:val="center"/>
              <w:rPr>
                <w:rFonts w:ascii="Arial" w:hAnsi="Arial" w:cs="Arial"/>
                <w:sz w:val="20"/>
                <w:szCs w:val="20"/>
                <w:lang w:eastAsia="de-DE"/>
              </w:rPr>
            </w:pPr>
            <w:r w:rsidRPr="00BC513A">
              <w:rPr>
                <w:rFonts w:ascii="Arial" w:hAnsi="Arial" w:cs="Arial"/>
                <w:sz w:val="20"/>
                <w:szCs w:val="20"/>
                <w:lang w:eastAsia="de-DE"/>
              </w:rPr>
              <w:t>Население, ползващо подобрените услуги</w:t>
            </w:r>
          </w:p>
        </w:tc>
        <w:tc>
          <w:tcPr>
            <w:tcW w:w="993" w:type="dxa"/>
            <w:shd w:val="clear" w:color="auto" w:fill="auto"/>
            <w:vAlign w:val="center"/>
          </w:tcPr>
          <w:p w14:paraId="02B9F2B2"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rPr>
              <w:sym w:font="Wingdings 2" w:char="F051"/>
            </w:r>
          </w:p>
        </w:tc>
        <w:tc>
          <w:tcPr>
            <w:tcW w:w="850" w:type="dxa"/>
            <w:shd w:val="clear" w:color="auto" w:fill="auto"/>
            <w:vAlign w:val="center"/>
          </w:tcPr>
          <w:p w14:paraId="32A05515"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w:t>
            </w:r>
          </w:p>
        </w:tc>
        <w:tc>
          <w:tcPr>
            <w:tcW w:w="851" w:type="dxa"/>
            <w:shd w:val="clear" w:color="auto" w:fill="auto"/>
            <w:vAlign w:val="center"/>
          </w:tcPr>
          <w:p w14:paraId="4BECC5D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r>
      <w:tr w:rsidR="00E8617E" w:rsidRPr="00BC513A" w14:paraId="6F8A3968" w14:textId="77777777" w:rsidTr="00535876">
        <w:tc>
          <w:tcPr>
            <w:tcW w:w="6232" w:type="dxa"/>
            <w:shd w:val="clear" w:color="auto" w:fill="DEEAF6"/>
            <w:vAlign w:val="center"/>
          </w:tcPr>
          <w:p w14:paraId="3DDF0434" w14:textId="77777777" w:rsidR="00E8617E" w:rsidRPr="00BC513A" w:rsidRDefault="00E8617E" w:rsidP="00922731">
            <w:pPr>
              <w:spacing w:before="60" w:after="60"/>
              <w:jc w:val="center"/>
              <w:rPr>
                <w:rFonts w:ascii="Arial" w:hAnsi="Arial" w:cs="Arial"/>
                <w:sz w:val="20"/>
                <w:szCs w:val="20"/>
                <w:lang w:eastAsia="de-DE"/>
              </w:rPr>
            </w:pPr>
            <w:r w:rsidRPr="00BC513A">
              <w:rPr>
                <w:rFonts w:ascii="Arial" w:hAnsi="Arial" w:cs="Arial"/>
                <w:sz w:val="20"/>
                <w:szCs w:val="20"/>
                <w:lang w:eastAsia="de-DE"/>
              </w:rPr>
              <w:t>Производителност на труда</w:t>
            </w:r>
          </w:p>
        </w:tc>
        <w:tc>
          <w:tcPr>
            <w:tcW w:w="993" w:type="dxa"/>
            <w:shd w:val="clear" w:color="auto" w:fill="DEEAF6"/>
            <w:vAlign w:val="center"/>
          </w:tcPr>
          <w:p w14:paraId="2FB1226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c>
          <w:tcPr>
            <w:tcW w:w="850" w:type="dxa"/>
            <w:shd w:val="clear" w:color="auto" w:fill="DEEAF6"/>
            <w:vAlign w:val="center"/>
          </w:tcPr>
          <w:p w14:paraId="39815EE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lang w:eastAsia="de-DE"/>
              </w:rPr>
              <w:t>-</w:t>
            </w:r>
          </w:p>
        </w:tc>
        <w:tc>
          <w:tcPr>
            <w:tcW w:w="851" w:type="dxa"/>
            <w:shd w:val="clear" w:color="auto" w:fill="DEEAF6"/>
            <w:vAlign w:val="center"/>
          </w:tcPr>
          <w:p w14:paraId="3323629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r>
      <w:tr w:rsidR="00E8617E" w:rsidRPr="00BC513A" w14:paraId="5E1BE5F3" w14:textId="77777777" w:rsidTr="00535876">
        <w:tc>
          <w:tcPr>
            <w:tcW w:w="6232" w:type="dxa"/>
            <w:shd w:val="clear" w:color="auto" w:fill="auto"/>
            <w:vAlign w:val="center"/>
          </w:tcPr>
          <w:p w14:paraId="24C942F8" w14:textId="77777777" w:rsidR="00E8617E" w:rsidRPr="00BC513A" w:rsidRDefault="00E8617E" w:rsidP="00922731">
            <w:pPr>
              <w:spacing w:before="60" w:after="60"/>
              <w:jc w:val="center"/>
              <w:rPr>
                <w:rFonts w:ascii="Arial" w:hAnsi="Arial" w:cs="Arial"/>
                <w:sz w:val="20"/>
                <w:szCs w:val="20"/>
                <w:lang w:eastAsia="de-DE"/>
              </w:rPr>
            </w:pPr>
            <w:r w:rsidRPr="00BC513A">
              <w:rPr>
                <w:rFonts w:ascii="Arial" w:hAnsi="Arial" w:cs="Arial"/>
                <w:sz w:val="20"/>
                <w:szCs w:val="20"/>
                <w:lang w:eastAsia="de-DE"/>
              </w:rPr>
              <w:t>Създадени нови туристически продукти в селския туризъм</w:t>
            </w:r>
          </w:p>
        </w:tc>
        <w:tc>
          <w:tcPr>
            <w:tcW w:w="993" w:type="dxa"/>
            <w:shd w:val="clear" w:color="auto" w:fill="auto"/>
            <w:vAlign w:val="center"/>
          </w:tcPr>
          <w:p w14:paraId="581AE50E"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w:t>
            </w:r>
          </w:p>
        </w:tc>
        <w:tc>
          <w:tcPr>
            <w:tcW w:w="850" w:type="dxa"/>
            <w:shd w:val="clear" w:color="auto" w:fill="auto"/>
            <w:vAlign w:val="center"/>
          </w:tcPr>
          <w:p w14:paraId="1AD2366F"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w:t>
            </w:r>
          </w:p>
        </w:tc>
        <w:tc>
          <w:tcPr>
            <w:tcW w:w="851" w:type="dxa"/>
            <w:shd w:val="clear" w:color="auto" w:fill="auto"/>
            <w:vAlign w:val="center"/>
          </w:tcPr>
          <w:p w14:paraId="0D7F0CD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r>
      <w:tr w:rsidR="00E8617E" w:rsidRPr="00BC513A" w14:paraId="1A6FEECA" w14:textId="77777777" w:rsidTr="00535876">
        <w:tc>
          <w:tcPr>
            <w:tcW w:w="6232" w:type="dxa"/>
            <w:shd w:val="clear" w:color="auto" w:fill="auto"/>
            <w:vAlign w:val="center"/>
          </w:tcPr>
          <w:p w14:paraId="6F51794F" w14:textId="77777777" w:rsidR="00E8617E" w:rsidRPr="00BC513A" w:rsidRDefault="00E8617E" w:rsidP="00922731">
            <w:pPr>
              <w:spacing w:before="60" w:after="60"/>
              <w:jc w:val="center"/>
              <w:rPr>
                <w:rFonts w:ascii="Arial" w:hAnsi="Arial" w:cs="Arial"/>
                <w:sz w:val="20"/>
                <w:szCs w:val="20"/>
                <w:lang w:eastAsia="de-DE"/>
              </w:rPr>
            </w:pPr>
            <w:r w:rsidRPr="00BC513A">
              <w:rPr>
                <w:rFonts w:ascii="Arial" w:hAnsi="Arial" w:cs="Arial"/>
                <w:sz w:val="20"/>
                <w:szCs w:val="20"/>
                <w:lang w:eastAsia="de-DE"/>
              </w:rPr>
              <w:t>Прираст на еднодневния брой туристи</w:t>
            </w:r>
          </w:p>
        </w:tc>
        <w:tc>
          <w:tcPr>
            <w:tcW w:w="993" w:type="dxa"/>
            <w:shd w:val="clear" w:color="auto" w:fill="auto"/>
            <w:vAlign w:val="center"/>
          </w:tcPr>
          <w:p w14:paraId="23A7CA55"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rPr>
              <w:sym w:font="Wingdings 2" w:char="F051"/>
            </w:r>
          </w:p>
        </w:tc>
        <w:tc>
          <w:tcPr>
            <w:tcW w:w="850" w:type="dxa"/>
            <w:shd w:val="clear" w:color="auto" w:fill="auto"/>
            <w:vAlign w:val="center"/>
          </w:tcPr>
          <w:p w14:paraId="7709D174" w14:textId="77777777" w:rsidR="00E8617E" w:rsidRPr="00BC513A" w:rsidRDefault="00E8617E" w:rsidP="00922731">
            <w:pPr>
              <w:jc w:val="center"/>
              <w:rPr>
                <w:rFonts w:ascii="Arial" w:hAnsi="Arial" w:cs="Arial"/>
                <w:sz w:val="20"/>
                <w:szCs w:val="20"/>
                <w:lang w:eastAsia="de-DE"/>
              </w:rPr>
            </w:pPr>
            <w:r w:rsidRPr="00BC513A">
              <w:rPr>
                <w:rFonts w:ascii="Arial" w:hAnsi="Arial" w:cs="Arial"/>
                <w:sz w:val="20"/>
                <w:szCs w:val="20"/>
                <w:lang w:eastAsia="de-DE"/>
              </w:rPr>
              <w:t>-</w:t>
            </w:r>
          </w:p>
        </w:tc>
        <w:tc>
          <w:tcPr>
            <w:tcW w:w="851" w:type="dxa"/>
            <w:shd w:val="clear" w:color="auto" w:fill="auto"/>
            <w:vAlign w:val="center"/>
          </w:tcPr>
          <w:p w14:paraId="4EB5404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sym w:font="Wingdings 2" w:char="F052"/>
            </w:r>
          </w:p>
        </w:tc>
      </w:tr>
    </w:tbl>
    <w:p w14:paraId="53286CAF" w14:textId="77777777" w:rsidR="00E8617E" w:rsidRPr="00F07F15" w:rsidRDefault="00E8617E" w:rsidP="00E8617E">
      <w:pPr>
        <w:rPr>
          <w:rFonts w:ascii="Arial" w:hAnsi="Arial" w:cs="Arial"/>
          <w:sz w:val="18"/>
          <w:szCs w:val="18"/>
        </w:rPr>
      </w:pPr>
      <w:r w:rsidRPr="00F07F15">
        <w:rPr>
          <w:rFonts w:ascii="Arial" w:hAnsi="Arial" w:cs="Arial"/>
          <w:sz w:val="18"/>
          <w:szCs w:val="18"/>
        </w:rPr>
        <w:sym w:font="Wingdings 2" w:char="F052"/>
      </w:r>
      <w:r w:rsidRPr="00F07F15">
        <w:rPr>
          <w:rFonts w:ascii="Arial" w:hAnsi="Arial" w:cs="Arial"/>
          <w:sz w:val="18"/>
          <w:szCs w:val="18"/>
        </w:rPr>
        <w:t xml:space="preserve"> - установена е взаимовръзка</w:t>
      </w:r>
      <w:r w:rsidR="00EF0C92">
        <w:rPr>
          <w:rFonts w:ascii="Arial" w:hAnsi="Arial" w:cs="Arial"/>
          <w:sz w:val="18"/>
          <w:szCs w:val="18"/>
        </w:rPr>
        <w:t xml:space="preserve">; </w:t>
      </w:r>
      <w:r w:rsidRPr="00F07F15">
        <w:rPr>
          <w:rFonts w:ascii="Arial" w:hAnsi="Arial" w:cs="Arial"/>
          <w:sz w:val="18"/>
          <w:szCs w:val="18"/>
        </w:rPr>
        <w:sym w:font="Wingdings 2" w:char="F051"/>
      </w:r>
      <w:r w:rsidRPr="00F07F15">
        <w:rPr>
          <w:rFonts w:ascii="Arial" w:hAnsi="Arial" w:cs="Arial"/>
          <w:sz w:val="18"/>
          <w:szCs w:val="18"/>
        </w:rPr>
        <w:t xml:space="preserve"> - няма връзка</w:t>
      </w:r>
      <w:r w:rsidR="00EF0C92">
        <w:rPr>
          <w:rFonts w:ascii="Arial" w:hAnsi="Arial" w:cs="Arial"/>
          <w:sz w:val="18"/>
          <w:szCs w:val="18"/>
        </w:rPr>
        <w:t xml:space="preserve">; </w:t>
      </w:r>
      <w:r w:rsidRPr="00F07F15">
        <w:rPr>
          <w:rFonts w:ascii="Arial" w:hAnsi="Arial" w:cs="Arial"/>
          <w:sz w:val="18"/>
          <w:szCs w:val="18"/>
        </w:rPr>
        <w:sym w:font="Symbol" w:char="F02D"/>
      </w:r>
      <w:r w:rsidRPr="00F07F15">
        <w:rPr>
          <w:rFonts w:ascii="Arial" w:hAnsi="Arial" w:cs="Arial"/>
          <w:sz w:val="18"/>
          <w:szCs w:val="18"/>
        </w:rPr>
        <w:t xml:space="preserve"> не се търси връзка</w:t>
      </w:r>
    </w:p>
    <w:p w14:paraId="50DE6358" w14:textId="45273377" w:rsidR="00E8617E" w:rsidRPr="00BC513A" w:rsidRDefault="00E8617E" w:rsidP="00E8617E">
      <w:pPr>
        <w:ind w:firstLine="708"/>
        <w:jc w:val="both"/>
        <w:rPr>
          <w:b/>
        </w:rPr>
      </w:pPr>
      <w:r w:rsidRPr="00BC513A">
        <w:rPr>
          <w:rFonts w:ascii="Arial" w:eastAsia="Times New Roman" w:hAnsi="Arial" w:cs="Times New Roman"/>
          <w:lang w:eastAsia="nl-NL"/>
        </w:rPr>
        <w:t xml:space="preserve">Освен върху икономическото развитие и заетостта, допълнително мерките 311, 312 и 313 имат положително въздействие върху бенефициентите по отношение на другия основен приоритет на </w:t>
      </w:r>
      <w:r w:rsidR="000F57E9">
        <w:rPr>
          <w:rFonts w:ascii="Arial" w:eastAsia="Times New Roman" w:hAnsi="Arial" w:cs="Times New Roman"/>
          <w:lang w:eastAsia="nl-NL"/>
        </w:rPr>
        <w:t>п</w:t>
      </w:r>
      <w:r w:rsidRPr="00BC513A">
        <w:rPr>
          <w:rFonts w:ascii="Arial" w:eastAsia="Times New Roman" w:hAnsi="Arial" w:cs="Times New Roman"/>
          <w:lang w:eastAsia="nl-NL"/>
        </w:rPr>
        <w:t xml:space="preserve">рограмата – опазване на околната среда, както следва:  </w:t>
      </w:r>
    </w:p>
    <w:p w14:paraId="7E9604C7"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311. Разнообразяване към неземеделски дейности</w:t>
      </w:r>
    </w:p>
    <w:p w14:paraId="5C423004" w14:textId="353A5F54"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311 оказва допълнително положително въздействие върху околната среда и по-специално борбата с климатичните промени чрез изграждане на алтернативни (възобновяеми) източници на енергия и повишаване на ресурсната ефективност. Инвестициите във ВЕИ допринасят в значителна степен за постигане на една от националните цели за достигане на дела на енергията от ВЕИ в брутното крайно потребление на енергия през 2020 г. (16 %), като показателят е надхвърлен към 2015 г. Съгласно данни на МЗХГ</w:t>
      </w:r>
      <w:r w:rsidRPr="00BC513A">
        <w:rPr>
          <w:rStyle w:val="FootnoteReference"/>
          <w:sz w:val="22"/>
          <w:szCs w:val="22"/>
          <w:lang w:val="bg-BG"/>
        </w:rPr>
        <w:footnoteReference w:id="32"/>
      </w:r>
      <w:r w:rsidRPr="00BC513A">
        <w:rPr>
          <w:sz w:val="22"/>
          <w:szCs w:val="22"/>
          <w:lang w:val="bg-BG"/>
        </w:rPr>
        <w:t xml:space="preserve"> основен инвестиционен интерес до 2013 г. е към производство на слънчева енергия. Активното изграждане на алтернативни възобновяеми източници на енергия по мярка 311 на ПРСР 2007-2013 представлява принос за опазването на околната среда и редуцирането на вредни емисии</w:t>
      </w:r>
      <w:r w:rsidR="009A20B6">
        <w:rPr>
          <w:sz w:val="22"/>
          <w:szCs w:val="22"/>
          <w:lang w:val="bg-BG"/>
        </w:rPr>
        <w:t>,</w:t>
      </w:r>
      <w:r w:rsidRPr="00BC513A">
        <w:rPr>
          <w:sz w:val="22"/>
          <w:szCs w:val="22"/>
          <w:lang w:val="bg-BG"/>
        </w:rPr>
        <w:t xml:space="preserve"> както и съхраняването на ресурсната ефективност.</w:t>
      </w:r>
    </w:p>
    <w:p w14:paraId="7238EEAE"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312. Подкрепа за създаване и развитие на микропредприятия</w:t>
      </w:r>
    </w:p>
    <w:p w14:paraId="0D297244" w14:textId="7C37EF84"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Аналогично на сходната по насоченост на интервенциите мярка 311, прилагането на мярка 312 също оказва положително въздействие върху бенефициентите по отношение на опазването на околната среда </w:t>
      </w:r>
      <w:r w:rsidR="009A20B6">
        <w:rPr>
          <w:sz w:val="22"/>
          <w:szCs w:val="22"/>
          <w:lang w:val="bg-BG"/>
        </w:rPr>
        <w:t>–</w:t>
      </w:r>
      <w:r w:rsidRPr="00BC513A">
        <w:rPr>
          <w:sz w:val="22"/>
          <w:szCs w:val="22"/>
          <w:lang w:val="bg-BG"/>
        </w:rPr>
        <w:t xml:space="preserve"> в борбата с климатичните промени, чрез изграждане на алтернативни източници на енергия и повишаване на ресурсната ефективност. По този начин се постига съответствие и с целите и под-целите на ос 2. Като цяло наблюдаваните въздействия са положителни, но са значими само по отношение на възобновяемите източници на енергия. Мярката допринася в значителна степен за постигане на една от националните цели за достигане на дела на енергията от ВЕИ в брутното крайно потребление на енергия през 2020 г. (16 %), като показателят е надхвърлен към 2015 г. Поради незначи</w:t>
      </w:r>
      <w:r w:rsidR="009A20B6">
        <w:rPr>
          <w:sz w:val="22"/>
          <w:szCs w:val="22"/>
          <w:lang w:val="bg-BG"/>
        </w:rPr>
        <w:t>телн</w:t>
      </w:r>
      <w:r w:rsidRPr="00BC513A">
        <w:rPr>
          <w:sz w:val="22"/>
          <w:szCs w:val="22"/>
          <w:lang w:val="bg-BG"/>
        </w:rPr>
        <w:t xml:space="preserve">ия брой на проектите в другите сектори е трудно да се определи дали се наблюдават други въздействия. </w:t>
      </w:r>
    </w:p>
    <w:p w14:paraId="0A11414B"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313. Насърчаване на туристическите дейности</w:t>
      </w:r>
    </w:p>
    <w:p w14:paraId="5302A2A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При прилагането на мярка 313 се наблюдават следните въздействия върху бенефициентите, свързани с постигане на синергия с целите и под-целите на останалите оси на </w:t>
      </w:r>
      <w:r w:rsidR="000F57E9">
        <w:rPr>
          <w:sz w:val="22"/>
          <w:szCs w:val="22"/>
          <w:lang w:val="bg-BG"/>
        </w:rPr>
        <w:t>п</w:t>
      </w:r>
      <w:r w:rsidRPr="00BC513A">
        <w:rPr>
          <w:sz w:val="22"/>
          <w:szCs w:val="22"/>
          <w:lang w:val="bg-BG"/>
        </w:rPr>
        <w:t>рограмата:</w:t>
      </w:r>
    </w:p>
    <w:p w14:paraId="2725BFCC" w14:textId="77777777" w:rsidR="00E8617E" w:rsidRPr="00BC513A" w:rsidRDefault="00E8617E" w:rsidP="00E8617E">
      <w:pPr>
        <w:pStyle w:val="DefaultText"/>
        <w:numPr>
          <w:ilvl w:val="0"/>
          <w:numId w:val="48"/>
        </w:numPr>
        <w:spacing w:after="120" w:line="300" w:lineRule="atLeast"/>
        <w:rPr>
          <w:sz w:val="22"/>
          <w:szCs w:val="22"/>
          <w:lang w:val="bg-BG"/>
        </w:rPr>
      </w:pPr>
      <w:r w:rsidRPr="00BC513A">
        <w:rPr>
          <w:sz w:val="22"/>
          <w:szCs w:val="22"/>
          <w:lang w:val="bg-BG"/>
        </w:rPr>
        <w:t>Ос 1 – чрез маркетинг на местни продукти на туристическия пазар като ефекта се изразява в адаптиране на стопанствата и интегрирането им в хранителните и преработвателните вериги;</w:t>
      </w:r>
    </w:p>
    <w:p w14:paraId="6E3BCF9F" w14:textId="08EC850E" w:rsidR="00E8617E" w:rsidRPr="00BC513A" w:rsidRDefault="00E8617E" w:rsidP="00E8617E">
      <w:pPr>
        <w:pStyle w:val="DefaultText"/>
        <w:numPr>
          <w:ilvl w:val="0"/>
          <w:numId w:val="48"/>
        </w:numPr>
        <w:spacing w:after="120" w:line="300" w:lineRule="atLeast"/>
        <w:rPr>
          <w:sz w:val="22"/>
          <w:szCs w:val="22"/>
          <w:lang w:val="bg-BG"/>
        </w:rPr>
      </w:pPr>
      <w:r w:rsidRPr="00BC513A">
        <w:rPr>
          <w:sz w:val="22"/>
          <w:szCs w:val="22"/>
          <w:lang w:val="bg-BG"/>
        </w:rPr>
        <w:t xml:space="preserve">Ос 2 – чрез внедряването и </w:t>
      </w:r>
      <w:r w:rsidR="00794F67">
        <w:rPr>
          <w:sz w:val="22"/>
          <w:szCs w:val="22"/>
          <w:lang w:val="bg-BG"/>
        </w:rPr>
        <w:t>насърчаване</w:t>
      </w:r>
      <w:r w:rsidRPr="00BC513A">
        <w:rPr>
          <w:sz w:val="22"/>
          <w:szCs w:val="22"/>
          <w:lang w:val="bg-BG"/>
        </w:rPr>
        <w:t xml:space="preserve"> на алтернативен селски туризъм и съживяване на занаятите като ефект</w:t>
      </w:r>
      <w:r w:rsidR="001A6CD2">
        <w:rPr>
          <w:sz w:val="22"/>
          <w:szCs w:val="22"/>
          <w:lang w:val="bg-BG"/>
        </w:rPr>
        <w:t>ът</w:t>
      </w:r>
      <w:r w:rsidRPr="00BC513A">
        <w:rPr>
          <w:sz w:val="22"/>
          <w:szCs w:val="22"/>
          <w:lang w:val="bg-BG"/>
        </w:rPr>
        <w:t xml:space="preserve"> се изразява в опазване на въздуха, почвите, водите и биологичното разнообразие;</w:t>
      </w:r>
    </w:p>
    <w:p w14:paraId="0798F0CA" w14:textId="77777777" w:rsidR="00E8617E" w:rsidRPr="00BC513A" w:rsidRDefault="00E8617E" w:rsidP="00E8617E">
      <w:pPr>
        <w:pStyle w:val="DefaultText"/>
        <w:numPr>
          <w:ilvl w:val="0"/>
          <w:numId w:val="48"/>
        </w:numPr>
        <w:spacing w:after="120" w:line="300" w:lineRule="atLeast"/>
        <w:rPr>
          <w:sz w:val="22"/>
          <w:szCs w:val="22"/>
          <w:lang w:val="bg-BG"/>
        </w:rPr>
      </w:pPr>
      <w:r w:rsidRPr="00BC513A">
        <w:rPr>
          <w:sz w:val="22"/>
          <w:szCs w:val="22"/>
          <w:lang w:val="bg-BG"/>
        </w:rPr>
        <w:t>Ос 4 – прилагането на стратегиите за местно развитие има допълващ ефект към проектите за развитие на туризма на територията на селските райони, като същевременно реализираните от МИГ по ЛИДЕР мерки са източник за устойчиво сътрудничество и обмен на добри практики за бенефициентите по мярка 313.</w:t>
      </w:r>
    </w:p>
    <w:p w14:paraId="115A29C3"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Като цяло наблюдаваните въздействия са положителни, но липсва значителен ефект при прилагането на мярката</w:t>
      </w:r>
      <w:r w:rsidRPr="00BC513A">
        <w:rPr>
          <w:rFonts w:eastAsiaTheme="minorEastAsia"/>
          <w:sz w:val="22"/>
          <w:szCs w:val="22"/>
          <w:lang w:val="bg-BG" w:eastAsia="ko-KR"/>
        </w:rPr>
        <w:t xml:space="preserve">. Въздействието на мярката би могло да бъде засилено, ако бенефициентите могат </w:t>
      </w:r>
      <w:r w:rsidRPr="00BC513A">
        <w:rPr>
          <w:sz w:val="22"/>
          <w:szCs w:val="22"/>
          <w:lang w:val="bg-BG"/>
        </w:rPr>
        <w:t xml:space="preserve">да ползват данни за статуса на подадените и изпълнявани проекти по ПРСР в реално време и по този начин да търсят синергия, допълняемост и надграждане на постигнатите резултати на местно равнище. </w:t>
      </w:r>
    </w:p>
    <w:p w14:paraId="4B00D00B" w14:textId="77777777" w:rsidR="00E8617E" w:rsidRPr="00BC513A" w:rsidRDefault="00E8617E" w:rsidP="00E8617E">
      <w:pPr>
        <w:pStyle w:val="ListParagraph"/>
        <w:keepNext/>
        <w:numPr>
          <w:ilvl w:val="0"/>
          <w:numId w:val="47"/>
        </w:numPr>
        <w:spacing w:before="240" w:after="120"/>
        <w:ind w:left="709" w:hanging="507"/>
        <w:contextualSpacing w:val="0"/>
        <w:jc w:val="both"/>
        <w:rPr>
          <w:rFonts w:ascii="Arial" w:hAnsi="Arial" w:cs="Arial"/>
          <w:color w:val="0070C0"/>
        </w:rPr>
      </w:pPr>
      <w:r w:rsidRPr="00BC513A">
        <w:rPr>
          <w:rFonts w:ascii="Arial" w:hAnsi="Arial" w:cs="Arial"/>
          <w:color w:val="0070C0"/>
        </w:rPr>
        <w:t>Как и до каква степен съответната мярка е допринесла за подобряване качеството на живот на бенефициентите?</w:t>
      </w:r>
      <w:r w:rsidRPr="00535876">
        <w:rPr>
          <w:vertAlign w:val="superscript"/>
        </w:rPr>
        <w:footnoteReference w:id="33"/>
      </w:r>
    </w:p>
    <w:p w14:paraId="793A044B" w14:textId="77777777" w:rsidR="00E8617E" w:rsidRPr="00BC513A" w:rsidRDefault="00E8617E" w:rsidP="00E8617E">
      <w:pPr>
        <w:spacing w:after="120" w:line="300" w:lineRule="atLeast"/>
        <w:ind w:firstLine="709"/>
        <w:jc w:val="both"/>
        <w:rPr>
          <w:rFonts w:ascii="Arial" w:eastAsia="Times New Roman" w:hAnsi="Arial" w:cs="Times New Roman"/>
          <w:lang w:eastAsia="nl-NL"/>
        </w:rPr>
      </w:pPr>
      <w:r w:rsidRPr="00BC513A">
        <w:rPr>
          <w:rFonts w:ascii="Arial" w:eastAsia="Times New Roman" w:hAnsi="Arial" w:cs="Times New Roman"/>
          <w:lang w:eastAsia="nl-NL"/>
        </w:rPr>
        <w:t xml:space="preserve">Предизвикателствата, които са поставени пред селските райони, в т.ч. амортизирана инфраструктура, лошо качество на предоставяните обществени услуги, обезлюдяване и ограничени икономически възможности на населението, са предпоставка при планирането на основните приоритети на ПРСР и най-вече мерките в обхвата на ос 3. Подобряване състоянието на публичната техническа инфраструктура – пътища, водоснабдителни и канализационни системи, сгради с културно и социално обществено предназначение е гаранция за увеличаване привлекателността и насърчаване на икономическия растеж  по места. Насочването на значителен дял от общия обем на публичните средства, предоставени от ПРСР през изминалия програмен период към подобряване състоянието на инфраструктурата и достъпа до услуги се оценява от ползвателите на помощта по мерки 321 и 322, в лицето на публичните бенефициенти като съществен принос към подобряване качеството на живот, именно поради видимия, физически измерим характер на инвестиционната подкрепа. </w:t>
      </w:r>
    </w:p>
    <w:p w14:paraId="41C3AA55" w14:textId="7DDAE188"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Резултатната насоченост на изпълнените дейности и по двете мерки, попадащи в обхвата на </w:t>
      </w:r>
      <w:r w:rsidR="006C0459">
        <w:rPr>
          <w:sz w:val="22"/>
          <w:szCs w:val="22"/>
          <w:lang w:val="bg-BG"/>
        </w:rPr>
        <w:t>ч</w:t>
      </w:r>
      <w:r w:rsidRPr="00BC513A">
        <w:rPr>
          <w:sz w:val="22"/>
          <w:szCs w:val="22"/>
          <w:lang w:val="bg-BG"/>
        </w:rPr>
        <w:t>лен 52(б) от Регламент 1698/2005, е от съществено значение за отчитане на така желания напредък по отношение балансиране на териториалното развитие на икономиките и общностите в селските райони. Също така прилагането им оказва положителен ефект както за насърчаване конкурентоспособността на селското стопанство и на неземеделск</w:t>
      </w:r>
      <w:r w:rsidR="001207FF">
        <w:rPr>
          <w:sz w:val="22"/>
          <w:szCs w:val="22"/>
          <w:lang w:val="bg-BG"/>
        </w:rPr>
        <w:t>ите дейности</w:t>
      </w:r>
      <w:r w:rsidRPr="00BC513A">
        <w:rPr>
          <w:sz w:val="22"/>
          <w:szCs w:val="22"/>
          <w:lang w:val="bg-BG"/>
        </w:rPr>
        <w:t xml:space="preserve"> в страната, така и върху устойчивото управление на природните ресурси, чрез въздействията с останалите мерки по ос 3 и целите на </w:t>
      </w:r>
      <w:r w:rsidR="000F57E9">
        <w:rPr>
          <w:sz w:val="22"/>
          <w:szCs w:val="22"/>
          <w:lang w:val="bg-BG"/>
        </w:rPr>
        <w:t>п</w:t>
      </w:r>
      <w:r w:rsidRPr="00BC513A">
        <w:rPr>
          <w:sz w:val="22"/>
          <w:szCs w:val="22"/>
          <w:lang w:val="bg-BG"/>
        </w:rPr>
        <w:t>рограмата. В тази връзка е твърде рано да се говори за  намалена разлика в стандартите на живот между урбанизирани и неурбанизирани райони, но същевременно се наблюдава трайно подобряване на качеството на живот на бенефициентите чрез осигурения достъп до модерна инфраструктура и качествени услуги, вследствие приложената интервенция и наблюдаваната устойчивост на постигнатите резултати в различните населени места.</w:t>
      </w:r>
    </w:p>
    <w:p w14:paraId="0A6A46BD" w14:textId="77777777" w:rsidR="00E8617E" w:rsidRPr="00BC513A" w:rsidRDefault="00E8617E" w:rsidP="00E8617E">
      <w:pPr>
        <w:pStyle w:val="DefaultText"/>
        <w:spacing w:after="120" w:line="300" w:lineRule="atLeast"/>
        <w:ind w:firstLine="708"/>
        <w:rPr>
          <w:b/>
          <w:sz w:val="22"/>
          <w:szCs w:val="22"/>
          <w:lang w:val="bg-BG"/>
        </w:rPr>
      </w:pPr>
      <w:r w:rsidRPr="00BC513A">
        <w:rPr>
          <w:b/>
          <w:sz w:val="22"/>
          <w:szCs w:val="22"/>
          <w:lang w:val="bg-BG"/>
        </w:rPr>
        <w:t>Принос на съответните схеми:</w:t>
      </w:r>
    </w:p>
    <w:p w14:paraId="2A287B8E" w14:textId="77777777" w:rsidR="00E8617E" w:rsidRPr="00BC513A" w:rsidRDefault="00E8617E" w:rsidP="00E8617E">
      <w:pPr>
        <w:pStyle w:val="DefaultText"/>
        <w:spacing w:after="120" w:line="300" w:lineRule="atLeast"/>
        <w:ind w:firstLine="708"/>
        <w:rPr>
          <w:i/>
          <w:sz w:val="22"/>
          <w:szCs w:val="22"/>
          <w:lang w:val="bg-BG"/>
        </w:rPr>
      </w:pPr>
      <w:r w:rsidRPr="00BC513A">
        <w:rPr>
          <w:i/>
          <w:sz w:val="22"/>
          <w:szCs w:val="22"/>
          <w:lang w:val="bg-BG"/>
        </w:rPr>
        <w:t>321. Основни услуги за населението и икономиката в селските райони</w:t>
      </w:r>
    </w:p>
    <w:p w14:paraId="6E18C795" w14:textId="77777777" w:rsidR="00E8617E" w:rsidRPr="00BC513A" w:rsidRDefault="00E8617E" w:rsidP="00E8617E">
      <w:pPr>
        <w:spacing w:after="120" w:line="300" w:lineRule="atLeast"/>
        <w:ind w:firstLine="709"/>
        <w:jc w:val="both"/>
        <w:rPr>
          <w:rFonts w:ascii="Arial" w:eastAsia="Times New Roman" w:hAnsi="Arial" w:cs="Times New Roman"/>
          <w:lang w:eastAsia="nl-NL"/>
        </w:rPr>
      </w:pPr>
      <w:r w:rsidRPr="00BC513A">
        <w:rPr>
          <w:rFonts w:ascii="Arial" w:eastAsia="Times New Roman" w:hAnsi="Arial" w:cs="Times New Roman"/>
          <w:lang w:eastAsia="nl-NL"/>
        </w:rPr>
        <w:t xml:space="preserve">Мярка 321 има като основна цел да подпомогне качеството на живот на населението в селските райони чрез подобряване на пътната инфраструктура, подобряване водоснабдителната и канализационната инфраструктура, подобряване на достъпа на населението от селските райони до културни, спортни и свързани със свободното време и отдиха услуги, както и подобряване на достъпа до социални услуги и по-специално този на децата и уязвимите групи от населението. Мярката финансира доста широк кръг от дейности, които да дадат тласък на местните икономики и да задържат младите и предприемчиви хора в населените места от селските райони и да  оживят и ускорят икономическата, социалната и културна интеграция.  </w:t>
      </w:r>
    </w:p>
    <w:p w14:paraId="47AD8688" w14:textId="77777777" w:rsidR="00E8617E" w:rsidRPr="00BC513A" w:rsidRDefault="00E8617E" w:rsidP="00E8617E">
      <w:pPr>
        <w:spacing w:after="120" w:line="300" w:lineRule="atLeast"/>
        <w:ind w:firstLine="709"/>
        <w:jc w:val="both"/>
        <w:rPr>
          <w:rFonts w:ascii="Arial" w:eastAsia="Times New Roman" w:hAnsi="Arial" w:cs="Times New Roman"/>
          <w:lang w:eastAsia="nl-NL"/>
        </w:rPr>
      </w:pPr>
      <w:r w:rsidRPr="00BC513A">
        <w:rPr>
          <w:rFonts w:ascii="Arial" w:eastAsia="Times New Roman" w:hAnsi="Arial" w:cs="Times New Roman"/>
          <w:lang w:eastAsia="nl-NL"/>
        </w:rPr>
        <w:t>Поради големия интерес към тази мярка, предвиденият първоначален бюджет от 412 504 341 евро е увеличаван  няколкократно и достига до 761 389 998 евро (85% увеличение). Постигнато е почти пълно усвояване на този финансов ресурс в размер на 98%.</w:t>
      </w:r>
    </w:p>
    <w:p w14:paraId="670EDC5B" w14:textId="77777777" w:rsidR="00E8617E" w:rsidRPr="00BC513A" w:rsidRDefault="00E8617E" w:rsidP="00E8617E">
      <w:pPr>
        <w:spacing w:after="120" w:line="300" w:lineRule="atLeast"/>
        <w:ind w:firstLine="709"/>
        <w:jc w:val="both"/>
        <w:rPr>
          <w:rFonts w:ascii="Arial" w:eastAsia="Times New Roman" w:hAnsi="Arial" w:cs="Times New Roman"/>
          <w:lang w:eastAsia="nl-NL"/>
        </w:rPr>
      </w:pPr>
      <w:r w:rsidRPr="00BC513A">
        <w:rPr>
          <w:rFonts w:ascii="Arial" w:eastAsia="Times New Roman" w:hAnsi="Arial" w:cs="Times New Roman"/>
          <w:lang w:eastAsia="nl-NL"/>
        </w:rPr>
        <w:t xml:space="preserve">Доброто финансово изпълнение на мярката води и сравнително добро постигане на заложените индикатори, особена на специфичните такива. </w:t>
      </w:r>
    </w:p>
    <w:p w14:paraId="40287DCE" w14:textId="77777777" w:rsidR="00E8617E" w:rsidRPr="00BC513A" w:rsidRDefault="00E8617E" w:rsidP="00E8617E">
      <w:pPr>
        <w:spacing w:before="240" w:after="0" w:line="240" w:lineRule="auto"/>
        <w:rPr>
          <w:rFonts w:ascii="Arial" w:eastAsia="Calibri" w:hAnsi="Arial" w:cs="Arial"/>
          <w:b/>
          <w:iCs/>
          <w:color w:val="0070C0"/>
          <w:sz w:val="20"/>
          <w:szCs w:val="20"/>
        </w:rPr>
      </w:pPr>
      <w:bookmarkStart w:id="174" w:name="_Toc504136245"/>
      <w:r w:rsidRPr="00BC513A">
        <w:rPr>
          <w:rFonts w:ascii="Arial" w:eastAsia="Calibri" w:hAnsi="Arial" w:cs="Arial"/>
          <w:b/>
          <w:iCs/>
          <w:color w:val="0070C0"/>
          <w:sz w:val="20"/>
          <w:szCs w:val="20"/>
        </w:rPr>
        <w:t xml:space="preserve">Таблица </w:t>
      </w:r>
      <w:r w:rsidRPr="00BC513A">
        <w:rPr>
          <w:rFonts w:ascii="Arial" w:eastAsia="Calibri" w:hAnsi="Arial" w:cs="Arial"/>
          <w:b/>
          <w:iCs/>
          <w:color w:val="0070C0"/>
          <w:sz w:val="20"/>
          <w:szCs w:val="20"/>
        </w:rPr>
        <w:fldChar w:fldCharType="begin"/>
      </w:r>
      <w:r w:rsidRPr="00BC513A">
        <w:rPr>
          <w:rFonts w:ascii="Arial" w:eastAsia="Calibri" w:hAnsi="Arial" w:cs="Arial"/>
          <w:b/>
          <w:iCs/>
          <w:color w:val="0070C0"/>
          <w:sz w:val="20"/>
          <w:szCs w:val="20"/>
        </w:rPr>
        <w:instrText xml:space="preserve"> SEQ Таблица \* ARABIC </w:instrText>
      </w:r>
      <w:r w:rsidRPr="00BC513A">
        <w:rPr>
          <w:rFonts w:ascii="Arial" w:eastAsia="Calibri" w:hAnsi="Arial" w:cs="Arial"/>
          <w:b/>
          <w:iCs/>
          <w:color w:val="0070C0"/>
          <w:sz w:val="20"/>
          <w:szCs w:val="20"/>
        </w:rPr>
        <w:fldChar w:fldCharType="separate"/>
      </w:r>
      <w:r w:rsidR="0023010D">
        <w:rPr>
          <w:rFonts w:ascii="Arial" w:eastAsia="Calibri" w:hAnsi="Arial" w:cs="Arial"/>
          <w:b/>
          <w:iCs/>
          <w:noProof/>
          <w:color w:val="0070C0"/>
          <w:sz w:val="20"/>
          <w:szCs w:val="20"/>
        </w:rPr>
        <w:t>73</w:t>
      </w:r>
      <w:r w:rsidRPr="00BC513A">
        <w:rPr>
          <w:rFonts w:ascii="Arial" w:eastAsia="Calibri" w:hAnsi="Arial" w:cs="Arial"/>
          <w:b/>
          <w:iCs/>
          <w:color w:val="0070C0"/>
          <w:sz w:val="20"/>
          <w:szCs w:val="20"/>
        </w:rPr>
        <w:fldChar w:fldCharType="end"/>
      </w:r>
      <w:r w:rsidRPr="00BC513A">
        <w:rPr>
          <w:rFonts w:ascii="Arial" w:eastAsia="Calibri" w:hAnsi="Arial" w:cs="Arial"/>
          <w:b/>
          <w:iCs/>
          <w:color w:val="0070C0"/>
          <w:sz w:val="20"/>
          <w:szCs w:val="20"/>
        </w:rPr>
        <w:t>. Изпълнение на целите на мярка 321 база платени проекти</w:t>
      </w:r>
      <w:bookmarkEnd w:id="174"/>
      <w:r w:rsidRPr="00BC513A">
        <w:rPr>
          <w:rFonts w:ascii="Arial" w:eastAsia="Calibri" w:hAnsi="Arial" w:cs="Arial"/>
          <w:b/>
          <w:iCs/>
          <w:color w:val="0070C0"/>
          <w:sz w:val="20"/>
          <w:szCs w:val="20"/>
        </w:rPr>
        <w:t xml:space="preserve"> </w:t>
      </w:r>
    </w:p>
    <w:tbl>
      <w:tblPr>
        <w:tblStyle w:val="TableGrid"/>
        <w:tblW w:w="0" w:type="auto"/>
        <w:tblLook w:val="04A0" w:firstRow="1" w:lastRow="0" w:firstColumn="1" w:lastColumn="0" w:noHBand="0" w:noVBand="1"/>
      </w:tblPr>
      <w:tblGrid>
        <w:gridCol w:w="3196"/>
        <w:gridCol w:w="1692"/>
        <w:gridCol w:w="1551"/>
        <w:gridCol w:w="1691"/>
        <w:gridCol w:w="1157"/>
      </w:tblGrid>
      <w:tr w:rsidR="00E8617E" w:rsidRPr="00BC513A" w14:paraId="1E64DB90" w14:textId="77777777" w:rsidTr="00922731">
        <w:tc>
          <w:tcPr>
            <w:tcW w:w="3197" w:type="dxa"/>
            <w:shd w:val="clear" w:color="auto" w:fill="1F4E79"/>
            <w:vAlign w:val="center"/>
          </w:tcPr>
          <w:p w14:paraId="6C6F0D24"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1692" w:type="dxa"/>
            <w:shd w:val="clear" w:color="auto" w:fill="1F4E79"/>
            <w:vAlign w:val="center"/>
          </w:tcPr>
          <w:p w14:paraId="7B581EF4"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Първоначална стойност</w:t>
            </w:r>
          </w:p>
        </w:tc>
        <w:tc>
          <w:tcPr>
            <w:tcW w:w="1551" w:type="dxa"/>
            <w:shd w:val="clear" w:color="auto" w:fill="1F4E79"/>
            <w:vAlign w:val="center"/>
          </w:tcPr>
          <w:p w14:paraId="7EA860A9"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 xml:space="preserve">Окончателна целева стойност </w:t>
            </w:r>
          </w:p>
        </w:tc>
        <w:tc>
          <w:tcPr>
            <w:tcW w:w="1691" w:type="dxa"/>
            <w:shd w:val="clear" w:color="auto" w:fill="1F4E79"/>
          </w:tcPr>
          <w:p w14:paraId="1C913480"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Постигната стойност след изпълнението на програмата</w:t>
            </w:r>
          </w:p>
        </w:tc>
        <w:tc>
          <w:tcPr>
            <w:tcW w:w="1157" w:type="dxa"/>
            <w:shd w:val="clear" w:color="auto" w:fill="1F4E79"/>
            <w:vAlign w:val="center"/>
          </w:tcPr>
          <w:p w14:paraId="0997C4C8"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color w:val="FFFFFF" w:themeColor="background1"/>
                <w:sz w:val="20"/>
                <w:szCs w:val="20"/>
              </w:rPr>
              <w:t>%</w:t>
            </w:r>
          </w:p>
        </w:tc>
      </w:tr>
      <w:tr w:rsidR="00E8617E" w:rsidRPr="00BC513A" w14:paraId="4F80C225" w14:textId="77777777" w:rsidTr="00922731">
        <w:tc>
          <w:tcPr>
            <w:tcW w:w="3197" w:type="dxa"/>
            <w:vAlign w:val="center"/>
          </w:tcPr>
          <w:p w14:paraId="1E47F1E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на подпомаганите дейности</w:t>
            </w:r>
          </w:p>
        </w:tc>
        <w:tc>
          <w:tcPr>
            <w:tcW w:w="1692" w:type="dxa"/>
            <w:vAlign w:val="center"/>
          </w:tcPr>
          <w:p w14:paraId="4918663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1 500</w:t>
            </w:r>
          </w:p>
        </w:tc>
        <w:tc>
          <w:tcPr>
            <w:tcW w:w="1551" w:type="dxa"/>
            <w:vAlign w:val="center"/>
          </w:tcPr>
          <w:p w14:paraId="48170FE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1 510</w:t>
            </w:r>
          </w:p>
        </w:tc>
        <w:tc>
          <w:tcPr>
            <w:tcW w:w="1691" w:type="dxa"/>
            <w:vAlign w:val="center"/>
          </w:tcPr>
          <w:p w14:paraId="37C9A6F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554</w:t>
            </w:r>
          </w:p>
        </w:tc>
        <w:tc>
          <w:tcPr>
            <w:tcW w:w="1157" w:type="dxa"/>
            <w:vAlign w:val="center"/>
          </w:tcPr>
          <w:p w14:paraId="4E167B30"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37%</w:t>
            </w:r>
          </w:p>
        </w:tc>
      </w:tr>
      <w:tr w:rsidR="00E8617E" w:rsidRPr="00BC513A" w14:paraId="5D24B965" w14:textId="77777777" w:rsidTr="00922731">
        <w:tc>
          <w:tcPr>
            <w:tcW w:w="3197" w:type="dxa"/>
            <w:vAlign w:val="center"/>
          </w:tcPr>
          <w:p w14:paraId="19A4D9E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Общ обем на инвестициите (в млн. евро)</w:t>
            </w:r>
          </w:p>
        </w:tc>
        <w:tc>
          <w:tcPr>
            <w:tcW w:w="1692" w:type="dxa"/>
            <w:vAlign w:val="center"/>
          </w:tcPr>
          <w:p w14:paraId="6447A82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409</w:t>
            </w:r>
          </w:p>
        </w:tc>
        <w:tc>
          <w:tcPr>
            <w:tcW w:w="1551" w:type="dxa"/>
            <w:vAlign w:val="center"/>
          </w:tcPr>
          <w:p w14:paraId="2C0A3C4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544</w:t>
            </w:r>
          </w:p>
        </w:tc>
        <w:tc>
          <w:tcPr>
            <w:tcW w:w="1691" w:type="dxa"/>
            <w:tcBorders>
              <w:bottom w:val="single" w:sz="4" w:space="0" w:color="auto"/>
            </w:tcBorders>
            <w:vAlign w:val="center"/>
          </w:tcPr>
          <w:p w14:paraId="1FB7496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776</w:t>
            </w:r>
          </w:p>
        </w:tc>
        <w:tc>
          <w:tcPr>
            <w:tcW w:w="1157" w:type="dxa"/>
            <w:tcBorders>
              <w:bottom w:val="single" w:sz="4" w:space="0" w:color="auto"/>
            </w:tcBorders>
            <w:vAlign w:val="center"/>
          </w:tcPr>
          <w:p w14:paraId="5587FDE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143%</w:t>
            </w:r>
          </w:p>
        </w:tc>
      </w:tr>
      <w:tr w:rsidR="00E8617E" w:rsidRPr="00BC513A" w14:paraId="74AC11E9" w14:textId="77777777" w:rsidTr="00922731">
        <w:tc>
          <w:tcPr>
            <w:tcW w:w="3197" w:type="dxa"/>
            <w:vAlign w:val="center"/>
          </w:tcPr>
          <w:p w14:paraId="64E94B2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Население в селските райони, което се ползва от подобрените услуги</w:t>
            </w:r>
          </w:p>
        </w:tc>
        <w:tc>
          <w:tcPr>
            <w:tcW w:w="1692" w:type="dxa"/>
            <w:vAlign w:val="center"/>
          </w:tcPr>
          <w:p w14:paraId="64F513D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320 000</w:t>
            </w:r>
          </w:p>
        </w:tc>
        <w:tc>
          <w:tcPr>
            <w:tcW w:w="1551" w:type="dxa"/>
            <w:vAlign w:val="center"/>
          </w:tcPr>
          <w:p w14:paraId="29074F4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320 000</w:t>
            </w:r>
          </w:p>
        </w:tc>
        <w:tc>
          <w:tcPr>
            <w:tcW w:w="1691" w:type="dxa"/>
            <w:shd w:val="clear" w:color="auto" w:fill="auto"/>
            <w:vAlign w:val="center"/>
          </w:tcPr>
          <w:p w14:paraId="1878989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564 541</w:t>
            </w:r>
          </w:p>
        </w:tc>
        <w:tc>
          <w:tcPr>
            <w:tcW w:w="1157" w:type="dxa"/>
            <w:vAlign w:val="center"/>
          </w:tcPr>
          <w:p w14:paraId="65832EE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176%</w:t>
            </w:r>
          </w:p>
        </w:tc>
      </w:tr>
      <w:tr w:rsidR="00E8617E" w:rsidRPr="00BC513A" w14:paraId="07F48DE3" w14:textId="77777777" w:rsidTr="00922731">
        <w:tc>
          <w:tcPr>
            <w:tcW w:w="3197" w:type="dxa"/>
            <w:vAlign w:val="center"/>
          </w:tcPr>
          <w:p w14:paraId="0838135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Увеличено проникване на интернет в селските райони</w:t>
            </w:r>
          </w:p>
        </w:tc>
        <w:tc>
          <w:tcPr>
            <w:tcW w:w="1692" w:type="dxa"/>
            <w:vAlign w:val="center"/>
          </w:tcPr>
          <w:p w14:paraId="6A4B395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300 000</w:t>
            </w:r>
          </w:p>
        </w:tc>
        <w:tc>
          <w:tcPr>
            <w:tcW w:w="1551" w:type="dxa"/>
            <w:vAlign w:val="center"/>
          </w:tcPr>
          <w:p w14:paraId="62E389A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300 000</w:t>
            </w:r>
          </w:p>
        </w:tc>
        <w:tc>
          <w:tcPr>
            <w:tcW w:w="1691" w:type="dxa"/>
            <w:tcBorders>
              <w:bottom w:val="single" w:sz="4" w:space="0" w:color="auto"/>
            </w:tcBorders>
            <w:vAlign w:val="center"/>
          </w:tcPr>
          <w:p w14:paraId="4E25D890"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0</w:t>
            </w:r>
          </w:p>
        </w:tc>
        <w:tc>
          <w:tcPr>
            <w:tcW w:w="1157" w:type="dxa"/>
            <w:tcBorders>
              <w:bottom w:val="single" w:sz="4" w:space="0" w:color="auto"/>
            </w:tcBorders>
            <w:vAlign w:val="center"/>
          </w:tcPr>
          <w:p w14:paraId="1CF1EBE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0</w:t>
            </w:r>
          </w:p>
        </w:tc>
      </w:tr>
      <w:tr w:rsidR="00E8617E" w:rsidRPr="00BC513A" w14:paraId="46051AAF" w14:textId="77777777" w:rsidTr="00922731">
        <w:tc>
          <w:tcPr>
            <w:tcW w:w="3197" w:type="dxa"/>
            <w:shd w:val="clear" w:color="auto" w:fill="FFFFFF" w:themeFill="background1"/>
            <w:vAlign w:val="center"/>
          </w:tcPr>
          <w:p w14:paraId="4BF3E61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Нетно създадени допълнителни работни места на пълен работен ден</w:t>
            </w:r>
          </w:p>
        </w:tc>
        <w:tc>
          <w:tcPr>
            <w:tcW w:w="1692" w:type="dxa"/>
            <w:shd w:val="clear" w:color="auto" w:fill="FFFFFF" w:themeFill="background1"/>
            <w:vAlign w:val="center"/>
          </w:tcPr>
          <w:p w14:paraId="66CE51F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1 560</w:t>
            </w:r>
          </w:p>
        </w:tc>
        <w:tc>
          <w:tcPr>
            <w:tcW w:w="1551" w:type="dxa"/>
            <w:shd w:val="clear" w:color="auto" w:fill="FFFFFF" w:themeFill="background1"/>
            <w:vAlign w:val="center"/>
          </w:tcPr>
          <w:p w14:paraId="142BACF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1 560</w:t>
            </w:r>
          </w:p>
        </w:tc>
        <w:tc>
          <w:tcPr>
            <w:tcW w:w="1691" w:type="dxa"/>
            <w:shd w:val="clear" w:color="auto" w:fill="FFFFFF" w:themeFill="background1"/>
            <w:vAlign w:val="center"/>
          </w:tcPr>
          <w:p w14:paraId="6A96CAE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 xml:space="preserve">Няма данни </w:t>
            </w:r>
          </w:p>
        </w:tc>
        <w:tc>
          <w:tcPr>
            <w:tcW w:w="1157" w:type="dxa"/>
            <w:shd w:val="clear" w:color="auto" w:fill="FFFFFF" w:themeFill="background1"/>
            <w:vAlign w:val="center"/>
          </w:tcPr>
          <w:p w14:paraId="35F2FDF3" w14:textId="77777777" w:rsidR="00E8617E" w:rsidRPr="00BC513A" w:rsidRDefault="00E8617E" w:rsidP="00922731">
            <w:pPr>
              <w:jc w:val="center"/>
              <w:rPr>
                <w:rFonts w:ascii="Arial" w:hAnsi="Arial" w:cs="Arial"/>
                <w:sz w:val="20"/>
                <w:szCs w:val="20"/>
              </w:rPr>
            </w:pPr>
          </w:p>
        </w:tc>
      </w:tr>
    </w:tbl>
    <w:p w14:paraId="4CDD8962" w14:textId="77777777" w:rsidR="00E8617E" w:rsidRPr="00F07F15" w:rsidRDefault="00E8617E" w:rsidP="00E8617E">
      <w:pPr>
        <w:spacing w:after="0" w:line="276" w:lineRule="auto"/>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 xml:space="preserve">Източник: Годишни доклади на ПРСР 2007-2013г. </w:t>
      </w:r>
    </w:p>
    <w:p w14:paraId="69EC5E53" w14:textId="77777777" w:rsidR="00F07F15" w:rsidRDefault="00F07F15" w:rsidP="00E8617E">
      <w:pPr>
        <w:spacing w:after="120" w:line="280" w:lineRule="atLeast"/>
        <w:ind w:firstLine="360"/>
        <w:jc w:val="both"/>
        <w:rPr>
          <w:rFonts w:ascii="Arial" w:hAnsi="Arial" w:cs="Arial"/>
        </w:rPr>
      </w:pPr>
    </w:p>
    <w:p w14:paraId="2BEB7B4F" w14:textId="77777777" w:rsidR="00E8617E" w:rsidRPr="00BC513A" w:rsidRDefault="00E8617E" w:rsidP="00E8617E">
      <w:pPr>
        <w:spacing w:after="120" w:line="280" w:lineRule="atLeast"/>
        <w:ind w:firstLine="360"/>
        <w:jc w:val="both"/>
        <w:rPr>
          <w:rFonts w:ascii="Arial" w:hAnsi="Arial" w:cs="Arial"/>
        </w:rPr>
      </w:pPr>
      <w:r w:rsidRPr="00BC513A">
        <w:rPr>
          <w:rFonts w:ascii="Arial" w:hAnsi="Arial" w:cs="Arial"/>
        </w:rPr>
        <w:t>Анализът на количествената информация позволява да се направи качествен анализ и оценка по отношение напредъка, насочеността и окончателното изпълнение на проектите по мярката, както следва:</w:t>
      </w:r>
    </w:p>
    <w:p w14:paraId="03E6416C" w14:textId="77777777" w:rsidR="00E8617E" w:rsidRPr="00BC513A" w:rsidRDefault="00E8617E" w:rsidP="00E8617E">
      <w:pPr>
        <w:pStyle w:val="ListParagraph"/>
        <w:numPr>
          <w:ilvl w:val="1"/>
          <w:numId w:val="49"/>
        </w:numPr>
        <w:spacing w:after="120" w:line="280" w:lineRule="atLeast"/>
        <w:contextualSpacing w:val="0"/>
        <w:jc w:val="both"/>
        <w:rPr>
          <w:rFonts w:ascii="Arial" w:hAnsi="Arial" w:cs="Arial"/>
        </w:rPr>
      </w:pPr>
      <w:r w:rsidRPr="00BC513A">
        <w:rPr>
          <w:rFonts w:ascii="Arial" w:hAnsi="Arial" w:cs="Arial"/>
        </w:rPr>
        <w:t xml:space="preserve">Няколкократното увеличаване бюджета на мярката чрез реалокиране на средства от по-малко привлекателни за бенефициентите мерки намира фактическо изражение в чувствително преизпълнение на индикатора, свързан с планиран обем на инвестициите, макар и за сметка на по-малък брой подпомагани дейности. </w:t>
      </w:r>
    </w:p>
    <w:p w14:paraId="336876CB" w14:textId="77777777" w:rsidR="00E8617E" w:rsidRPr="00BC513A" w:rsidRDefault="00E8617E" w:rsidP="00E8617E">
      <w:pPr>
        <w:pStyle w:val="ListParagraph"/>
        <w:numPr>
          <w:ilvl w:val="1"/>
          <w:numId w:val="49"/>
        </w:numPr>
        <w:spacing w:after="120" w:line="280" w:lineRule="atLeast"/>
        <w:contextualSpacing w:val="0"/>
        <w:jc w:val="both"/>
        <w:rPr>
          <w:rFonts w:ascii="Arial" w:hAnsi="Arial" w:cs="Arial"/>
        </w:rPr>
      </w:pPr>
      <w:r w:rsidRPr="00BC513A">
        <w:rPr>
          <w:rFonts w:ascii="Arial" w:hAnsi="Arial" w:cs="Arial"/>
        </w:rPr>
        <w:t>Броят на подпомогнатото население на територията на селските райони е със 76% повече от заложената целева стойност.</w:t>
      </w:r>
    </w:p>
    <w:p w14:paraId="49A22A2E" w14:textId="77777777" w:rsidR="00E8617E" w:rsidRPr="00BC513A" w:rsidRDefault="00E8617E" w:rsidP="00E8617E">
      <w:pPr>
        <w:keepNext/>
        <w:spacing w:before="240" w:after="120" w:line="276" w:lineRule="auto"/>
        <w:jc w:val="both"/>
        <w:rPr>
          <w:rFonts w:ascii="Arial" w:eastAsia="Times New Roman" w:hAnsi="Arial" w:cs="Arial"/>
          <w:bCs/>
          <w:i/>
          <w:sz w:val="20"/>
          <w:szCs w:val="24"/>
        </w:rPr>
      </w:pPr>
      <w:bookmarkStart w:id="175" w:name="_Toc504136246"/>
      <w:r w:rsidRPr="00BC513A">
        <w:rPr>
          <w:rFonts w:ascii="Arial" w:eastAsia="Calibri" w:hAnsi="Arial" w:cs="Arial"/>
          <w:b/>
          <w:iCs/>
          <w:color w:val="0070C0"/>
          <w:sz w:val="20"/>
          <w:szCs w:val="20"/>
        </w:rPr>
        <w:t xml:space="preserve">Таблица </w:t>
      </w:r>
      <w:r w:rsidRPr="00BC513A">
        <w:rPr>
          <w:rFonts w:ascii="Arial" w:eastAsia="Calibri" w:hAnsi="Arial" w:cs="Arial"/>
          <w:b/>
          <w:iCs/>
          <w:color w:val="0070C0"/>
          <w:sz w:val="20"/>
          <w:szCs w:val="20"/>
        </w:rPr>
        <w:fldChar w:fldCharType="begin"/>
      </w:r>
      <w:r w:rsidRPr="00BC513A">
        <w:rPr>
          <w:rFonts w:ascii="Arial" w:eastAsia="Calibri" w:hAnsi="Arial" w:cs="Arial"/>
          <w:b/>
          <w:iCs/>
          <w:color w:val="0070C0"/>
          <w:sz w:val="20"/>
          <w:szCs w:val="20"/>
        </w:rPr>
        <w:instrText xml:space="preserve"> SEQ Таблица \* ARABIC </w:instrText>
      </w:r>
      <w:r w:rsidRPr="00BC513A">
        <w:rPr>
          <w:rFonts w:ascii="Arial" w:eastAsia="Calibri" w:hAnsi="Arial" w:cs="Arial"/>
          <w:b/>
          <w:iCs/>
          <w:color w:val="0070C0"/>
          <w:sz w:val="20"/>
          <w:szCs w:val="20"/>
        </w:rPr>
        <w:fldChar w:fldCharType="separate"/>
      </w:r>
      <w:r w:rsidR="0023010D">
        <w:rPr>
          <w:rFonts w:ascii="Arial" w:eastAsia="Calibri" w:hAnsi="Arial" w:cs="Arial"/>
          <w:b/>
          <w:iCs/>
          <w:noProof/>
          <w:color w:val="0070C0"/>
          <w:sz w:val="20"/>
          <w:szCs w:val="20"/>
        </w:rPr>
        <w:t>74</w:t>
      </w:r>
      <w:r w:rsidRPr="00BC513A">
        <w:rPr>
          <w:rFonts w:ascii="Arial" w:eastAsia="Calibri" w:hAnsi="Arial" w:cs="Arial"/>
          <w:b/>
          <w:iCs/>
          <w:color w:val="0070C0"/>
          <w:sz w:val="20"/>
          <w:szCs w:val="20"/>
        </w:rPr>
        <w:fldChar w:fldCharType="end"/>
      </w:r>
      <w:r w:rsidRPr="00BC513A">
        <w:rPr>
          <w:rFonts w:ascii="Arial" w:eastAsia="Calibri" w:hAnsi="Arial" w:cs="Arial"/>
          <w:b/>
          <w:iCs/>
          <w:color w:val="0070C0"/>
          <w:sz w:val="20"/>
          <w:szCs w:val="20"/>
        </w:rPr>
        <w:t xml:space="preserve">. </w:t>
      </w:r>
      <w:r w:rsidRPr="00BC513A">
        <w:rPr>
          <w:rFonts w:ascii="Arial" w:eastAsia="Calibri" w:hAnsi="Arial" w:cs="Arial"/>
          <w:b/>
          <w:color w:val="0070C0"/>
          <w:sz w:val="20"/>
          <w:szCs w:val="20"/>
        </w:rPr>
        <w:t>Изпълнение на допълнителни специфични индикатори и цели на база проекти с плащане по мярка 321</w:t>
      </w:r>
      <w:bookmarkEnd w:id="175"/>
    </w:p>
    <w:tbl>
      <w:tblPr>
        <w:tblStyle w:val="TableGrid"/>
        <w:tblW w:w="9293" w:type="dxa"/>
        <w:tblInd w:w="-5" w:type="dxa"/>
        <w:tblLook w:val="04A0" w:firstRow="1" w:lastRow="0" w:firstColumn="1" w:lastColumn="0" w:noHBand="0" w:noVBand="1"/>
      </w:tblPr>
      <w:tblGrid>
        <w:gridCol w:w="3442"/>
        <w:gridCol w:w="1692"/>
        <w:gridCol w:w="1511"/>
        <w:gridCol w:w="1682"/>
        <w:gridCol w:w="966"/>
      </w:tblGrid>
      <w:tr w:rsidR="00E8617E" w:rsidRPr="00BC513A" w14:paraId="70EEBFB0" w14:textId="77777777" w:rsidTr="00535876">
        <w:trPr>
          <w:tblHeader/>
        </w:trPr>
        <w:tc>
          <w:tcPr>
            <w:tcW w:w="3660" w:type="dxa"/>
            <w:shd w:val="clear" w:color="auto" w:fill="1F4E79"/>
            <w:vAlign w:val="center"/>
          </w:tcPr>
          <w:p w14:paraId="6D38F7C8"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1118" w:type="dxa"/>
            <w:shd w:val="clear" w:color="auto" w:fill="1F4E79"/>
            <w:vAlign w:val="center"/>
          </w:tcPr>
          <w:p w14:paraId="3D86A207"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sz w:val="20"/>
                <w:szCs w:val="20"/>
              </w:rPr>
              <w:t>Първоначална стойност</w:t>
            </w:r>
          </w:p>
        </w:tc>
        <w:tc>
          <w:tcPr>
            <w:tcW w:w="1469" w:type="dxa"/>
            <w:shd w:val="clear" w:color="auto" w:fill="1F4E79"/>
            <w:vAlign w:val="center"/>
          </w:tcPr>
          <w:p w14:paraId="7102AF72" w14:textId="77777777" w:rsidR="00E8617E" w:rsidRPr="00BC513A" w:rsidRDefault="00E8617E" w:rsidP="00922731">
            <w:pPr>
              <w:jc w:val="center"/>
              <w:rPr>
                <w:rFonts w:ascii="Arial" w:hAnsi="Arial" w:cs="Arial"/>
                <w:color w:val="FFFFFF" w:themeColor="background1"/>
              </w:rPr>
            </w:pPr>
            <w:r w:rsidRPr="00BC513A">
              <w:rPr>
                <w:rFonts w:ascii="Arial" w:eastAsia="Calibri" w:hAnsi="Arial" w:cs="Arial"/>
                <w:b/>
                <w:color w:val="FFFFFF"/>
                <w:sz w:val="20"/>
                <w:szCs w:val="20"/>
              </w:rPr>
              <w:t>Окончателна целева стойност</w:t>
            </w:r>
          </w:p>
        </w:tc>
        <w:tc>
          <w:tcPr>
            <w:tcW w:w="1757" w:type="dxa"/>
            <w:shd w:val="clear" w:color="auto" w:fill="1F4E79"/>
          </w:tcPr>
          <w:p w14:paraId="0F119E81" w14:textId="77777777" w:rsidR="00E8617E" w:rsidRPr="00BC513A" w:rsidRDefault="00E8617E" w:rsidP="00922731">
            <w:pPr>
              <w:jc w:val="center"/>
              <w:rPr>
                <w:rFonts w:ascii="Arial" w:hAnsi="Arial" w:cs="Arial"/>
                <w:color w:val="FFFFFF" w:themeColor="background1"/>
              </w:rPr>
            </w:pPr>
            <w:r w:rsidRPr="00BC513A">
              <w:rPr>
                <w:rFonts w:ascii="Arial" w:eastAsia="Calibri" w:hAnsi="Arial" w:cs="Arial"/>
                <w:b/>
                <w:color w:val="FFFFFF"/>
                <w:sz w:val="20"/>
                <w:szCs w:val="20"/>
              </w:rPr>
              <w:t>Постигната стойност след изпълнението на програмата</w:t>
            </w:r>
          </w:p>
        </w:tc>
        <w:tc>
          <w:tcPr>
            <w:tcW w:w="1289" w:type="dxa"/>
            <w:shd w:val="clear" w:color="auto" w:fill="1F4E79"/>
            <w:vAlign w:val="center"/>
          </w:tcPr>
          <w:p w14:paraId="31FA7888"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color w:val="FFFFFF"/>
                <w:sz w:val="20"/>
                <w:szCs w:val="20"/>
              </w:rPr>
              <w:t>%</w:t>
            </w:r>
          </w:p>
        </w:tc>
      </w:tr>
      <w:tr w:rsidR="00E8617E" w:rsidRPr="00BC513A" w14:paraId="3CFCC874" w14:textId="77777777" w:rsidTr="00922731">
        <w:tc>
          <w:tcPr>
            <w:tcW w:w="3660" w:type="dxa"/>
            <w:vAlign w:val="center"/>
          </w:tcPr>
          <w:p w14:paraId="123CAB5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Реконструирана/рехабилитирана общинска пътна мрежа (km)</w:t>
            </w:r>
          </w:p>
        </w:tc>
        <w:tc>
          <w:tcPr>
            <w:tcW w:w="1118" w:type="dxa"/>
            <w:vAlign w:val="center"/>
          </w:tcPr>
          <w:p w14:paraId="3C84F6F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450</w:t>
            </w:r>
          </w:p>
        </w:tc>
        <w:tc>
          <w:tcPr>
            <w:tcW w:w="1469" w:type="dxa"/>
            <w:vAlign w:val="center"/>
          </w:tcPr>
          <w:p w14:paraId="5402AEC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450</w:t>
            </w:r>
          </w:p>
        </w:tc>
        <w:tc>
          <w:tcPr>
            <w:tcW w:w="1757" w:type="dxa"/>
            <w:vAlign w:val="center"/>
          </w:tcPr>
          <w:p w14:paraId="05F7F4B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1 955</w:t>
            </w:r>
          </w:p>
        </w:tc>
        <w:tc>
          <w:tcPr>
            <w:tcW w:w="1289" w:type="dxa"/>
            <w:vAlign w:val="center"/>
          </w:tcPr>
          <w:p w14:paraId="1473E3F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434%</w:t>
            </w:r>
          </w:p>
        </w:tc>
      </w:tr>
      <w:tr w:rsidR="00E8617E" w:rsidRPr="00BC513A" w14:paraId="2B8D49AC" w14:textId="77777777" w:rsidTr="00922731">
        <w:tc>
          <w:tcPr>
            <w:tcW w:w="3660" w:type="dxa"/>
            <w:vAlign w:val="center"/>
          </w:tcPr>
          <w:p w14:paraId="48A2E88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Новоизградена общинска пътна инфраструктура (km)</w:t>
            </w:r>
          </w:p>
        </w:tc>
        <w:tc>
          <w:tcPr>
            <w:tcW w:w="1118" w:type="dxa"/>
            <w:vAlign w:val="center"/>
          </w:tcPr>
          <w:p w14:paraId="2CC03DF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20</w:t>
            </w:r>
          </w:p>
        </w:tc>
        <w:tc>
          <w:tcPr>
            <w:tcW w:w="1469" w:type="dxa"/>
            <w:vAlign w:val="center"/>
          </w:tcPr>
          <w:p w14:paraId="6616174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20</w:t>
            </w:r>
          </w:p>
        </w:tc>
        <w:tc>
          <w:tcPr>
            <w:tcW w:w="1757" w:type="dxa"/>
            <w:vAlign w:val="center"/>
          </w:tcPr>
          <w:p w14:paraId="7887E3D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57</w:t>
            </w:r>
          </w:p>
        </w:tc>
        <w:tc>
          <w:tcPr>
            <w:tcW w:w="1289" w:type="dxa"/>
            <w:vAlign w:val="center"/>
          </w:tcPr>
          <w:p w14:paraId="103DBD2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285%</w:t>
            </w:r>
          </w:p>
        </w:tc>
      </w:tr>
      <w:tr w:rsidR="00E8617E" w:rsidRPr="00BC513A" w14:paraId="0F036EFD" w14:textId="77777777" w:rsidTr="00922731">
        <w:tc>
          <w:tcPr>
            <w:tcW w:w="3660" w:type="dxa"/>
            <w:vAlign w:val="center"/>
          </w:tcPr>
          <w:p w14:paraId="6650052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Реконструирана/рехабилитирана водоснабдителна и канализационна мрежа (km)</w:t>
            </w:r>
          </w:p>
        </w:tc>
        <w:tc>
          <w:tcPr>
            <w:tcW w:w="1118" w:type="dxa"/>
            <w:vAlign w:val="center"/>
          </w:tcPr>
          <w:p w14:paraId="26E38A4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1 700</w:t>
            </w:r>
          </w:p>
        </w:tc>
        <w:tc>
          <w:tcPr>
            <w:tcW w:w="1469" w:type="dxa"/>
            <w:vAlign w:val="center"/>
          </w:tcPr>
          <w:p w14:paraId="023DAEF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1 782</w:t>
            </w:r>
          </w:p>
        </w:tc>
        <w:tc>
          <w:tcPr>
            <w:tcW w:w="1757" w:type="dxa"/>
            <w:vAlign w:val="center"/>
          </w:tcPr>
          <w:p w14:paraId="136D673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1 731</w:t>
            </w:r>
          </w:p>
        </w:tc>
        <w:tc>
          <w:tcPr>
            <w:tcW w:w="1289" w:type="dxa"/>
            <w:vAlign w:val="center"/>
          </w:tcPr>
          <w:p w14:paraId="671E432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97%</w:t>
            </w:r>
          </w:p>
        </w:tc>
      </w:tr>
      <w:tr w:rsidR="00E8617E" w:rsidRPr="00BC513A" w14:paraId="39CC1BA8" w14:textId="77777777" w:rsidTr="00922731">
        <w:tc>
          <w:tcPr>
            <w:tcW w:w="3660" w:type="dxa"/>
            <w:vAlign w:val="center"/>
          </w:tcPr>
          <w:p w14:paraId="11C5936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Новоизградена водоснабдителна и канализационна мрежа (km)</w:t>
            </w:r>
          </w:p>
        </w:tc>
        <w:tc>
          <w:tcPr>
            <w:tcW w:w="1118" w:type="dxa"/>
            <w:vAlign w:val="center"/>
          </w:tcPr>
          <w:p w14:paraId="63B40EA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800</w:t>
            </w:r>
          </w:p>
        </w:tc>
        <w:tc>
          <w:tcPr>
            <w:tcW w:w="1469" w:type="dxa"/>
            <w:vAlign w:val="center"/>
          </w:tcPr>
          <w:p w14:paraId="0DA25C9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810</w:t>
            </w:r>
          </w:p>
        </w:tc>
        <w:tc>
          <w:tcPr>
            <w:tcW w:w="1757" w:type="dxa"/>
            <w:vAlign w:val="center"/>
          </w:tcPr>
          <w:p w14:paraId="28C7748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325</w:t>
            </w:r>
          </w:p>
        </w:tc>
        <w:tc>
          <w:tcPr>
            <w:tcW w:w="1289" w:type="dxa"/>
            <w:vAlign w:val="center"/>
          </w:tcPr>
          <w:p w14:paraId="06CE778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40%</w:t>
            </w:r>
          </w:p>
        </w:tc>
      </w:tr>
      <w:tr w:rsidR="00E8617E" w:rsidRPr="00BC513A" w14:paraId="4E9949A9" w14:textId="77777777" w:rsidTr="00922731">
        <w:tc>
          <w:tcPr>
            <w:tcW w:w="3660" w:type="dxa"/>
            <w:vAlign w:val="center"/>
          </w:tcPr>
          <w:p w14:paraId="664DDCE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изградени/обновени сгради и съоръжения свързани с услуги за предоставяне на културни услуги</w:t>
            </w:r>
          </w:p>
        </w:tc>
        <w:tc>
          <w:tcPr>
            <w:tcW w:w="1118" w:type="dxa"/>
            <w:vAlign w:val="center"/>
          </w:tcPr>
          <w:p w14:paraId="5420D18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240</w:t>
            </w:r>
          </w:p>
        </w:tc>
        <w:tc>
          <w:tcPr>
            <w:tcW w:w="1469" w:type="dxa"/>
            <w:vAlign w:val="center"/>
          </w:tcPr>
          <w:p w14:paraId="0A12FDB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240</w:t>
            </w:r>
          </w:p>
        </w:tc>
        <w:tc>
          <w:tcPr>
            <w:tcW w:w="1757" w:type="dxa"/>
            <w:vAlign w:val="center"/>
          </w:tcPr>
          <w:p w14:paraId="159B140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119</w:t>
            </w:r>
          </w:p>
        </w:tc>
        <w:tc>
          <w:tcPr>
            <w:tcW w:w="1289" w:type="dxa"/>
            <w:vAlign w:val="center"/>
          </w:tcPr>
          <w:p w14:paraId="795BB770"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49,5%</w:t>
            </w:r>
          </w:p>
        </w:tc>
      </w:tr>
      <w:tr w:rsidR="00E8617E" w:rsidRPr="00BC513A" w14:paraId="48EC1F4B" w14:textId="77777777" w:rsidTr="00922731">
        <w:tc>
          <w:tcPr>
            <w:tcW w:w="3660" w:type="dxa"/>
            <w:vAlign w:val="center"/>
          </w:tcPr>
          <w:p w14:paraId="69ABA98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изградени/обновени сгради/съоръжения за услуги свързани със спорта</w:t>
            </w:r>
          </w:p>
        </w:tc>
        <w:tc>
          <w:tcPr>
            <w:tcW w:w="1118" w:type="dxa"/>
            <w:vAlign w:val="center"/>
          </w:tcPr>
          <w:p w14:paraId="7994087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180</w:t>
            </w:r>
          </w:p>
        </w:tc>
        <w:tc>
          <w:tcPr>
            <w:tcW w:w="1469" w:type="dxa"/>
            <w:vAlign w:val="center"/>
          </w:tcPr>
          <w:p w14:paraId="3F15CEA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180</w:t>
            </w:r>
          </w:p>
        </w:tc>
        <w:tc>
          <w:tcPr>
            <w:tcW w:w="1757" w:type="dxa"/>
            <w:vAlign w:val="center"/>
          </w:tcPr>
          <w:p w14:paraId="42A63F5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314</w:t>
            </w:r>
          </w:p>
        </w:tc>
        <w:tc>
          <w:tcPr>
            <w:tcW w:w="1289" w:type="dxa"/>
            <w:vAlign w:val="center"/>
          </w:tcPr>
          <w:p w14:paraId="7ED83EB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174%</w:t>
            </w:r>
          </w:p>
        </w:tc>
      </w:tr>
      <w:tr w:rsidR="00E8617E" w:rsidRPr="00BC513A" w14:paraId="4BFADFB6" w14:textId="77777777" w:rsidTr="00922731">
        <w:tc>
          <w:tcPr>
            <w:tcW w:w="3660" w:type="dxa"/>
            <w:vAlign w:val="center"/>
          </w:tcPr>
          <w:p w14:paraId="25796E7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изградени/обновени сгради за предоставяне на социални услуги, от които изградени/обновени центрове за услуги за деца и младежи, предвидени в Националната стратегия „Визия за деинституционализация на децата в Република България"</w:t>
            </w:r>
          </w:p>
        </w:tc>
        <w:tc>
          <w:tcPr>
            <w:tcW w:w="1118" w:type="dxa"/>
            <w:vAlign w:val="center"/>
          </w:tcPr>
          <w:p w14:paraId="3E8FAC7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420</w:t>
            </w:r>
          </w:p>
          <w:p w14:paraId="28D90869" w14:textId="77777777" w:rsidR="00E8617E" w:rsidRPr="00BC513A" w:rsidRDefault="00E8617E" w:rsidP="00922731">
            <w:pPr>
              <w:jc w:val="center"/>
              <w:rPr>
                <w:rFonts w:ascii="Arial" w:hAnsi="Arial" w:cs="Arial"/>
                <w:sz w:val="20"/>
                <w:szCs w:val="20"/>
              </w:rPr>
            </w:pPr>
          </w:p>
          <w:p w14:paraId="2924652F" w14:textId="77777777" w:rsidR="00E8617E" w:rsidRPr="00BC513A" w:rsidRDefault="00E8617E" w:rsidP="00922731">
            <w:pPr>
              <w:jc w:val="center"/>
              <w:rPr>
                <w:rFonts w:ascii="Arial" w:hAnsi="Arial" w:cs="Arial"/>
                <w:sz w:val="20"/>
                <w:szCs w:val="20"/>
              </w:rPr>
            </w:pPr>
          </w:p>
          <w:p w14:paraId="744A8906" w14:textId="77777777" w:rsidR="00E8617E" w:rsidRPr="00BC513A" w:rsidRDefault="00E8617E" w:rsidP="00922731">
            <w:pPr>
              <w:jc w:val="center"/>
              <w:rPr>
                <w:rFonts w:ascii="Arial" w:hAnsi="Arial" w:cs="Arial"/>
                <w:sz w:val="20"/>
                <w:szCs w:val="20"/>
              </w:rPr>
            </w:pPr>
          </w:p>
          <w:p w14:paraId="6A7799E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w:t>
            </w:r>
          </w:p>
        </w:tc>
        <w:tc>
          <w:tcPr>
            <w:tcW w:w="1469" w:type="dxa"/>
            <w:vAlign w:val="center"/>
          </w:tcPr>
          <w:p w14:paraId="0958DE8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420</w:t>
            </w:r>
          </w:p>
          <w:p w14:paraId="315ED60A" w14:textId="77777777" w:rsidR="00E8617E" w:rsidRPr="00BC513A" w:rsidRDefault="00E8617E" w:rsidP="00922731">
            <w:pPr>
              <w:jc w:val="center"/>
              <w:rPr>
                <w:rFonts w:ascii="Arial" w:hAnsi="Arial" w:cs="Arial"/>
                <w:sz w:val="20"/>
                <w:szCs w:val="20"/>
              </w:rPr>
            </w:pPr>
          </w:p>
          <w:p w14:paraId="1E45F90E" w14:textId="77777777" w:rsidR="00E8617E" w:rsidRPr="00BC513A" w:rsidRDefault="00E8617E" w:rsidP="00922731">
            <w:pPr>
              <w:jc w:val="center"/>
              <w:rPr>
                <w:rFonts w:ascii="Arial" w:hAnsi="Arial" w:cs="Arial"/>
                <w:sz w:val="20"/>
                <w:szCs w:val="20"/>
              </w:rPr>
            </w:pPr>
          </w:p>
          <w:p w14:paraId="7D704322" w14:textId="77777777" w:rsidR="00E8617E" w:rsidRPr="00BC513A" w:rsidRDefault="00E8617E" w:rsidP="00922731">
            <w:pPr>
              <w:jc w:val="center"/>
              <w:rPr>
                <w:rFonts w:ascii="Arial" w:hAnsi="Arial" w:cs="Arial"/>
                <w:sz w:val="20"/>
                <w:szCs w:val="20"/>
              </w:rPr>
            </w:pPr>
          </w:p>
          <w:p w14:paraId="56CC604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34</w:t>
            </w:r>
          </w:p>
        </w:tc>
        <w:tc>
          <w:tcPr>
            <w:tcW w:w="1757" w:type="dxa"/>
            <w:vAlign w:val="center"/>
          </w:tcPr>
          <w:p w14:paraId="799606B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59</w:t>
            </w:r>
          </w:p>
          <w:p w14:paraId="0B8C778C" w14:textId="77777777" w:rsidR="00E8617E" w:rsidRPr="00BC513A" w:rsidRDefault="00E8617E" w:rsidP="00922731">
            <w:pPr>
              <w:jc w:val="center"/>
              <w:rPr>
                <w:rFonts w:ascii="Arial" w:hAnsi="Arial" w:cs="Arial"/>
                <w:sz w:val="20"/>
                <w:szCs w:val="20"/>
              </w:rPr>
            </w:pPr>
          </w:p>
          <w:p w14:paraId="26D2DA0D" w14:textId="77777777" w:rsidR="00E8617E" w:rsidRPr="00BC513A" w:rsidRDefault="00E8617E" w:rsidP="00922731">
            <w:pPr>
              <w:jc w:val="center"/>
              <w:rPr>
                <w:rFonts w:ascii="Arial" w:hAnsi="Arial" w:cs="Arial"/>
                <w:sz w:val="20"/>
                <w:szCs w:val="20"/>
              </w:rPr>
            </w:pPr>
          </w:p>
          <w:p w14:paraId="0203F44D" w14:textId="77777777" w:rsidR="00E8617E" w:rsidRPr="00BC513A" w:rsidRDefault="00E8617E" w:rsidP="00922731">
            <w:pPr>
              <w:jc w:val="center"/>
              <w:rPr>
                <w:rFonts w:ascii="Arial" w:hAnsi="Arial" w:cs="Arial"/>
                <w:sz w:val="20"/>
                <w:szCs w:val="20"/>
              </w:rPr>
            </w:pPr>
          </w:p>
          <w:p w14:paraId="6CBFDDB3" w14:textId="77777777" w:rsidR="00E8617E" w:rsidRPr="00BC513A" w:rsidRDefault="00E8617E" w:rsidP="00922731">
            <w:pPr>
              <w:jc w:val="center"/>
              <w:rPr>
                <w:rFonts w:ascii="Arial" w:hAnsi="Arial" w:cs="Arial"/>
                <w:sz w:val="20"/>
                <w:szCs w:val="20"/>
              </w:rPr>
            </w:pPr>
          </w:p>
        </w:tc>
        <w:tc>
          <w:tcPr>
            <w:tcW w:w="1289" w:type="dxa"/>
            <w:vAlign w:val="center"/>
          </w:tcPr>
          <w:p w14:paraId="17A910E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14%</w:t>
            </w:r>
          </w:p>
        </w:tc>
      </w:tr>
      <w:tr w:rsidR="00E8617E" w:rsidRPr="00BC513A" w14:paraId="5D0A33A2" w14:textId="77777777" w:rsidTr="00922731">
        <w:tc>
          <w:tcPr>
            <w:tcW w:w="3660" w:type="dxa"/>
            <w:vAlign w:val="center"/>
          </w:tcPr>
          <w:p w14:paraId="726528D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проекти за развитие на услуги свързани с използването на информационни и комуникационни технологии</w:t>
            </w:r>
          </w:p>
        </w:tc>
        <w:tc>
          <w:tcPr>
            <w:tcW w:w="1118" w:type="dxa"/>
            <w:vAlign w:val="center"/>
          </w:tcPr>
          <w:p w14:paraId="2DDDF87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360</w:t>
            </w:r>
          </w:p>
        </w:tc>
        <w:tc>
          <w:tcPr>
            <w:tcW w:w="1469" w:type="dxa"/>
            <w:vAlign w:val="center"/>
          </w:tcPr>
          <w:p w14:paraId="37918DA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360</w:t>
            </w:r>
          </w:p>
        </w:tc>
        <w:tc>
          <w:tcPr>
            <w:tcW w:w="1757" w:type="dxa"/>
            <w:vAlign w:val="center"/>
          </w:tcPr>
          <w:p w14:paraId="65F4F24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98</w:t>
            </w:r>
          </w:p>
        </w:tc>
        <w:tc>
          <w:tcPr>
            <w:tcW w:w="1289" w:type="dxa"/>
            <w:vAlign w:val="center"/>
          </w:tcPr>
          <w:p w14:paraId="00FF4BC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27%</w:t>
            </w:r>
          </w:p>
        </w:tc>
      </w:tr>
      <w:tr w:rsidR="00E8617E" w:rsidRPr="00BC513A" w14:paraId="69846BF5" w14:textId="77777777" w:rsidTr="00922731">
        <w:tc>
          <w:tcPr>
            <w:tcW w:w="3660" w:type="dxa"/>
            <w:vAlign w:val="center"/>
          </w:tcPr>
          <w:p w14:paraId="6B6BA5B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Общ обем на инвестициите за създаване или подобряване на центрове за ИКТ базирани услуги (в млн. евро)</w:t>
            </w:r>
          </w:p>
        </w:tc>
        <w:tc>
          <w:tcPr>
            <w:tcW w:w="1118" w:type="dxa"/>
            <w:vAlign w:val="center"/>
          </w:tcPr>
          <w:p w14:paraId="1BC251C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w:t>
            </w:r>
          </w:p>
        </w:tc>
        <w:tc>
          <w:tcPr>
            <w:tcW w:w="1469" w:type="dxa"/>
            <w:vAlign w:val="center"/>
          </w:tcPr>
          <w:p w14:paraId="08C8EEF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7.5</w:t>
            </w:r>
          </w:p>
        </w:tc>
        <w:tc>
          <w:tcPr>
            <w:tcW w:w="1757" w:type="dxa"/>
            <w:vAlign w:val="center"/>
          </w:tcPr>
          <w:p w14:paraId="1F84CDE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8.8</w:t>
            </w:r>
          </w:p>
        </w:tc>
        <w:tc>
          <w:tcPr>
            <w:tcW w:w="1289" w:type="dxa"/>
            <w:vAlign w:val="center"/>
          </w:tcPr>
          <w:p w14:paraId="44DCE68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117%</w:t>
            </w:r>
          </w:p>
        </w:tc>
      </w:tr>
    </w:tbl>
    <w:p w14:paraId="182E8892" w14:textId="77777777" w:rsidR="00E8617E" w:rsidRPr="00F07F15" w:rsidRDefault="00E8617E" w:rsidP="00E8617E">
      <w:pPr>
        <w:spacing w:after="120" w:line="276" w:lineRule="auto"/>
        <w:jc w:val="both"/>
        <w:rPr>
          <w:rFonts w:ascii="Arial" w:hAnsi="Arial" w:cs="Arial"/>
          <w:sz w:val="18"/>
          <w:szCs w:val="18"/>
        </w:rPr>
      </w:pPr>
      <w:r w:rsidRPr="00F07F15">
        <w:rPr>
          <w:rFonts w:ascii="Arial" w:eastAsia="Times New Roman" w:hAnsi="Arial" w:cs="Times New Roman"/>
          <w:sz w:val="18"/>
          <w:szCs w:val="18"/>
          <w:lang w:eastAsia="nl-NL"/>
        </w:rPr>
        <w:t>Източник: Годишни доклади на ПРСР 2007-2013г.; Да</w:t>
      </w:r>
      <w:r w:rsidRPr="00F07F15">
        <w:rPr>
          <w:rFonts w:ascii="Arial" w:hAnsi="Arial" w:cs="Arial"/>
          <w:sz w:val="18"/>
          <w:szCs w:val="18"/>
        </w:rPr>
        <w:t>нни от ДФЗ-РА за ИСАК базираните мерки към 31.12.2015г.</w:t>
      </w:r>
    </w:p>
    <w:p w14:paraId="4C3A1876" w14:textId="510B17B7" w:rsidR="00E8617E" w:rsidRPr="00BC513A" w:rsidRDefault="00E8617E" w:rsidP="00E8617E">
      <w:pPr>
        <w:spacing w:after="120" w:line="300" w:lineRule="atLeast"/>
        <w:ind w:firstLine="709"/>
        <w:jc w:val="both"/>
        <w:rPr>
          <w:rFonts w:ascii="Arial" w:eastAsia="Times New Roman" w:hAnsi="Arial" w:cs="Times New Roman"/>
          <w:lang w:eastAsia="nl-NL"/>
        </w:rPr>
      </w:pPr>
      <w:r w:rsidRPr="00BC513A">
        <w:rPr>
          <w:rFonts w:ascii="Arial" w:eastAsia="Times New Roman" w:hAnsi="Arial" w:cs="Times New Roman"/>
          <w:lang w:eastAsia="nl-NL"/>
        </w:rPr>
        <w:t>При анализа на изпълнението на специфичните индикатори по мярката се разкрива следната картина – най-значим ефект се наблюдава по отношение подобряване състоянието на общинската пътна мрежа (реконструирана – при прогнозни стойности от 450 км и постигнати 1</w:t>
      </w:r>
      <w:r w:rsidR="006C0459">
        <w:rPr>
          <w:rFonts w:ascii="Arial" w:eastAsia="Times New Roman" w:hAnsi="Arial" w:cs="Times New Roman"/>
          <w:lang w:eastAsia="nl-NL"/>
        </w:rPr>
        <w:t> </w:t>
      </w:r>
      <w:r w:rsidRPr="00BC513A">
        <w:rPr>
          <w:rFonts w:ascii="Arial" w:eastAsia="Times New Roman" w:hAnsi="Arial" w:cs="Times New Roman"/>
          <w:lang w:eastAsia="nl-NL"/>
        </w:rPr>
        <w:t>955 км и новоизградена – при заложени 20 км и изпълнени 57 км), както и в броя на изградени/обновени сгради/съоръжения за услуги</w:t>
      </w:r>
      <w:r w:rsidR="006C0459">
        <w:rPr>
          <w:rFonts w:ascii="Arial" w:eastAsia="Times New Roman" w:hAnsi="Arial" w:cs="Times New Roman"/>
          <w:lang w:eastAsia="nl-NL"/>
        </w:rPr>
        <w:t>,</w:t>
      </w:r>
      <w:r w:rsidRPr="00BC513A">
        <w:rPr>
          <w:rFonts w:ascii="Arial" w:eastAsia="Times New Roman" w:hAnsi="Arial" w:cs="Times New Roman"/>
          <w:lang w:eastAsia="nl-NL"/>
        </w:rPr>
        <w:t xml:space="preserve"> свързани със спорта (от 180 на 314). Обратно на тази тенденция, съпоставянето на целевите и крайните стойности, измерени към приключване на </w:t>
      </w:r>
      <w:r w:rsidR="000F57E9">
        <w:rPr>
          <w:rFonts w:ascii="Arial" w:eastAsia="Times New Roman" w:hAnsi="Arial" w:cs="Times New Roman"/>
          <w:lang w:eastAsia="nl-NL"/>
        </w:rPr>
        <w:t>п</w:t>
      </w:r>
      <w:r w:rsidRPr="00BC513A">
        <w:rPr>
          <w:rFonts w:ascii="Arial" w:eastAsia="Times New Roman" w:hAnsi="Arial" w:cs="Times New Roman"/>
          <w:lang w:eastAsia="nl-NL"/>
        </w:rPr>
        <w:t xml:space="preserve">рограмата, свързани с постигнатите резултати по мярката относно изградени/обновени сгради и съоръжения за предоставяне на културни (от 240 на 119) и социални услуги (от 420 на 59), както и проекти за развитие на ИКТ услуги (от 360 на 98) показва значителна разлика между изпълненото и планираното. По отношение идентифицираните потребности в процеса на програмиране във връзка със заявените нужди от инвестиции в развитието и подобряването на ВиК сектора на територията на селските общини в България, постигнатите резултати покриват на 100% заложените цели. </w:t>
      </w:r>
    </w:p>
    <w:p w14:paraId="6BC95562" w14:textId="77777777" w:rsidR="00E8617E" w:rsidRPr="00BC513A" w:rsidRDefault="00E8617E" w:rsidP="00E8617E">
      <w:pPr>
        <w:spacing w:after="120" w:line="300" w:lineRule="atLeast"/>
        <w:ind w:firstLine="709"/>
        <w:jc w:val="both"/>
        <w:rPr>
          <w:rFonts w:ascii="Arial" w:hAnsi="Arial" w:cs="Arial"/>
        </w:rPr>
      </w:pPr>
      <w:r w:rsidRPr="00BC513A">
        <w:rPr>
          <w:rFonts w:ascii="Arial" w:hAnsi="Arial" w:cs="Arial"/>
        </w:rPr>
        <w:t>От всички предвидени за мярката допълнителни индикатори за резултат, единствено броят реализирани проекти, свързани с подобряване състоянието на обществени сгради, предоставящи достъп до социални услуги и центрове за деца и младежи, както и проекти за ИКТ</w:t>
      </w:r>
      <w:r w:rsidR="006C0459">
        <w:rPr>
          <w:rFonts w:ascii="Arial" w:hAnsi="Arial" w:cs="Arial"/>
        </w:rPr>
        <w:t>,</w:t>
      </w:r>
      <w:r w:rsidRPr="00BC513A">
        <w:rPr>
          <w:rFonts w:ascii="Arial" w:hAnsi="Arial" w:cs="Arial"/>
        </w:rPr>
        <w:t xml:space="preserve"> бележи спад</w:t>
      </w:r>
      <w:r w:rsidR="006C0459">
        <w:rPr>
          <w:rFonts w:ascii="Arial" w:hAnsi="Arial" w:cs="Arial"/>
        </w:rPr>
        <w:t>,</w:t>
      </w:r>
      <w:r w:rsidRPr="00BC513A">
        <w:rPr>
          <w:rFonts w:ascii="Arial" w:hAnsi="Arial" w:cs="Arial"/>
        </w:rPr>
        <w:t xml:space="preserve"> като последното е отражение и на пълната липса на количествени показатели за увеличено проникване на интернет в селските райони.</w:t>
      </w:r>
    </w:p>
    <w:p w14:paraId="25DD8DBC" w14:textId="3199A451" w:rsidR="00E8617E" w:rsidRPr="00BC513A" w:rsidRDefault="00E8617E" w:rsidP="00E8617E">
      <w:pPr>
        <w:spacing w:after="120" w:line="300" w:lineRule="atLeast"/>
        <w:ind w:firstLine="709"/>
        <w:jc w:val="both"/>
        <w:rPr>
          <w:rFonts w:ascii="Arial" w:hAnsi="Arial" w:cs="Arial"/>
        </w:rPr>
      </w:pPr>
      <w:r w:rsidRPr="00BC513A">
        <w:rPr>
          <w:rFonts w:ascii="Arial" w:hAnsi="Arial" w:cs="Arial"/>
        </w:rPr>
        <w:t xml:space="preserve">При изпълнението на мярка 321 се установява балансиран подход при интервенцията според насочеността на инвестиционната подкрепа в дейности, приоритетно свързани с подобряване състоянието на традиционно амортизирана общинска техническа инфраструктура, а именно пътища, ВиК мрежи и съоръжения, както и сгради с културно предназначение </w:t>
      </w:r>
    </w:p>
    <w:p w14:paraId="3F9325F6" w14:textId="77777777" w:rsidR="00E8617E" w:rsidRPr="00BC513A" w:rsidRDefault="00E8617E" w:rsidP="00E8617E">
      <w:pPr>
        <w:keepNext/>
        <w:spacing w:before="240" w:after="0" w:line="240" w:lineRule="auto"/>
        <w:rPr>
          <w:rFonts w:ascii="Arial" w:eastAsia="Calibri" w:hAnsi="Arial" w:cs="Arial"/>
          <w:b/>
          <w:iCs/>
          <w:color w:val="0070C0"/>
          <w:sz w:val="20"/>
          <w:szCs w:val="20"/>
        </w:rPr>
      </w:pPr>
      <w:bookmarkStart w:id="176" w:name="_Toc504136247"/>
      <w:r w:rsidRPr="00BC513A">
        <w:rPr>
          <w:rFonts w:ascii="Arial" w:eastAsia="Calibri" w:hAnsi="Arial" w:cs="Arial"/>
          <w:b/>
          <w:iCs/>
          <w:color w:val="0070C0"/>
          <w:sz w:val="20"/>
          <w:szCs w:val="20"/>
        </w:rPr>
        <w:t xml:space="preserve">Таблица </w:t>
      </w:r>
      <w:r w:rsidRPr="00BC513A">
        <w:rPr>
          <w:rFonts w:ascii="Arial" w:eastAsia="Calibri" w:hAnsi="Arial" w:cs="Arial"/>
          <w:b/>
          <w:iCs/>
          <w:color w:val="0070C0"/>
          <w:sz w:val="20"/>
          <w:szCs w:val="20"/>
        </w:rPr>
        <w:fldChar w:fldCharType="begin"/>
      </w:r>
      <w:r w:rsidRPr="00BC513A">
        <w:rPr>
          <w:rFonts w:ascii="Arial" w:eastAsia="Calibri" w:hAnsi="Arial" w:cs="Arial"/>
          <w:b/>
          <w:iCs/>
          <w:color w:val="0070C0"/>
          <w:sz w:val="20"/>
          <w:szCs w:val="20"/>
        </w:rPr>
        <w:instrText xml:space="preserve"> SEQ Таблица \* ARABIC </w:instrText>
      </w:r>
      <w:r w:rsidRPr="00BC513A">
        <w:rPr>
          <w:rFonts w:ascii="Arial" w:eastAsia="Calibri" w:hAnsi="Arial" w:cs="Arial"/>
          <w:b/>
          <w:iCs/>
          <w:color w:val="0070C0"/>
          <w:sz w:val="20"/>
          <w:szCs w:val="20"/>
        </w:rPr>
        <w:fldChar w:fldCharType="separate"/>
      </w:r>
      <w:r w:rsidR="0023010D">
        <w:rPr>
          <w:rFonts w:ascii="Arial" w:eastAsia="Calibri" w:hAnsi="Arial" w:cs="Arial"/>
          <w:b/>
          <w:iCs/>
          <w:noProof/>
          <w:color w:val="0070C0"/>
          <w:sz w:val="20"/>
          <w:szCs w:val="20"/>
        </w:rPr>
        <w:t>75</w:t>
      </w:r>
      <w:r w:rsidRPr="00BC513A">
        <w:rPr>
          <w:rFonts w:ascii="Arial" w:eastAsia="Calibri" w:hAnsi="Arial" w:cs="Arial"/>
          <w:b/>
          <w:iCs/>
          <w:color w:val="0070C0"/>
          <w:sz w:val="20"/>
          <w:szCs w:val="20"/>
        </w:rPr>
        <w:fldChar w:fldCharType="end"/>
      </w:r>
      <w:r w:rsidRPr="00BC513A">
        <w:rPr>
          <w:rFonts w:ascii="Arial" w:eastAsia="Calibri" w:hAnsi="Arial" w:cs="Arial"/>
          <w:b/>
          <w:iCs/>
          <w:color w:val="0070C0"/>
          <w:sz w:val="20"/>
          <w:szCs w:val="20"/>
        </w:rPr>
        <w:t>. Разпределение на подкрепените дейности по вид</w:t>
      </w:r>
      <w:bookmarkEnd w:id="176"/>
      <w:r w:rsidRPr="00BC513A">
        <w:rPr>
          <w:rFonts w:ascii="Arial" w:eastAsia="Calibri" w:hAnsi="Arial" w:cs="Arial"/>
          <w:b/>
          <w:iCs/>
          <w:color w:val="0070C0"/>
          <w:sz w:val="20"/>
          <w:szCs w:val="20"/>
        </w:rPr>
        <w:t xml:space="preserve"> </w:t>
      </w:r>
    </w:p>
    <w:tbl>
      <w:tblPr>
        <w:tblStyle w:val="TableGrid"/>
        <w:tblW w:w="0" w:type="auto"/>
        <w:tblLook w:val="04A0" w:firstRow="1" w:lastRow="0" w:firstColumn="1" w:lastColumn="0" w:noHBand="0" w:noVBand="1"/>
      </w:tblPr>
      <w:tblGrid>
        <w:gridCol w:w="5382"/>
        <w:gridCol w:w="3634"/>
      </w:tblGrid>
      <w:tr w:rsidR="00E8617E" w:rsidRPr="00BC513A" w14:paraId="77108B27" w14:textId="77777777" w:rsidTr="00922731">
        <w:tc>
          <w:tcPr>
            <w:tcW w:w="5382" w:type="dxa"/>
            <w:tcBorders>
              <w:bottom w:val="single" w:sz="4" w:space="0" w:color="auto"/>
            </w:tcBorders>
            <w:shd w:val="clear" w:color="auto" w:fill="1F4E79"/>
            <w:vAlign w:val="center"/>
          </w:tcPr>
          <w:p w14:paraId="0B241ED8"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Вид дейности</w:t>
            </w:r>
          </w:p>
        </w:tc>
        <w:tc>
          <w:tcPr>
            <w:tcW w:w="3634" w:type="dxa"/>
            <w:tcBorders>
              <w:bottom w:val="single" w:sz="4" w:space="0" w:color="auto"/>
            </w:tcBorders>
            <w:shd w:val="clear" w:color="auto" w:fill="1F4E79"/>
            <w:vAlign w:val="center"/>
          </w:tcPr>
          <w:p w14:paraId="03BFFB18"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Брой на подкрепените дейности</w:t>
            </w:r>
          </w:p>
        </w:tc>
      </w:tr>
      <w:tr w:rsidR="00E8617E" w:rsidRPr="00BC513A" w14:paraId="2A764EA3" w14:textId="77777777" w:rsidTr="00922731">
        <w:tc>
          <w:tcPr>
            <w:tcW w:w="5382" w:type="dxa"/>
            <w:shd w:val="clear" w:color="auto" w:fill="FFFFFF" w:themeFill="background1"/>
            <w:vAlign w:val="center"/>
          </w:tcPr>
          <w:p w14:paraId="50B7434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Инициатива ИКТ (напр. инфраструктура)</w:t>
            </w:r>
          </w:p>
        </w:tc>
        <w:tc>
          <w:tcPr>
            <w:tcW w:w="3634" w:type="dxa"/>
            <w:shd w:val="clear" w:color="auto" w:fill="FFFFFF" w:themeFill="background1"/>
            <w:vAlign w:val="center"/>
          </w:tcPr>
          <w:p w14:paraId="219D4BE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17</w:t>
            </w:r>
          </w:p>
        </w:tc>
      </w:tr>
      <w:tr w:rsidR="00E8617E" w:rsidRPr="00BC513A" w14:paraId="78666865" w14:textId="77777777" w:rsidTr="00922731">
        <w:tc>
          <w:tcPr>
            <w:tcW w:w="5382" w:type="dxa"/>
            <w:tcBorders>
              <w:bottom w:val="single" w:sz="4" w:space="0" w:color="auto"/>
            </w:tcBorders>
            <w:shd w:val="clear" w:color="auto" w:fill="FFFFFF" w:themeFill="background1"/>
            <w:vAlign w:val="center"/>
          </w:tcPr>
          <w:p w14:paraId="17B39C0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Мобилност</w:t>
            </w:r>
          </w:p>
        </w:tc>
        <w:tc>
          <w:tcPr>
            <w:tcW w:w="3634" w:type="dxa"/>
            <w:tcBorders>
              <w:bottom w:val="single" w:sz="4" w:space="0" w:color="auto"/>
            </w:tcBorders>
            <w:shd w:val="clear" w:color="auto" w:fill="FFFFFF" w:themeFill="background1"/>
            <w:vAlign w:val="center"/>
          </w:tcPr>
          <w:p w14:paraId="6074B59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128</w:t>
            </w:r>
          </w:p>
        </w:tc>
      </w:tr>
      <w:tr w:rsidR="00E8617E" w:rsidRPr="00BC513A" w14:paraId="0DECBA05" w14:textId="77777777" w:rsidTr="00922731">
        <w:tc>
          <w:tcPr>
            <w:tcW w:w="53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BFDA0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Културна и социална инфраструктура</w:t>
            </w:r>
          </w:p>
        </w:tc>
        <w:tc>
          <w:tcPr>
            <w:tcW w:w="36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1C621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189</w:t>
            </w:r>
          </w:p>
        </w:tc>
      </w:tr>
      <w:tr w:rsidR="00E8617E" w:rsidRPr="00BC513A" w14:paraId="668F77CC" w14:textId="77777777" w:rsidTr="00922731">
        <w:tc>
          <w:tcPr>
            <w:tcW w:w="53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A9103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Инфраструктура по околна среда (ВиК, др.)</w:t>
            </w:r>
          </w:p>
        </w:tc>
        <w:tc>
          <w:tcPr>
            <w:tcW w:w="36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9E08D0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207</w:t>
            </w:r>
          </w:p>
        </w:tc>
      </w:tr>
      <w:tr w:rsidR="00E8617E" w:rsidRPr="00BC513A" w14:paraId="510517C7" w14:textId="77777777" w:rsidTr="00922731">
        <w:tc>
          <w:tcPr>
            <w:tcW w:w="53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F3ABA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Обучение</w:t>
            </w:r>
          </w:p>
        </w:tc>
        <w:tc>
          <w:tcPr>
            <w:tcW w:w="36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0DA1C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0</w:t>
            </w:r>
          </w:p>
        </w:tc>
      </w:tr>
      <w:tr w:rsidR="00E8617E" w:rsidRPr="00BC513A" w14:paraId="32DC6F14" w14:textId="77777777" w:rsidTr="00922731">
        <w:tc>
          <w:tcPr>
            <w:tcW w:w="53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6E131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Грижа за деца</w:t>
            </w:r>
          </w:p>
        </w:tc>
        <w:tc>
          <w:tcPr>
            <w:tcW w:w="36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E0605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17</w:t>
            </w:r>
          </w:p>
        </w:tc>
      </w:tr>
      <w:tr w:rsidR="00E8617E" w:rsidRPr="00BC513A" w14:paraId="3A7B5883" w14:textId="77777777" w:rsidTr="00922731">
        <w:tc>
          <w:tcPr>
            <w:tcW w:w="538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D9E0FB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Друго</w:t>
            </w:r>
          </w:p>
        </w:tc>
        <w:tc>
          <w:tcPr>
            <w:tcW w:w="363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CD6A7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0</w:t>
            </w:r>
          </w:p>
        </w:tc>
      </w:tr>
    </w:tbl>
    <w:p w14:paraId="28FF7348" w14:textId="77777777" w:rsidR="00E8617E" w:rsidRPr="00F07F15" w:rsidRDefault="00E8617E" w:rsidP="00E8617E">
      <w:pPr>
        <w:spacing w:after="0" w:line="276" w:lineRule="auto"/>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Източник: Годишни доклади на ПРСР 2007-2013</w:t>
      </w:r>
    </w:p>
    <w:p w14:paraId="6AF654E4" w14:textId="77777777" w:rsidR="00E8617E" w:rsidRPr="00BC513A" w:rsidRDefault="00E8617E" w:rsidP="00E8617E">
      <w:pPr>
        <w:pStyle w:val="DefaultText"/>
        <w:spacing w:after="120" w:line="300" w:lineRule="atLeast"/>
        <w:rPr>
          <w:sz w:val="22"/>
          <w:szCs w:val="22"/>
          <w:highlight w:val="yellow"/>
          <w:lang w:val="bg-BG"/>
        </w:rPr>
      </w:pPr>
    </w:p>
    <w:p w14:paraId="07239077" w14:textId="6E419349" w:rsidR="00E8617E" w:rsidRDefault="00E8617E" w:rsidP="00E8617E">
      <w:pPr>
        <w:pStyle w:val="DefaultText"/>
        <w:spacing w:after="120" w:line="300" w:lineRule="atLeast"/>
        <w:ind w:firstLine="360"/>
        <w:rPr>
          <w:sz w:val="22"/>
          <w:szCs w:val="22"/>
          <w:lang w:val="bg-BG"/>
        </w:rPr>
      </w:pPr>
      <w:r w:rsidRPr="00BC513A">
        <w:rPr>
          <w:sz w:val="22"/>
          <w:szCs w:val="22"/>
          <w:lang w:val="bg-BG"/>
        </w:rPr>
        <w:t xml:space="preserve">По данни от ДФЗ-РА регионалното изпълнение на мярка 321 към приключване на </w:t>
      </w:r>
      <w:r w:rsidR="000F57E9">
        <w:rPr>
          <w:sz w:val="22"/>
          <w:szCs w:val="22"/>
          <w:lang w:val="bg-BG"/>
        </w:rPr>
        <w:t>п</w:t>
      </w:r>
      <w:r w:rsidRPr="00BC513A">
        <w:rPr>
          <w:sz w:val="22"/>
          <w:szCs w:val="22"/>
          <w:lang w:val="bg-BG"/>
        </w:rPr>
        <w:t>рограмата има следното измерение:</w:t>
      </w:r>
    </w:p>
    <w:p w14:paraId="7A69CC6A" w14:textId="66223210"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СЗР (области Видин, Враца, Монтана, Ловеч и Плевен) – 43 общини са изпълнили общо 91 проекта, а 31 проекта са реализирани от други бенефициенти, в т.ч. ЮЛНЦ и читалища;</w:t>
      </w:r>
    </w:p>
    <w:p w14:paraId="47D3FEA3" w14:textId="2522E3B2"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СЦР (области Велико Търново, Габрово, Разград, Русе и Силистра) – 29 общини са изпълнили общо 61 проекта, а 18 проекта са реализирани от други бенефициенти, в т.ч. ЮЛНЦ и читалища;</w:t>
      </w:r>
    </w:p>
    <w:p w14:paraId="2ADC7E12" w14:textId="6F6EDA42"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СИР (области Варна, Добрич, Търговище и Шумен) – 26 общини са изпълнили общо 58 проекта, а 5 проекта са реализирани от други бенефициенти, в т.ч. ЮЛНЦ и читалища;</w:t>
      </w:r>
    </w:p>
    <w:p w14:paraId="67DD3D9F" w14:textId="127C4A1F"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ЮИР (области Бургас, Сливен, Стара Загора и Ямбол) – 24 общини са изпълнили общо 47 проекта, а 4 проекта са реализирани от други бенефициенти, в т.ч. ЮЛНЦ и читалища;</w:t>
      </w:r>
    </w:p>
    <w:p w14:paraId="2D91E8BC" w14:textId="3F62A6CD"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ЮЗР (области Благоевград, Кюстендил, Перник, Софийска и София) – 45 общини са изпълнили общо 101 проекта, а 17 проекта са реализирани от други бенефициенти, в т.ч. ЮЛНЦ и читалища;</w:t>
      </w:r>
    </w:p>
    <w:p w14:paraId="519A4452" w14:textId="7AB83651"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ЮЦР (области Кърджали, Пазарджик, Пловдив, Смолян и Хасково) – 45 общини са изпълнили общо 113 проекта, а 13 проекта са реализирани от други бенефициенти, в т.ч. ЮЛНЦ и читалища.</w:t>
      </w:r>
    </w:p>
    <w:p w14:paraId="263BD755" w14:textId="77777777" w:rsidR="00840BE9" w:rsidRPr="00BC513A" w:rsidRDefault="00840BE9" w:rsidP="00E8617E">
      <w:pPr>
        <w:pStyle w:val="DefaultText"/>
        <w:spacing w:after="120" w:line="300" w:lineRule="atLeast"/>
        <w:ind w:firstLine="360"/>
        <w:rPr>
          <w:sz w:val="22"/>
          <w:szCs w:val="22"/>
          <w:lang w:val="bg-BG"/>
        </w:rPr>
      </w:pPr>
    </w:p>
    <w:p w14:paraId="60C08DAD" w14:textId="77777777" w:rsidR="00E8617E" w:rsidRPr="00BC513A" w:rsidRDefault="00E8617E" w:rsidP="00E8617E">
      <w:pPr>
        <w:pStyle w:val="DefaultText"/>
        <w:spacing w:after="120" w:line="300" w:lineRule="atLeast"/>
        <w:rPr>
          <w:sz w:val="22"/>
          <w:szCs w:val="22"/>
          <w:lang w:val="bg-BG"/>
        </w:rPr>
      </w:pPr>
      <w:r w:rsidRPr="00BC513A">
        <w:rPr>
          <w:noProof/>
          <w:lang w:val="en-US" w:eastAsia="en-US"/>
        </w:rPr>
        <w:drawing>
          <wp:inline distT="0" distB="0" distL="0" distR="0" wp14:anchorId="4572C719" wp14:editId="5F4CD8E8">
            <wp:extent cx="5691505" cy="4792436"/>
            <wp:effectExtent l="0" t="0" r="4445" b="8255"/>
            <wp:docPr id="5166" name="Chart 5166"/>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56080FB8" w14:textId="77777777" w:rsidR="00E8617E" w:rsidRPr="00F07F15" w:rsidRDefault="00E8617E" w:rsidP="00E8617E">
      <w:pPr>
        <w:spacing w:after="120" w:line="300" w:lineRule="atLeast"/>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 xml:space="preserve">Източник: По данни на ДФЗ-РА </w:t>
      </w:r>
    </w:p>
    <w:p w14:paraId="0E4FF8F0" w14:textId="77777777" w:rsidR="00E8617E" w:rsidRPr="00BC513A" w:rsidRDefault="00E8617E" w:rsidP="00E8617E">
      <w:pPr>
        <w:spacing w:after="120" w:line="300" w:lineRule="atLeast"/>
        <w:ind w:firstLine="708"/>
        <w:jc w:val="center"/>
        <w:rPr>
          <w:rFonts w:ascii="Times New Roman" w:eastAsia="Times New Roman" w:hAnsi="Times New Roman" w:cs="Times New Roman"/>
          <w:b/>
          <w:sz w:val="24"/>
          <w:szCs w:val="24"/>
          <w:lang w:eastAsia="nl-NL"/>
        </w:rPr>
      </w:pPr>
      <w:bookmarkStart w:id="177" w:name="_Toc506984724"/>
      <w:r w:rsidRPr="00BC513A">
        <w:rPr>
          <w:rFonts w:ascii="Arial" w:eastAsia="Times New Roman" w:hAnsi="Arial" w:cs="Arial"/>
          <w:b/>
          <w:color w:val="0070C0"/>
          <w:sz w:val="20"/>
          <w:szCs w:val="20"/>
          <w:lang w:eastAsia="nl-NL"/>
        </w:rPr>
        <w:t xml:space="preserve">Фигура </w:t>
      </w:r>
      <w:r w:rsidRPr="00BC513A">
        <w:rPr>
          <w:rFonts w:ascii="Arial" w:eastAsia="Times New Roman" w:hAnsi="Arial" w:cs="Arial"/>
          <w:b/>
          <w:color w:val="0070C0"/>
          <w:sz w:val="20"/>
          <w:szCs w:val="20"/>
          <w:lang w:eastAsia="nl-NL"/>
        </w:rPr>
        <w:fldChar w:fldCharType="begin"/>
      </w:r>
      <w:r w:rsidRPr="00BC513A">
        <w:rPr>
          <w:rFonts w:ascii="Arial" w:eastAsia="Times New Roman" w:hAnsi="Arial" w:cs="Arial"/>
          <w:b/>
          <w:color w:val="0070C0"/>
          <w:sz w:val="20"/>
          <w:szCs w:val="20"/>
          <w:lang w:eastAsia="nl-NL"/>
        </w:rPr>
        <w:instrText xml:space="preserve"> SEQ Фигура \* ARABIC </w:instrText>
      </w:r>
      <w:r w:rsidRPr="00BC513A">
        <w:rPr>
          <w:rFonts w:ascii="Arial" w:eastAsia="Times New Roman" w:hAnsi="Arial" w:cs="Arial"/>
          <w:b/>
          <w:color w:val="0070C0"/>
          <w:sz w:val="20"/>
          <w:szCs w:val="20"/>
          <w:lang w:eastAsia="nl-NL"/>
        </w:rPr>
        <w:fldChar w:fldCharType="separate"/>
      </w:r>
      <w:r w:rsidR="0023010D">
        <w:rPr>
          <w:rFonts w:ascii="Arial" w:eastAsia="Times New Roman" w:hAnsi="Arial" w:cs="Arial"/>
          <w:b/>
          <w:noProof/>
          <w:color w:val="0070C0"/>
          <w:sz w:val="20"/>
          <w:szCs w:val="20"/>
          <w:lang w:eastAsia="nl-NL"/>
        </w:rPr>
        <w:t>18</w:t>
      </w:r>
      <w:r w:rsidRPr="00BC513A">
        <w:rPr>
          <w:rFonts w:ascii="Arial" w:eastAsia="Times New Roman" w:hAnsi="Arial" w:cs="Arial"/>
          <w:b/>
          <w:color w:val="0070C0"/>
          <w:sz w:val="20"/>
          <w:szCs w:val="20"/>
          <w:lang w:eastAsia="nl-NL"/>
        </w:rPr>
        <w:fldChar w:fldCharType="end"/>
      </w:r>
      <w:r w:rsidRPr="00BC513A">
        <w:rPr>
          <w:rFonts w:ascii="Arial" w:eastAsia="Times New Roman" w:hAnsi="Arial" w:cs="Arial"/>
          <w:b/>
          <w:color w:val="0070C0"/>
          <w:sz w:val="20"/>
          <w:szCs w:val="20"/>
          <w:lang w:eastAsia="nl-NL"/>
        </w:rPr>
        <w:t>. Брой проекти по области</w:t>
      </w:r>
      <w:r w:rsidR="006C0459">
        <w:rPr>
          <w:rFonts w:ascii="Arial" w:eastAsia="Times New Roman" w:hAnsi="Arial" w:cs="Arial"/>
          <w:b/>
          <w:color w:val="0070C0"/>
          <w:sz w:val="20"/>
          <w:szCs w:val="20"/>
          <w:lang w:eastAsia="nl-NL"/>
        </w:rPr>
        <w:t>,</w:t>
      </w:r>
      <w:r w:rsidRPr="00BC513A">
        <w:rPr>
          <w:rFonts w:ascii="Arial" w:eastAsia="Times New Roman" w:hAnsi="Arial" w:cs="Arial"/>
          <w:b/>
          <w:color w:val="0070C0"/>
          <w:sz w:val="20"/>
          <w:szCs w:val="20"/>
          <w:lang w:eastAsia="nl-NL"/>
        </w:rPr>
        <w:t xml:space="preserve"> подкрепени по мярка 321</w:t>
      </w:r>
      <w:bookmarkEnd w:id="177"/>
    </w:p>
    <w:p w14:paraId="2D0DC2AA" w14:textId="270E9D9E"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От така представените синтезирани данни е видно, че бенефициентите, в т.ч. общини и други ползватели на помощта от СЗР, ЮЦР и ЮЗР</w:t>
      </w:r>
      <w:r w:rsidR="003274B6">
        <w:rPr>
          <w:sz w:val="22"/>
          <w:szCs w:val="22"/>
          <w:lang w:val="bg-BG"/>
        </w:rPr>
        <w:t>,</w:t>
      </w:r>
      <w:r w:rsidRPr="00BC513A">
        <w:rPr>
          <w:sz w:val="22"/>
          <w:szCs w:val="22"/>
          <w:lang w:val="bg-BG"/>
        </w:rPr>
        <w:t xml:space="preserve"> категорично превъзхождат по брой изпълнени и реално изплатени проекти по мярка 321 тези от останалите 3 района за планиране близо 2 пъти. </w:t>
      </w:r>
    </w:p>
    <w:p w14:paraId="03F1C56F" w14:textId="77777777" w:rsidR="00E8617E" w:rsidRPr="00BC513A" w:rsidRDefault="00E8617E" w:rsidP="00E8617E">
      <w:pPr>
        <w:pStyle w:val="ListParagraph"/>
        <w:spacing w:line="276" w:lineRule="auto"/>
        <w:ind w:left="0" w:firstLine="708"/>
        <w:jc w:val="both"/>
        <w:rPr>
          <w:rFonts w:cs="Arial"/>
        </w:rPr>
      </w:pPr>
      <w:r w:rsidRPr="00BC513A">
        <w:rPr>
          <w:rFonts w:ascii="Arial" w:hAnsi="Arial" w:cs="Arial"/>
        </w:rPr>
        <w:t xml:space="preserve">Съгласно данни, от проведено онлайн проучване сред 231 общини, на територията на които се изпълнява ПРСР 2007-2013, 98% от анкетираните смятат че  изпълнението на проекти по мярка 321 допринасят за подобряване качеството на живот в тяхната община:  </w:t>
      </w:r>
    </w:p>
    <w:p w14:paraId="6D2FE659" w14:textId="77777777" w:rsidR="00E8617E" w:rsidRPr="00BC513A" w:rsidRDefault="00E8617E" w:rsidP="00E8617E">
      <w:pPr>
        <w:pStyle w:val="DefaultText"/>
        <w:spacing w:after="120" w:line="300" w:lineRule="atLeast"/>
        <w:rPr>
          <w:sz w:val="22"/>
          <w:szCs w:val="22"/>
          <w:highlight w:val="yellow"/>
          <w:lang w:val="bg-BG"/>
        </w:rPr>
      </w:pPr>
      <w:r w:rsidRPr="00BC513A">
        <w:rPr>
          <w:noProof/>
          <w:lang w:val="en-US" w:eastAsia="en-US"/>
        </w:rPr>
        <w:drawing>
          <wp:inline distT="0" distB="0" distL="0" distR="0" wp14:anchorId="222A196B" wp14:editId="441DEF3E">
            <wp:extent cx="5719482" cy="2472595"/>
            <wp:effectExtent l="0" t="0" r="0" b="444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3758"/>
                    <a:stretch/>
                  </pic:blipFill>
                  <pic:spPr bwMode="auto">
                    <a:xfrm>
                      <a:off x="0" y="0"/>
                      <a:ext cx="5720715" cy="2473128"/>
                    </a:xfrm>
                    <a:prstGeom prst="rect">
                      <a:avLst/>
                    </a:prstGeom>
                    <a:noFill/>
                    <a:ln>
                      <a:noFill/>
                    </a:ln>
                    <a:extLst>
                      <a:ext uri="{53640926-AAD7-44D8-BBD7-CCE9431645EC}">
                        <a14:shadowObscured xmlns:a14="http://schemas.microsoft.com/office/drawing/2010/main"/>
                      </a:ext>
                    </a:extLst>
                  </pic:spPr>
                </pic:pic>
              </a:graphicData>
            </a:graphic>
          </wp:inline>
        </w:drawing>
      </w:r>
    </w:p>
    <w:p w14:paraId="61A4D8EB" w14:textId="77777777" w:rsidR="00E8617E" w:rsidRPr="00F07F15" w:rsidRDefault="00E8617E" w:rsidP="00E8617E">
      <w:pPr>
        <w:spacing w:after="120" w:line="300" w:lineRule="atLeast"/>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 xml:space="preserve">Източник: Онлайн проучване </w:t>
      </w:r>
    </w:p>
    <w:p w14:paraId="0C22A17E" w14:textId="77777777" w:rsidR="00E8617E" w:rsidRPr="00BC513A" w:rsidRDefault="00E8617E" w:rsidP="00E8617E">
      <w:pPr>
        <w:spacing w:after="120" w:line="300" w:lineRule="atLeast"/>
        <w:ind w:firstLine="708"/>
        <w:jc w:val="center"/>
        <w:rPr>
          <w:rFonts w:ascii="Times New Roman" w:eastAsia="Times New Roman" w:hAnsi="Times New Roman" w:cs="Times New Roman"/>
          <w:b/>
          <w:sz w:val="24"/>
          <w:szCs w:val="24"/>
          <w:lang w:eastAsia="nl-NL"/>
        </w:rPr>
      </w:pPr>
      <w:bookmarkStart w:id="178" w:name="_Toc506984725"/>
      <w:r w:rsidRPr="00BC513A">
        <w:rPr>
          <w:rFonts w:ascii="Arial" w:eastAsia="Times New Roman" w:hAnsi="Arial" w:cs="Arial"/>
          <w:b/>
          <w:color w:val="0070C0"/>
          <w:sz w:val="20"/>
          <w:szCs w:val="20"/>
          <w:lang w:eastAsia="nl-NL"/>
        </w:rPr>
        <w:t xml:space="preserve">Фигура </w:t>
      </w:r>
      <w:r w:rsidRPr="00BC513A">
        <w:rPr>
          <w:rFonts w:ascii="Arial" w:eastAsia="Times New Roman" w:hAnsi="Arial" w:cs="Arial"/>
          <w:b/>
          <w:color w:val="0070C0"/>
          <w:sz w:val="20"/>
          <w:szCs w:val="20"/>
          <w:lang w:eastAsia="nl-NL"/>
        </w:rPr>
        <w:fldChar w:fldCharType="begin"/>
      </w:r>
      <w:r w:rsidRPr="00BC513A">
        <w:rPr>
          <w:rFonts w:ascii="Arial" w:eastAsia="Times New Roman" w:hAnsi="Arial" w:cs="Arial"/>
          <w:b/>
          <w:color w:val="0070C0"/>
          <w:sz w:val="20"/>
          <w:szCs w:val="20"/>
          <w:lang w:eastAsia="nl-NL"/>
        </w:rPr>
        <w:instrText xml:space="preserve"> SEQ Фигура \* ARABIC </w:instrText>
      </w:r>
      <w:r w:rsidRPr="00BC513A">
        <w:rPr>
          <w:rFonts w:ascii="Arial" w:eastAsia="Times New Roman" w:hAnsi="Arial" w:cs="Arial"/>
          <w:b/>
          <w:color w:val="0070C0"/>
          <w:sz w:val="20"/>
          <w:szCs w:val="20"/>
          <w:lang w:eastAsia="nl-NL"/>
        </w:rPr>
        <w:fldChar w:fldCharType="separate"/>
      </w:r>
      <w:r w:rsidR="0023010D">
        <w:rPr>
          <w:rFonts w:ascii="Arial" w:eastAsia="Times New Roman" w:hAnsi="Arial" w:cs="Arial"/>
          <w:b/>
          <w:noProof/>
          <w:color w:val="0070C0"/>
          <w:sz w:val="20"/>
          <w:szCs w:val="20"/>
          <w:lang w:eastAsia="nl-NL"/>
        </w:rPr>
        <w:t>19</w:t>
      </w:r>
      <w:r w:rsidRPr="00BC513A">
        <w:rPr>
          <w:rFonts w:ascii="Arial" w:eastAsia="Times New Roman" w:hAnsi="Arial" w:cs="Arial"/>
          <w:b/>
          <w:color w:val="0070C0"/>
          <w:sz w:val="20"/>
          <w:szCs w:val="20"/>
          <w:lang w:eastAsia="nl-NL"/>
        </w:rPr>
        <w:fldChar w:fldCharType="end"/>
      </w:r>
      <w:r w:rsidRPr="00BC513A">
        <w:rPr>
          <w:rFonts w:ascii="Arial" w:eastAsia="Times New Roman" w:hAnsi="Arial" w:cs="Arial"/>
          <w:b/>
          <w:color w:val="0070C0"/>
          <w:sz w:val="20"/>
          <w:szCs w:val="20"/>
          <w:lang w:eastAsia="nl-NL"/>
        </w:rPr>
        <w:t>. До каква степен ПРСР е допринесла за подобряване на качеството на живот във Вашата община</w:t>
      </w:r>
      <w:bookmarkEnd w:id="178"/>
    </w:p>
    <w:p w14:paraId="279A0464" w14:textId="77777777" w:rsidR="00E8617E" w:rsidRPr="00BC513A" w:rsidRDefault="00E8617E" w:rsidP="00E8617E">
      <w:pPr>
        <w:pStyle w:val="ListParagraph"/>
        <w:spacing w:after="120" w:line="300" w:lineRule="atLeast"/>
        <w:ind w:left="0" w:firstLine="708"/>
        <w:contextualSpacing w:val="0"/>
        <w:jc w:val="both"/>
        <w:rPr>
          <w:rFonts w:ascii="Arial" w:hAnsi="Arial" w:cs="Arial"/>
        </w:rPr>
      </w:pPr>
      <w:r w:rsidRPr="00BC513A">
        <w:rPr>
          <w:rFonts w:ascii="Arial" w:hAnsi="Arial" w:cs="Arial"/>
        </w:rPr>
        <w:t xml:space="preserve">Според 89% от респондентите, в най-голяма степен ползите от прилагането на мярката се състоят в приноса към подобряване на основната техническа, екологична, спортна и културна инфраструктура в населените места, както следва: </w:t>
      </w:r>
    </w:p>
    <w:p w14:paraId="5AA72AD9" w14:textId="76C1866B" w:rsidR="00E8617E" w:rsidRPr="00BC513A" w:rsidRDefault="00E8617E" w:rsidP="00E8617E">
      <w:pPr>
        <w:pStyle w:val="ListParagraph"/>
        <w:spacing w:after="120" w:line="300" w:lineRule="atLeast"/>
        <w:ind w:left="0" w:firstLine="708"/>
        <w:contextualSpacing w:val="0"/>
        <w:jc w:val="both"/>
        <w:rPr>
          <w:rFonts w:ascii="Arial" w:hAnsi="Arial" w:cs="Arial"/>
        </w:rPr>
      </w:pPr>
      <w:r w:rsidRPr="00BC513A">
        <w:rPr>
          <w:rFonts w:ascii="Arial" w:hAnsi="Arial" w:cs="Arial"/>
        </w:rPr>
        <w:t>Над 2/3 от анкетираните бенефициенти отчитат ползите за населението и местната общност, дължащи се на подобряване състоянието на общинската инфраструктура (рехабилитирани пътища, изградени/обновени сгради/съоръжения, свързани със спорта, отдиха и свободното време, новоизградена или реконструирана водос</w:t>
      </w:r>
      <w:r w:rsidR="006C0459">
        <w:rPr>
          <w:rFonts w:ascii="Arial" w:hAnsi="Arial" w:cs="Arial"/>
        </w:rPr>
        <w:t>н</w:t>
      </w:r>
      <w:r w:rsidRPr="00BC513A">
        <w:rPr>
          <w:rFonts w:ascii="Arial" w:hAnsi="Arial" w:cs="Arial"/>
        </w:rPr>
        <w:t>абдителна и/или канализационна мрежа, реконструирани сгради с културно значение и обществени сгради с подобрена енергийна ефективност), а повече от 1/3  и на социалната инфраструктура и достъпа до съответните услуги.</w:t>
      </w:r>
    </w:p>
    <w:p w14:paraId="5A239B5A" w14:textId="794EB6C5" w:rsidR="00E8617E" w:rsidRPr="00BC513A" w:rsidRDefault="00E8617E" w:rsidP="00E8617E">
      <w:pPr>
        <w:pStyle w:val="ListParagraph"/>
        <w:widowControl w:val="0"/>
        <w:spacing w:after="120" w:line="300" w:lineRule="atLeast"/>
        <w:ind w:left="0" w:firstLine="709"/>
        <w:contextualSpacing w:val="0"/>
        <w:jc w:val="both"/>
        <w:rPr>
          <w:rFonts w:ascii="Arial" w:hAnsi="Arial" w:cs="Arial"/>
        </w:rPr>
      </w:pPr>
      <w:r w:rsidRPr="00BC513A">
        <w:rPr>
          <w:rFonts w:ascii="Arial" w:hAnsi="Arial" w:cs="Arial"/>
        </w:rPr>
        <w:t>Както в процеса на програмиране, така и през целия период на изпълнение на ПРСР 2007-2013</w:t>
      </w:r>
      <w:r w:rsidR="006C0459">
        <w:rPr>
          <w:rFonts w:ascii="Arial" w:hAnsi="Arial" w:cs="Arial"/>
        </w:rPr>
        <w:t xml:space="preserve"> </w:t>
      </w:r>
      <w:r w:rsidRPr="00BC513A">
        <w:rPr>
          <w:rFonts w:ascii="Arial" w:hAnsi="Arial" w:cs="Arial"/>
        </w:rPr>
        <w:t>г., мярка 321 е припозната като най-желаната, с най-голям интерес и приоритет за</w:t>
      </w:r>
      <w:r w:rsidRPr="00BC513A">
        <w:rPr>
          <w:rFonts w:ascii="MS Gothic" w:eastAsia="MS Gothic" w:hAnsi="MS Gothic" w:cs="MS Gothic"/>
        </w:rPr>
        <w:t> </w:t>
      </w:r>
      <w:r w:rsidRPr="00BC513A">
        <w:rPr>
          <w:rFonts w:ascii="Arial" w:hAnsi="Arial" w:cs="Arial"/>
        </w:rPr>
        <w:t>общинските</w:t>
      </w:r>
      <w:r w:rsidRPr="00BC513A">
        <w:rPr>
          <w:rFonts w:ascii="MS Gothic" w:eastAsia="MS Gothic" w:hAnsi="MS Gothic" w:cs="MS Gothic"/>
        </w:rPr>
        <w:t> </w:t>
      </w:r>
      <w:r w:rsidRPr="00BC513A">
        <w:rPr>
          <w:rFonts w:ascii="Arial" w:hAnsi="Arial" w:cs="Arial"/>
        </w:rPr>
        <w:t>власти. Основните проекти, които се реализират са преди  всичко за ВиК инфраструктура и</w:t>
      </w:r>
      <w:r w:rsidRPr="00BC513A">
        <w:rPr>
          <w:rFonts w:ascii="MS Gothic" w:eastAsia="MS Gothic" w:hAnsi="MS Gothic" w:cs="MS Gothic"/>
        </w:rPr>
        <w:t> </w:t>
      </w:r>
      <w:r w:rsidRPr="00BC513A">
        <w:rPr>
          <w:rFonts w:ascii="Arial" w:hAnsi="Arial" w:cs="Arial"/>
        </w:rPr>
        <w:t xml:space="preserve"> пътища, с бюджети с близка до максимално възможната стойност за</w:t>
      </w:r>
      <w:r w:rsidRPr="00BC513A">
        <w:rPr>
          <w:rFonts w:ascii="MS Gothic" w:eastAsia="MS Gothic" w:hAnsi="MS Gothic" w:cs="MS Gothic"/>
        </w:rPr>
        <w:t> </w:t>
      </w:r>
      <w:r w:rsidRPr="00BC513A">
        <w:rPr>
          <w:rFonts w:ascii="Arial" w:hAnsi="Arial" w:cs="Arial"/>
        </w:rPr>
        <w:t>тази мярка инвестиция от 3</w:t>
      </w:r>
      <w:r w:rsidRPr="00BC513A">
        <w:rPr>
          <w:rFonts w:ascii="MS Gothic" w:eastAsia="MS Gothic" w:hAnsi="MS Gothic" w:cs="MS Gothic"/>
        </w:rPr>
        <w:t> </w:t>
      </w:r>
      <w:r w:rsidRPr="00BC513A">
        <w:rPr>
          <w:rFonts w:ascii="Arial" w:hAnsi="Arial" w:cs="Arial"/>
        </w:rPr>
        <w:t>млн.</w:t>
      </w:r>
      <w:r w:rsidRPr="00BC513A">
        <w:rPr>
          <w:rFonts w:ascii="MS Gothic" w:eastAsia="MS Gothic" w:hAnsi="MS Gothic" w:cs="MS Gothic"/>
        </w:rPr>
        <w:t> </w:t>
      </w:r>
      <w:r w:rsidRPr="00BC513A">
        <w:rPr>
          <w:rFonts w:ascii="Arial" w:hAnsi="Arial" w:cs="Arial"/>
        </w:rPr>
        <w:t>евро на проект.</w:t>
      </w:r>
      <w:r w:rsidRPr="00BC513A">
        <w:rPr>
          <w:rFonts w:ascii="MS Gothic" w:eastAsia="MS Gothic" w:hAnsi="MS Gothic" w:cs="MS Gothic"/>
        </w:rPr>
        <w:t> </w:t>
      </w:r>
      <w:r w:rsidRPr="00BC513A">
        <w:rPr>
          <w:rFonts w:ascii="Arial" w:hAnsi="Arial" w:cs="Arial"/>
        </w:rPr>
        <w:t xml:space="preserve"> Това показва засилената</w:t>
      </w:r>
      <w:r w:rsidRPr="00BC513A">
        <w:rPr>
          <w:rFonts w:ascii="MS Gothic" w:eastAsia="MS Gothic" w:hAnsi="MS Gothic" w:cs="MS Gothic"/>
        </w:rPr>
        <w:t> </w:t>
      </w:r>
      <w:r w:rsidRPr="00BC513A">
        <w:rPr>
          <w:rFonts w:ascii="Arial" w:hAnsi="Arial" w:cs="Arial"/>
        </w:rPr>
        <w:t>тенденция</w:t>
      </w:r>
      <w:r w:rsidRPr="00BC513A">
        <w:rPr>
          <w:rFonts w:ascii="MS Gothic" w:eastAsia="MS Gothic" w:hAnsi="MS Gothic" w:cs="MS Gothic"/>
        </w:rPr>
        <w:t> </w:t>
      </w:r>
      <w:r w:rsidRPr="00BC513A">
        <w:rPr>
          <w:rFonts w:ascii="Arial" w:hAnsi="Arial" w:cs="Arial"/>
        </w:rPr>
        <w:t>на местната</w:t>
      </w:r>
      <w:r w:rsidRPr="00BC513A">
        <w:rPr>
          <w:rFonts w:ascii="MS Gothic" w:eastAsia="MS Gothic" w:hAnsi="MS Gothic" w:cs="MS Gothic"/>
        </w:rPr>
        <w:t> </w:t>
      </w:r>
      <w:r w:rsidRPr="00BC513A">
        <w:rPr>
          <w:rFonts w:ascii="Arial" w:hAnsi="Arial" w:cs="Arial"/>
        </w:rPr>
        <w:t>власт да</w:t>
      </w:r>
      <w:r w:rsidRPr="00BC513A">
        <w:rPr>
          <w:rFonts w:ascii="MS Gothic" w:eastAsia="MS Gothic" w:hAnsi="MS Gothic" w:cs="MS Gothic"/>
        </w:rPr>
        <w:t> </w:t>
      </w:r>
      <w:r w:rsidRPr="00BC513A">
        <w:rPr>
          <w:rFonts w:ascii="Arial" w:hAnsi="Arial" w:cs="Arial"/>
        </w:rPr>
        <w:t>изпълнява</w:t>
      </w:r>
      <w:r w:rsidRPr="00BC513A">
        <w:rPr>
          <w:rFonts w:ascii="MS Gothic" w:eastAsia="MS Gothic" w:hAnsi="MS Gothic" w:cs="MS Gothic"/>
        </w:rPr>
        <w:t> </w:t>
      </w:r>
      <w:r w:rsidRPr="00BC513A">
        <w:rPr>
          <w:rFonts w:ascii="Arial" w:hAnsi="Arial" w:cs="Arial"/>
        </w:rPr>
        <w:t>проекти и дейности</w:t>
      </w:r>
      <w:r w:rsidRPr="00BC513A">
        <w:rPr>
          <w:rFonts w:ascii="MS Gothic" w:eastAsia="MS Gothic" w:hAnsi="MS Gothic" w:cs="MS Gothic"/>
        </w:rPr>
        <w:t xml:space="preserve"> </w:t>
      </w:r>
      <w:r w:rsidRPr="00BC513A">
        <w:rPr>
          <w:rFonts w:ascii="Arial" w:hAnsi="Arial" w:cs="Arial"/>
        </w:rPr>
        <w:t>за</w:t>
      </w:r>
      <w:r w:rsidRPr="00BC513A">
        <w:rPr>
          <w:rFonts w:ascii="MS Gothic" w:eastAsia="MS Gothic" w:hAnsi="MS Gothic" w:cs="MS Gothic"/>
        </w:rPr>
        <w:t> </w:t>
      </w:r>
      <w:r w:rsidRPr="00BC513A">
        <w:rPr>
          <w:rFonts w:ascii="Arial" w:hAnsi="Arial" w:cs="Arial"/>
        </w:rPr>
        <w:t xml:space="preserve"> поддържане</w:t>
      </w:r>
      <w:r w:rsidRPr="00BC513A">
        <w:rPr>
          <w:rFonts w:ascii="MS Gothic" w:eastAsia="MS Gothic" w:hAnsi="MS Gothic" w:cs="MS Gothic"/>
        </w:rPr>
        <w:t> </w:t>
      </w:r>
      <w:r w:rsidRPr="00BC513A">
        <w:rPr>
          <w:rFonts w:ascii="Arial" w:hAnsi="Arial" w:cs="Arial"/>
        </w:rPr>
        <w:t xml:space="preserve"> преди</w:t>
      </w:r>
      <w:r w:rsidRPr="00BC513A">
        <w:rPr>
          <w:rFonts w:ascii="MS Gothic" w:eastAsia="MS Gothic" w:hAnsi="MS Gothic" w:cs="MS Gothic"/>
        </w:rPr>
        <w:t> </w:t>
      </w:r>
      <w:r w:rsidRPr="00BC513A">
        <w:rPr>
          <w:rFonts w:ascii="Arial" w:hAnsi="Arial" w:cs="Arial"/>
        </w:rPr>
        <w:t xml:space="preserve"> всичко</w:t>
      </w:r>
      <w:r w:rsidRPr="00BC513A">
        <w:rPr>
          <w:rFonts w:ascii="MS Gothic" w:eastAsia="MS Gothic" w:hAnsi="MS Gothic" w:cs="MS Gothic"/>
        </w:rPr>
        <w:t> </w:t>
      </w:r>
      <w:r w:rsidRPr="00BC513A">
        <w:rPr>
          <w:rFonts w:ascii="Arial" w:hAnsi="Arial" w:cs="Arial"/>
        </w:rPr>
        <w:t xml:space="preserve"> на основната</w:t>
      </w:r>
      <w:r w:rsidRPr="00BC513A">
        <w:rPr>
          <w:rFonts w:ascii="MS Gothic" w:eastAsia="MS Gothic" w:hAnsi="MS Gothic" w:cs="MS Gothic"/>
        </w:rPr>
        <w:t> </w:t>
      </w:r>
      <w:r w:rsidRPr="00BC513A">
        <w:rPr>
          <w:rFonts w:ascii="Arial" w:hAnsi="Arial" w:cs="Arial"/>
        </w:rPr>
        <w:t xml:space="preserve"> техническа инфраструктура</w:t>
      </w:r>
      <w:r w:rsidRPr="00BC513A">
        <w:rPr>
          <w:rFonts w:ascii="MS Gothic" w:eastAsia="MS Gothic" w:hAnsi="MS Gothic" w:cs="MS Gothic"/>
        </w:rPr>
        <w:t> </w:t>
      </w:r>
      <w:r w:rsidRPr="00BC513A">
        <w:rPr>
          <w:rFonts w:ascii="Arial" w:hAnsi="Arial" w:cs="Arial"/>
        </w:rPr>
        <w:t xml:space="preserve"> в</w:t>
      </w:r>
      <w:r w:rsidRPr="00BC513A">
        <w:rPr>
          <w:rFonts w:ascii="MS Gothic" w:eastAsia="MS Gothic" w:hAnsi="MS Gothic" w:cs="MS Gothic"/>
        </w:rPr>
        <w:t> </w:t>
      </w:r>
      <w:r w:rsidRPr="00BC513A">
        <w:rPr>
          <w:rFonts w:ascii="Arial" w:hAnsi="Arial" w:cs="Arial"/>
        </w:rPr>
        <w:t xml:space="preserve"> селските</w:t>
      </w:r>
      <w:r w:rsidRPr="00BC513A">
        <w:rPr>
          <w:rFonts w:ascii="MS Gothic" w:eastAsia="MS Gothic" w:hAnsi="MS Gothic" w:cs="MS Gothic"/>
        </w:rPr>
        <w:t> </w:t>
      </w:r>
      <w:r w:rsidRPr="00BC513A">
        <w:rPr>
          <w:rFonts w:ascii="Arial" w:hAnsi="Arial" w:cs="Arial"/>
        </w:rPr>
        <w:t xml:space="preserve"> райони, където е отразен и най-голям</w:t>
      </w:r>
      <w:r w:rsidRPr="00BC513A">
        <w:rPr>
          <w:rFonts w:ascii="MS Gothic" w:eastAsia="MS Gothic" w:hAnsi="MS Gothic" w:cs="MS Gothic"/>
        </w:rPr>
        <w:t> </w:t>
      </w:r>
      <w:r w:rsidRPr="00BC513A">
        <w:rPr>
          <w:rFonts w:ascii="Arial" w:hAnsi="Arial" w:cs="Arial"/>
        </w:rPr>
        <w:t xml:space="preserve">обем публични разходи. </w:t>
      </w:r>
    </w:p>
    <w:p w14:paraId="230BA157" w14:textId="77777777" w:rsidR="00E8617E" w:rsidRPr="00BC513A" w:rsidRDefault="00E8617E" w:rsidP="00E8617E">
      <w:pPr>
        <w:pStyle w:val="ListParagraph"/>
        <w:widowControl w:val="0"/>
        <w:spacing w:after="120" w:line="300" w:lineRule="atLeast"/>
        <w:ind w:left="0" w:firstLine="709"/>
        <w:contextualSpacing w:val="0"/>
        <w:jc w:val="both"/>
        <w:rPr>
          <w:rFonts w:ascii="Arial" w:hAnsi="Arial" w:cs="Arial"/>
        </w:rPr>
      </w:pPr>
      <w:r w:rsidRPr="00BC513A">
        <w:rPr>
          <w:rFonts w:ascii="Arial" w:hAnsi="Arial" w:cs="Arial"/>
        </w:rPr>
        <w:t xml:space="preserve">В тази връзка по мярка 321 е отчетен и най-голям брой проекти с окончателно плащане от всички мерки, изпълнявани от общини за целия период на </w:t>
      </w:r>
      <w:r w:rsidR="000F57E9">
        <w:rPr>
          <w:rFonts w:ascii="Arial" w:hAnsi="Arial" w:cs="Arial"/>
        </w:rPr>
        <w:t>п</w:t>
      </w:r>
      <w:r w:rsidRPr="00BC513A">
        <w:rPr>
          <w:rFonts w:ascii="Arial" w:hAnsi="Arial" w:cs="Arial"/>
        </w:rPr>
        <w:t>рограмата. Като цяло мярката постига заложените цели, с пряк ефект върху подобряване качеството на живот на населението в селските райони, което се ползва от подобрените услуги.</w:t>
      </w:r>
    </w:p>
    <w:p w14:paraId="103951B0" w14:textId="77777777" w:rsidR="00E8617E" w:rsidRPr="00BC513A" w:rsidRDefault="00E8617E" w:rsidP="00E8617E">
      <w:pPr>
        <w:pStyle w:val="ListParagraph"/>
        <w:spacing w:after="120" w:line="300" w:lineRule="atLeast"/>
        <w:ind w:left="0" w:firstLine="708"/>
        <w:contextualSpacing w:val="0"/>
        <w:jc w:val="both"/>
        <w:rPr>
          <w:rFonts w:ascii="Arial" w:hAnsi="Arial" w:cs="Arial"/>
        </w:rPr>
      </w:pPr>
      <w:r w:rsidRPr="00BC513A">
        <w:rPr>
          <w:rFonts w:ascii="Arial" w:hAnsi="Arial" w:cs="Arial"/>
        </w:rPr>
        <w:t xml:space="preserve">Тук е мястото да отбележим, че корективните мерки, възприети с последователните изменения на </w:t>
      </w:r>
      <w:r w:rsidR="000F57E9">
        <w:rPr>
          <w:rFonts w:ascii="Arial" w:hAnsi="Arial" w:cs="Arial"/>
        </w:rPr>
        <w:t>п</w:t>
      </w:r>
      <w:r w:rsidRPr="00BC513A">
        <w:rPr>
          <w:rFonts w:ascii="Arial" w:hAnsi="Arial" w:cs="Arial"/>
        </w:rPr>
        <w:t>рограмата (вследствие препоръките от Междинната оценка на база констатираното договориране, реално и финансово изпълнение, вкл. извършване на плащания единствено по двете общински мерки 321 и 322 към междинния период), във връзка с прехвърляне на средства между мерките от ос 3 и конкретно от мерки 311, 312 и 313 към останалите две мерки, дават реален резултат при отчитане на постигнатите индикатори към края на периода и реализираното преизпълнение на по-голямата част от тях, свързани с подобряване състоянието на общинската инфраструктура и достъпа до обществени услуги.</w:t>
      </w:r>
    </w:p>
    <w:p w14:paraId="01FF8091" w14:textId="77777777" w:rsidR="00E8617E" w:rsidRPr="00BC513A" w:rsidRDefault="00E8617E" w:rsidP="00E8617E">
      <w:pPr>
        <w:spacing w:after="120" w:line="300" w:lineRule="atLeast"/>
        <w:ind w:firstLine="708"/>
        <w:jc w:val="both"/>
        <w:rPr>
          <w:rFonts w:ascii="Arial" w:eastAsia="Times New Roman" w:hAnsi="Arial" w:cs="Times New Roman"/>
          <w:lang w:eastAsia="nl-NL"/>
        </w:rPr>
      </w:pPr>
      <w:r w:rsidRPr="00BC513A">
        <w:rPr>
          <w:rFonts w:ascii="Arial" w:eastAsia="Times New Roman" w:hAnsi="Arial" w:cs="Times New Roman"/>
          <w:lang w:eastAsia="nl-NL"/>
        </w:rPr>
        <w:t>Според вида дейности при прилагането, най-голям ефект от прилагането на мярка 321, спрямо дела на изпълнените проекти (37%) и обема на разплатените средства като публични инвестиции (42%), отбелязваме при финансирането на инфраструктура в областта на околната среда (за целите на подобряване състоянието на водопроводните и канализационните мрежи и системи в населените места). Следват инвестициите в дейности, свързани с подобряване на мобилността на населението – според изпълнените проекти (23%) и обема на разплатените средства като публични инвестиции (33%) и такива, подпомагащи културните и социални услуги в населените места, чрез изпълнените проекти (34%) и обема на разплатените средства като публични инвестиции (23%), с ефект върху културната и социална инфраструктура.</w:t>
      </w:r>
    </w:p>
    <w:p w14:paraId="41F3F3EC" w14:textId="77777777" w:rsidR="00E8617E" w:rsidRPr="00BC513A" w:rsidRDefault="00E8617E" w:rsidP="00E8617E">
      <w:pPr>
        <w:spacing w:after="120" w:line="300" w:lineRule="atLeast"/>
        <w:ind w:firstLine="708"/>
        <w:jc w:val="both"/>
        <w:rPr>
          <w:rFonts w:ascii="Arial" w:eastAsia="Times New Roman" w:hAnsi="Arial" w:cs="Times New Roman"/>
          <w:lang w:eastAsia="nl-NL"/>
        </w:rPr>
      </w:pPr>
      <w:r w:rsidRPr="00BC513A">
        <w:rPr>
          <w:rFonts w:ascii="Arial" w:eastAsia="Times New Roman" w:hAnsi="Arial" w:cs="Times New Roman"/>
          <w:lang w:eastAsia="nl-NL"/>
        </w:rPr>
        <w:t xml:space="preserve">Всичко казано дотук идва да покаже, че безспорно наблюдаваме изцяло положителен ефект от прилагането на мярката, доколкото основните проблеми на територията, засягащи лошото състояние на общинската инфраструктура като предпоставка за влошаване качеството на живот на местното население са налице при стартирането на ПРСР и чувствително намалени вследствие изпълнението на мярка 321, видно от преизпълнението на преобладаващата част от индикаторите за резултат и въздействие. </w:t>
      </w:r>
    </w:p>
    <w:p w14:paraId="46E175E2" w14:textId="77777777" w:rsidR="00E8617E" w:rsidRPr="00BC513A" w:rsidRDefault="00E8617E" w:rsidP="00E8617E">
      <w:pPr>
        <w:pStyle w:val="DefaultText"/>
        <w:keepNext/>
        <w:spacing w:before="240" w:after="120" w:line="300" w:lineRule="atLeast"/>
        <w:ind w:firstLine="709"/>
        <w:rPr>
          <w:i/>
          <w:sz w:val="22"/>
          <w:szCs w:val="22"/>
          <w:lang w:val="bg-BG"/>
        </w:rPr>
      </w:pPr>
      <w:r w:rsidRPr="00BC513A">
        <w:rPr>
          <w:i/>
          <w:sz w:val="22"/>
          <w:szCs w:val="22"/>
          <w:lang w:val="bg-BG"/>
        </w:rPr>
        <w:t>322. Обновяване и развитие на населените места</w:t>
      </w:r>
    </w:p>
    <w:p w14:paraId="52744514" w14:textId="6EE18A2C"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322 цели да се подобри привлекателността на средата за живот в населените места от селските райони.</w:t>
      </w:r>
      <w:r w:rsidR="00F07F15">
        <w:rPr>
          <w:sz w:val="22"/>
          <w:szCs w:val="22"/>
          <w:lang w:val="bg-BG"/>
        </w:rPr>
        <w:t xml:space="preserve"> </w:t>
      </w:r>
      <w:r w:rsidRPr="00BC513A">
        <w:rPr>
          <w:sz w:val="22"/>
          <w:szCs w:val="22"/>
          <w:lang w:val="bg-BG"/>
        </w:rPr>
        <w:t>Тя е насочена към физическото обновяване на населените места от селските райони и цели да подпомогне разширяването на възможностите за почивка, и да повиши привлекателността им, чрез изграждане/възстановяване на общодостъпните зелени площи, вертикалната им планировка, площади, улично осветление, пешеходни зони. Чрез подобряване облика на населените места в селските райони ще се подобри качеството на живот в тях и ще се подобрят условията за създаване на успешен бизнес. В резултат на това с тази м</w:t>
      </w:r>
      <w:r w:rsidR="00021FC9">
        <w:rPr>
          <w:sz w:val="22"/>
          <w:szCs w:val="22"/>
          <w:lang w:val="bg-BG"/>
        </w:rPr>
        <w:t>я</w:t>
      </w:r>
      <w:r w:rsidRPr="00BC513A">
        <w:rPr>
          <w:sz w:val="22"/>
          <w:szCs w:val="22"/>
          <w:lang w:val="bg-BG"/>
        </w:rPr>
        <w:t>рка се цели да се ускорят процесите на развитие на местните икономики и да се ограничи бързото обезлюдяване на селските райони</w:t>
      </w:r>
    </w:p>
    <w:p w14:paraId="518AF245"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Мярката има първоначален бюджет от 167 милиона евро, който поради силния интерес към мярката  е увеличен с 23% до 205 милиона. Както и при предходната мярка 321, увеличеният бюджет на мярка 322 е усвоен на 98%.</w:t>
      </w:r>
    </w:p>
    <w:p w14:paraId="5A7D3162" w14:textId="77777777" w:rsidR="00E8617E" w:rsidRDefault="00E8617E" w:rsidP="00E8617E">
      <w:pPr>
        <w:pStyle w:val="DefaultText"/>
        <w:spacing w:after="120" w:line="300" w:lineRule="atLeast"/>
        <w:ind w:firstLine="708"/>
        <w:rPr>
          <w:sz w:val="22"/>
          <w:szCs w:val="22"/>
          <w:lang w:val="bg-BG"/>
        </w:rPr>
      </w:pPr>
      <w:r w:rsidRPr="00BC513A">
        <w:rPr>
          <w:sz w:val="22"/>
          <w:szCs w:val="22"/>
          <w:lang w:val="bg-BG"/>
        </w:rPr>
        <w:t>Всички заложени целеви стойности на заложените индикатори по мярката са постигнати и надхвърлени. Броят на подпомогнатото население на територията на селските райони надвишава заложената целева стойност (113%).</w:t>
      </w:r>
    </w:p>
    <w:p w14:paraId="0FDC6129" w14:textId="77777777" w:rsidR="00840BE9" w:rsidRDefault="00840BE9" w:rsidP="00E8617E">
      <w:pPr>
        <w:pStyle w:val="DefaultText"/>
        <w:spacing w:after="120" w:line="300" w:lineRule="atLeast"/>
        <w:ind w:firstLine="708"/>
        <w:rPr>
          <w:sz w:val="22"/>
          <w:szCs w:val="22"/>
          <w:lang w:val="bg-BG"/>
        </w:rPr>
      </w:pPr>
    </w:p>
    <w:p w14:paraId="14880C3B" w14:textId="77777777" w:rsidR="00840BE9" w:rsidRDefault="00840BE9" w:rsidP="00E8617E">
      <w:pPr>
        <w:pStyle w:val="DefaultText"/>
        <w:spacing w:after="120" w:line="300" w:lineRule="atLeast"/>
        <w:ind w:firstLine="708"/>
        <w:rPr>
          <w:sz w:val="22"/>
          <w:szCs w:val="22"/>
          <w:lang w:val="bg-BG"/>
        </w:rPr>
      </w:pPr>
    </w:p>
    <w:p w14:paraId="0C76A5B9" w14:textId="77777777" w:rsidR="00E8617E" w:rsidRPr="00BC513A" w:rsidRDefault="00E8617E" w:rsidP="00903B3F">
      <w:pPr>
        <w:keepNext/>
        <w:spacing w:before="240" w:after="0" w:line="240" w:lineRule="auto"/>
        <w:rPr>
          <w:rFonts w:ascii="Arial" w:eastAsia="Calibri" w:hAnsi="Arial" w:cs="Arial"/>
          <w:b/>
          <w:iCs/>
          <w:color w:val="0070C0"/>
          <w:sz w:val="20"/>
          <w:szCs w:val="20"/>
        </w:rPr>
      </w:pPr>
      <w:bookmarkStart w:id="179" w:name="_Toc504136248"/>
      <w:r w:rsidRPr="00BC513A">
        <w:rPr>
          <w:rFonts w:ascii="Arial" w:eastAsia="Calibri" w:hAnsi="Arial" w:cs="Arial"/>
          <w:b/>
          <w:iCs/>
          <w:color w:val="0070C0"/>
          <w:sz w:val="20"/>
          <w:szCs w:val="20"/>
        </w:rPr>
        <w:t xml:space="preserve">Таблица </w:t>
      </w:r>
      <w:r w:rsidRPr="00BC513A">
        <w:rPr>
          <w:rFonts w:ascii="Arial" w:eastAsia="Calibri" w:hAnsi="Arial" w:cs="Arial"/>
          <w:b/>
          <w:iCs/>
          <w:color w:val="0070C0"/>
          <w:sz w:val="20"/>
          <w:szCs w:val="20"/>
        </w:rPr>
        <w:fldChar w:fldCharType="begin"/>
      </w:r>
      <w:r w:rsidRPr="00BC513A">
        <w:rPr>
          <w:rFonts w:ascii="Arial" w:eastAsia="Calibri" w:hAnsi="Arial" w:cs="Arial"/>
          <w:b/>
          <w:iCs/>
          <w:color w:val="0070C0"/>
          <w:sz w:val="20"/>
          <w:szCs w:val="20"/>
        </w:rPr>
        <w:instrText xml:space="preserve"> SEQ Таблица \* ARABIC </w:instrText>
      </w:r>
      <w:r w:rsidRPr="00BC513A">
        <w:rPr>
          <w:rFonts w:ascii="Arial" w:eastAsia="Calibri" w:hAnsi="Arial" w:cs="Arial"/>
          <w:b/>
          <w:iCs/>
          <w:color w:val="0070C0"/>
          <w:sz w:val="20"/>
          <w:szCs w:val="20"/>
        </w:rPr>
        <w:fldChar w:fldCharType="separate"/>
      </w:r>
      <w:r w:rsidR="0023010D">
        <w:rPr>
          <w:rFonts w:ascii="Arial" w:eastAsia="Calibri" w:hAnsi="Arial" w:cs="Arial"/>
          <w:b/>
          <w:iCs/>
          <w:noProof/>
          <w:color w:val="0070C0"/>
          <w:sz w:val="20"/>
          <w:szCs w:val="20"/>
        </w:rPr>
        <w:t>76</w:t>
      </w:r>
      <w:r w:rsidRPr="00BC513A">
        <w:rPr>
          <w:rFonts w:ascii="Arial" w:eastAsia="Calibri" w:hAnsi="Arial" w:cs="Arial"/>
          <w:b/>
          <w:iCs/>
          <w:color w:val="0070C0"/>
          <w:sz w:val="20"/>
          <w:szCs w:val="20"/>
        </w:rPr>
        <w:fldChar w:fldCharType="end"/>
      </w:r>
      <w:r w:rsidRPr="00BC513A">
        <w:rPr>
          <w:rFonts w:ascii="Arial" w:eastAsia="Calibri" w:hAnsi="Arial" w:cs="Arial"/>
          <w:b/>
          <w:iCs/>
          <w:color w:val="0070C0"/>
          <w:sz w:val="20"/>
          <w:szCs w:val="20"/>
        </w:rPr>
        <w:t>. Изпълнение на целите на мярка 322 база платени проекти</w:t>
      </w:r>
      <w:bookmarkEnd w:id="179"/>
      <w:r w:rsidRPr="00BC513A">
        <w:rPr>
          <w:rFonts w:ascii="Arial" w:eastAsia="Calibri" w:hAnsi="Arial" w:cs="Arial"/>
          <w:b/>
          <w:iCs/>
          <w:color w:val="0070C0"/>
          <w:sz w:val="20"/>
          <w:szCs w:val="20"/>
        </w:rPr>
        <w:t xml:space="preserve"> </w:t>
      </w:r>
    </w:p>
    <w:tbl>
      <w:tblPr>
        <w:tblStyle w:val="TableGrid"/>
        <w:tblW w:w="9288" w:type="dxa"/>
        <w:tblLook w:val="04A0" w:firstRow="1" w:lastRow="0" w:firstColumn="1" w:lastColumn="0" w:noHBand="0" w:noVBand="1"/>
      </w:tblPr>
      <w:tblGrid>
        <w:gridCol w:w="2478"/>
        <w:gridCol w:w="1692"/>
        <w:gridCol w:w="1671"/>
        <w:gridCol w:w="1805"/>
        <w:gridCol w:w="1642"/>
      </w:tblGrid>
      <w:tr w:rsidR="00E8617E" w:rsidRPr="00BC513A" w14:paraId="721D23F3" w14:textId="77777777" w:rsidTr="00922731">
        <w:tc>
          <w:tcPr>
            <w:tcW w:w="2660" w:type="dxa"/>
            <w:tcBorders>
              <w:top w:val="single" w:sz="4" w:space="0" w:color="auto"/>
              <w:left w:val="single" w:sz="4" w:space="0" w:color="auto"/>
              <w:bottom w:val="single" w:sz="4" w:space="0" w:color="auto"/>
              <w:right w:val="single" w:sz="4" w:space="0" w:color="auto"/>
            </w:tcBorders>
            <w:shd w:val="clear" w:color="auto" w:fill="1F4E79"/>
            <w:vAlign w:val="center"/>
            <w:hideMark/>
          </w:tcPr>
          <w:p w14:paraId="3EC0573D"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Индикатор</w:t>
            </w:r>
          </w:p>
        </w:tc>
        <w:tc>
          <w:tcPr>
            <w:tcW w:w="1275" w:type="dxa"/>
            <w:tcBorders>
              <w:top w:val="single" w:sz="4" w:space="0" w:color="auto"/>
              <w:left w:val="single" w:sz="4" w:space="0" w:color="auto"/>
              <w:bottom w:val="single" w:sz="4" w:space="0" w:color="auto"/>
              <w:right w:val="single" w:sz="4" w:space="0" w:color="auto"/>
            </w:tcBorders>
            <w:shd w:val="clear" w:color="auto" w:fill="1F4E79"/>
            <w:vAlign w:val="center"/>
            <w:hideMark/>
          </w:tcPr>
          <w:p w14:paraId="73DF9F5E"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Първоначална стойност</w:t>
            </w:r>
          </w:p>
        </w:tc>
        <w:tc>
          <w:tcPr>
            <w:tcW w:w="1703" w:type="dxa"/>
            <w:tcBorders>
              <w:top w:val="single" w:sz="4" w:space="0" w:color="auto"/>
              <w:left w:val="single" w:sz="4" w:space="0" w:color="auto"/>
              <w:bottom w:val="single" w:sz="4" w:space="0" w:color="auto"/>
              <w:right w:val="single" w:sz="4" w:space="0" w:color="auto"/>
            </w:tcBorders>
            <w:shd w:val="clear" w:color="auto" w:fill="1F4E79"/>
            <w:vAlign w:val="center"/>
            <w:hideMark/>
          </w:tcPr>
          <w:p w14:paraId="64F1BBAD"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 xml:space="preserve">Окончателна целева стойност </w:t>
            </w:r>
          </w:p>
        </w:tc>
        <w:tc>
          <w:tcPr>
            <w:tcW w:w="1838" w:type="dxa"/>
            <w:tcBorders>
              <w:top w:val="single" w:sz="4" w:space="0" w:color="auto"/>
              <w:left w:val="single" w:sz="4" w:space="0" w:color="auto"/>
              <w:bottom w:val="single" w:sz="4" w:space="0" w:color="auto"/>
              <w:right w:val="single" w:sz="4" w:space="0" w:color="auto"/>
            </w:tcBorders>
            <w:shd w:val="clear" w:color="auto" w:fill="1F4E79"/>
            <w:hideMark/>
          </w:tcPr>
          <w:p w14:paraId="28B9D6A8"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b/>
                <w:color w:val="FFFFFF" w:themeColor="background1"/>
                <w:sz w:val="20"/>
                <w:szCs w:val="20"/>
              </w:rPr>
              <w:t>Постигната стойност след изпълнението на програмата</w:t>
            </w:r>
          </w:p>
        </w:tc>
        <w:tc>
          <w:tcPr>
            <w:tcW w:w="1812" w:type="dxa"/>
            <w:tcBorders>
              <w:top w:val="single" w:sz="4" w:space="0" w:color="auto"/>
              <w:left w:val="single" w:sz="4" w:space="0" w:color="auto"/>
              <w:bottom w:val="single" w:sz="4" w:space="0" w:color="auto"/>
              <w:right w:val="single" w:sz="4" w:space="0" w:color="auto"/>
            </w:tcBorders>
            <w:shd w:val="clear" w:color="auto" w:fill="1F4E79"/>
            <w:vAlign w:val="center"/>
          </w:tcPr>
          <w:p w14:paraId="7C6CB9B4" w14:textId="77777777" w:rsidR="00E8617E" w:rsidRPr="00BC513A" w:rsidRDefault="00E8617E" w:rsidP="00922731">
            <w:pPr>
              <w:jc w:val="center"/>
              <w:rPr>
                <w:rFonts w:ascii="Arial" w:hAnsi="Arial" w:cs="Arial"/>
                <w:b/>
                <w:color w:val="FFFFFF" w:themeColor="background1"/>
                <w:sz w:val="20"/>
                <w:szCs w:val="20"/>
              </w:rPr>
            </w:pPr>
            <w:r w:rsidRPr="00BC513A">
              <w:rPr>
                <w:rFonts w:ascii="Arial" w:eastAsia="Calibri" w:hAnsi="Arial" w:cs="Arial"/>
                <w:color w:val="FFFFFF" w:themeColor="background1"/>
                <w:sz w:val="20"/>
                <w:szCs w:val="20"/>
              </w:rPr>
              <w:t>%</w:t>
            </w:r>
          </w:p>
        </w:tc>
      </w:tr>
      <w:tr w:rsidR="00E8617E" w:rsidRPr="00BC513A" w14:paraId="6507794D" w14:textId="77777777" w:rsidTr="00922731">
        <w:trPr>
          <w:trHeight w:val="128"/>
        </w:trPr>
        <w:tc>
          <w:tcPr>
            <w:tcW w:w="2660" w:type="dxa"/>
            <w:tcBorders>
              <w:top w:val="single" w:sz="4" w:space="0" w:color="auto"/>
              <w:left w:val="single" w:sz="4" w:space="0" w:color="auto"/>
              <w:bottom w:val="single" w:sz="4" w:space="0" w:color="auto"/>
              <w:right w:val="single" w:sz="4" w:space="0" w:color="auto"/>
            </w:tcBorders>
            <w:vAlign w:val="center"/>
            <w:hideMark/>
          </w:tcPr>
          <w:p w14:paraId="62F9215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Брой на селата, където се изпълняват дейностите</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A807DB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800</w:t>
            </w:r>
          </w:p>
        </w:tc>
        <w:tc>
          <w:tcPr>
            <w:tcW w:w="1703" w:type="dxa"/>
            <w:tcBorders>
              <w:top w:val="single" w:sz="4" w:space="0" w:color="auto"/>
              <w:left w:val="single" w:sz="4" w:space="0" w:color="auto"/>
              <w:bottom w:val="single" w:sz="4" w:space="0" w:color="auto"/>
              <w:right w:val="single" w:sz="4" w:space="0" w:color="auto"/>
            </w:tcBorders>
            <w:vAlign w:val="center"/>
            <w:hideMark/>
          </w:tcPr>
          <w:p w14:paraId="7E62B18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800</w:t>
            </w:r>
          </w:p>
        </w:tc>
        <w:tc>
          <w:tcPr>
            <w:tcW w:w="1838" w:type="dxa"/>
            <w:tcBorders>
              <w:top w:val="single" w:sz="4" w:space="0" w:color="auto"/>
              <w:left w:val="single" w:sz="4" w:space="0" w:color="auto"/>
              <w:bottom w:val="single" w:sz="4" w:space="0" w:color="auto"/>
              <w:right w:val="single" w:sz="4" w:space="0" w:color="auto"/>
            </w:tcBorders>
            <w:vAlign w:val="center"/>
            <w:hideMark/>
          </w:tcPr>
          <w:p w14:paraId="2B41C47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747</w:t>
            </w:r>
          </w:p>
        </w:tc>
        <w:tc>
          <w:tcPr>
            <w:tcW w:w="1812" w:type="dxa"/>
            <w:tcBorders>
              <w:top w:val="single" w:sz="4" w:space="0" w:color="auto"/>
              <w:left w:val="single" w:sz="4" w:space="0" w:color="auto"/>
              <w:bottom w:val="single" w:sz="4" w:space="0" w:color="auto"/>
              <w:right w:val="single" w:sz="4" w:space="0" w:color="auto"/>
            </w:tcBorders>
            <w:vAlign w:val="center"/>
          </w:tcPr>
          <w:p w14:paraId="151BC2A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93,4%</w:t>
            </w:r>
          </w:p>
        </w:tc>
      </w:tr>
      <w:tr w:rsidR="00E8617E" w:rsidRPr="00BC513A" w14:paraId="3AEEFE80" w14:textId="77777777" w:rsidTr="00922731">
        <w:trPr>
          <w:trHeight w:val="127"/>
        </w:trPr>
        <w:tc>
          <w:tcPr>
            <w:tcW w:w="2660" w:type="dxa"/>
            <w:tcBorders>
              <w:top w:val="single" w:sz="4" w:space="0" w:color="auto"/>
              <w:left w:val="single" w:sz="4" w:space="0" w:color="auto"/>
              <w:bottom w:val="single" w:sz="4" w:space="0" w:color="auto"/>
              <w:right w:val="single" w:sz="4" w:space="0" w:color="auto"/>
            </w:tcBorders>
            <w:vAlign w:val="center"/>
            <w:hideMark/>
          </w:tcPr>
          <w:p w14:paraId="6AC569B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Общ обем на инвестициите (в млн. евро)</w:t>
            </w:r>
          </w:p>
        </w:tc>
        <w:tc>
          <w:tcPr>
            <w:tcW w:w="1275" w:type="dxa"/>
            <w:tcBorders>
              <w:top w:val="single" w:sz="4" w:space="0" w:color="auto"/>
              <w:left w:val="single" w:sz="4" w:space="0" w:color="auto"/>
              <w:bottom w:val="single" w:sz="4" w:space="0" w:color="auto"/>
              <w:right w:val="single" w:sz="4" w:space="0" w:color="auto"/>
            </w:tcBorders>
            <w:vAlign w:val="center"/>
            <w:hideMark/>
          </w:tcPr>
          <w:p w14:paraId="3276980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166.8</w:t>
            </w:r>
          </w:p>
        </w:tc>
        <w:tc>
          <w:tcPr>
            <w:tcW w:w="1703" w:type="dxa"/>
            <w:tcBorders>
              <w:top w:val="single" w:sz="4" w:space="0" w:color="auto"/>
              <w:left w:val="single" w:sz="4" w:space="0" w:color="auto"/>
              <w:bottom w:val="single" w:sz="4" w:space="0" w:color="auto"/>
              <w:right w:val="single" w:sz="4" w:space="0" w:color="auto"/>
            </w:tcBorders>
            <w:vAlign w:val="center"/>
            <w:hideMark/>
          </w:tcPr>
          <w:p w14:paraId="0AB2537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208.4</w:t>
            </w:r>
          </w:p>
        </w:tc>
        <w:tc>
          <w:tcPr>
            <w:tcW w:w="1838" w:type="dxa"/>
            <w:tcBorders>
              <w:top w:val="single" w:sz="4" w:space="0" w:color="auto"/>
              <w:left w:val="single" w:sz="4" w:space="0" w:color="auto"/>
              <w:bottom w:val="single" w:sz="4" w:space="0" w:color="auto"/>
              <w:right w:val="single" w:sz="4" w:space="0" w:color="auto"/>
            </w:tcBorders>
            <w:vAlign w:val="center"/>
            <w:hideMark/>
          </w:tcPr>
          <w:p w14:paraId="7639457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247</w:t>
            </w:r>
          </w:p>
        </w:tc>
        <w:tc>
          <w:tcPr>
            <w:tcW w:w="1812" w:type="dxa"/>
            <w:tcBorders>
              <w:top w:val="single" w:sz="4" w:space="0" w:color="auto"/>
              <w:left w:val="single" w:sz="4" w:space="0" w:color="auto"/>
              <w:bottom w:val="single" w:sz="4" w:space="0" w:color="auto"/>
              <w:right w:val="single" w:sz="4" w:space="0" w:color="auto"/>
            </w:tcBorders>
            <w:vAlign w:val="center"/>
          </w:tcPr>
          <w:p w14:paraId="0E2BA1E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119%</w:t>
            </w:r>
          </w:p>
        </w:tc>
      </w:tr>
      <w:tr w:rsidR="00E8617E" w:rsidRPr="00BC513A" w14:paraId="46ECDD5D" w14:textId="77777777" w:rsidTr="00922731">
        <w:trPr>
          <w:trHeight w:val="951"/>
        </w:trPr>
        <w:tc>
          <w:tcPr>
            <w:tcW w:w="2660" w:type="dxa"/>
            <w:tcBorders>
              <w:top w:val="single" w:sz="4" w:space="0" w:color="auto"/>
              <w:left w:val="single" w:sz="4" w:space="0" w:color="auto"/>
              <w:bottom w:val="single" w:sz="4" w:space="0" w:color="auto"/>
              <w:right w:val="single" w:sz="4" w:space="0" w:color="auto"/>
            </w:tcBorders>
            <w:vAlign w:val="center"/>
            <w:hideMark/>
          </w:tcPr>
          <w:p w14:paraId="7DA6375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Население в селските райони, което се ползва от подобрената среда</w:t>
            </w:r>
          </w:p>
        </w:tc>
        <w:tc>
          <w:tcPr>
            <w:tcW w:w="1275" w:type="dxa"/>
            <w:tcBorders>
              <w:top w:val="single" w:sz="4" w:space="0" w:color="auto"/>
              <w:left w:val="single" w:sz="4" w:space="0" w:color="auto"/>
              <w:bottom w:val="single" w:sz="4" w:space="0" w:color="auto"/>
              <w:right w:val="single" w:sz="4" w:space="0" w:color="auto"/>
            </w:tcBorders>
            <w:vAlign w:val="center"/>
            <w:hideMark/>
          </w:tcPr>
          <w:p w14:paraId="6CA5B8F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500 000</w:t>
            </w:r>
          </w:p>
        </w:tc>
        <w:tc>
          <w:tcPr>
            <w:tcW w:w="1703" w:type="dxa"/>
            <w:tcBorders>
              <w:top w:val="single" w:sz="4" w:space="0" w:color="auto"/>
              <w:left w:val="single" w:sz="4" w:space="0" w:color="auto"/>
              <w:bottom w:val="single" w:sz="4" w:space="0" w:color="auto"/>
              <w:right w:val="single" w:sz="4" w:space="0" w:color="auto"/>
            </w:tcBorders>
            <w:vAlign w:val="center"/>
            <w:hideMark/>
          </w:tcPr>
          <w:p w14:paraId="2CB64DD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500 000</w:t>
            </w:r>
          </w:p>
        </w:tc>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D46CF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563 252</w:t>
            </w:r>
          </w:p>
        </w:tc>
        <w:tc>
          <w:tcPr>
            <w:tcW w:w="18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66483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113%</w:t>
            </w:r>
          </w:p>
        </w:tc>
      </w:tr>
      <w:tr w:rsidR="00E8617E" w:rsidRPr="00BC513A" w14:paraId="1C7098CD" w14:textId="77777777" w:rsidTr="00922731">
        <w:trPr>
          <w:trHeight w:val="1121"/>
        </w:trPr>
        <w:tc>
          <w:tcPr>
            <w:tcW w:w="26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516E6"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Нетно създадени допълнителни работни места на пълен работен ден</w:t>
            </w:r>
          </w:p>
        </w:tc>
        <w:tc>
          <w:tcPr>
            <w:tcW w:w="1275"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C2E6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525</w:t>
            </w:r>
          </w:p>
        </w:tc>
        <w:tc>
          <w:tcPr>
            <w:tcW w:w="170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0DE04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525</w:t>
            </w:r>
          </w:p>
        </w:tc>
        <w:tc>
          <w:tcPr>
            <w:tcW w:w="1838"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617449"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 xml:space="preserve">Няма данни </w:t>
            </w:r>
          </w:p>
        </w:tc>
        <w:tc>
          <w:tcPr>
            <w:tcW w:w="181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B6D75B" w14:textId="77777777" w:rsidR="00E8617E" w:rsidRPr="00BC513A" w:rsidRDefault="00E8617E" w:rsidP="00922731">
            <w:pPr>
              <w:jc w:val="center"/>
              <w:rPr>
                <w:rFonts w:ascii="Arial" w:hAnsi="Arial" w:cs="Arial"/>
                <w:sz w:val="20"/>
                <w:szCs w:val="20"/>
              </w:rPr>
            </w:pPr>
          </w:p>
        </w:tc>
      </w:tr>
    </w:tbl>
    <w:p w14:paraId="26A2A2AD" w14:textId="77777777" w:rsidR="00E8617E" w:rsidRPr="00F07F15" w:rsidRDefault="00E8617E" w:rsidP="00E8617E">
      <w:pPr>
        <w:spacing w:after="0" w:line="276" w:lineRule="auto"/>
        <w:jc w:val="both"/>
        <w:rPr>
          <w:rFonts w:ascii="Arial" w:hAnsi="Arial" w:cs="Arial"/>
          <w:sz w:val="18"/>
          <w:szCs w:val="18"/>
        </w:rPr>
      </w:pPr>
      <w:r w:rsidRPr="00F07F15">
        <w:rPr>
          <w:rFonts w:ascii="Arial" w:eastAsia="Times New Roman" w:hAnsi="Arial" w:cs="Times New Roman"/>
          <w:sz w:val="18"/>
          <w:szCs w:val="18"/>
          <w:lang w:eastAsia="nl-NL"/>
        </w:rPr>
        <w:t xml:space="preserve">Източник: Годишни доклади на ПРСР 2007-2013, </w:t>
      </w:r>
      <w:r w:rsidRPr="00F07F15">
        <w:rPr>
          <w:rFonts w:ascii="Arial" w:hAnsi="Arial" w:cs="Arial"/>
          <w:sz w:val="18"/>
          <w:szCs w:val="18"/>
        </w:rPr>
        <w:t>Предоставени данни от ДФЗ-РА за ИСАК базираните мерки към 31.12.2015г.</w:t>
      </w:r>
    </w:p>
    <w:p w14:paraId="48479526" w14:textId="77777777" w:rsidR="00E8617E" w:rsidRPr="00BC513A" w:rsidRDefault="00E8617E" w:rsidP="00E8617E">
      <w:pPr>
        <w:keepNext/>
        <w:spacing w:before="240" w:after="120" w:line="276" w:lineRule="auto"/>
        <w:jc w:val="both"/>
        <w:rPr>
          <w:rFonts w:ascii="Arial" w:eastAsia="Times New Roman" w:hAnsi="Arial" w:cs="Arial"/>
          <w:bCs/>
          <w:i/>
          <w:sz w:val="20"/>
          <w:szCs w:val="24"/>
        </w:rPr>
      </w:pPr>
      <w:bookmarkStart w:id="180" w:name="_Toc504136249"/>
      <w:r w:rsidRPr="00BC513A">
        <w:rPr>
          <w:rFonts w:ascii="Arial" w:eastAsia="Calibri" w:hAnsi="Arial" w:cs="Arial"/>
          <w:b/>
          <w:color w:val="0070C0"/>
          <w:sz w:val="20"/>
          <w:szCs w:val="20"/>
        </w:rPr>
        <w:t xml:space="preserve">Таблица </w:t>
      </w:r>
      <w:r w:rsidRPr="00BC513A">
        <w:rPr>
          <w:rFonts w:ascii="Arial" w:eastAsia="Calibri" w:hAnsi="Arial" w:cs="Arial"/>
          <w:b/>
          <w:color w:val="0070C0"/>
          <w:sz w:val="20"/>
          <w:szCs w:val="20"/>
        </w:rPr>
        <w:fldChar w:fldCharType="begin"/>
      </w:r>
      <w:r w:rsidRPr="00BC513A">
        <w:rPr>
          <w:rFonts w:ascii="Arial" w:eastAsia="Calibri" w:hAnsi="Arial" w:cs="Arial"/>
          <w:b/>
          <w:color w:val="0070C0"/>
          <w:sz w:val="20"/>
          <w:szCs w:val="20"/>
        </w:rPr>
        <w:instrText xml:space="preserve"> SEQ Таблица \* ARABIC </w:instrText>
      </w:r>
      <w:r w:rsidRPr="00BC513A">
        <w:rPr>
          <w:rFonts w:ascii="Arial" w:eastAsia="Calibri" w:hAnsi="Arial" w:cs="Arial"/>
          <w:b/>
          <w:color w:val="0070C0"/>
          <w:sz w:val="20"/>
          <w:szCs w:val="20"/>
        </w:rPr>
        <w:fldChar w:fldCharType="separate"/>
      </w:r>
      <w:r w:rsidR="0023010D">
        <w:rPr>
          <w:rFonts w:ascii="Arial" w:eastAsia="Calibri" w:hAnsi="Arial" w:cs="Arial"/>
          <w:b/>
          <w:noProof/>
          <w:color w:val="0070C0"/>
          <w:sz w:val="20"/>
          <w:szCs w:val="20"/>
        </w:rPr>
        <w:t>77</w:t>
      </w:r>
      <w:r w:rsidRPr="00BC513A">
        <w:rPr>
          <w:rFonts w:ascii="Arial" w:eastAsia="Calibri" w:hAnsi="Arial" w:cs="Arial"/>
          <w:b/>
          <w:color w:val="0070C0"/>
          <w:sz w:val="20"/>
          <w:szCs w:val="20"/>
        </w:rPr>
        <w:fldChar w:fldCharType="end"/>
      </w:r>
      <w:r w:rsidRPr="00BC513A">
        <w:rPr>
          <w:rFonts w:ascii="Arial" w:eastAsia="Calibri" w:hAnsi="Arial" w:cs="Arial"/>
          <w:b/>
          <w:color w:val="0070C0"/>
          <w:sz w:val="20"/>
          <w:szCs w:val="20"/>
        </w:rPr>
        <w:t>. Изпълнение на допълнителни специфични индикатори и цели на база проекти с плащане по мярка 322</w:t>
      </w:r>
      <w:bookmarkEnd w:id="180"/>
    </w:p>
    <w:tbl>
      <w:tblPr>
        <w:tblW w:w="4961"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3616"/>
        <w:gridCol w:w="1701"/>
        <w:gridCol w:w="1594"/>
        <w:gridCol w:w="1382"/>
        <w:gridCol w:w="922"/>
      </w:tblGrid>
      <w:tr w:rsidR="00E8617E" w:rsidRPr="00BC513A" w14:paraId="0FE7DBBE" w14:textId="77777777" w:rsidTr="00922731">
        <w:trPr>
          <w:trHeight w:val="657"/>
          <w:jc w:val="center"/>
        </w:trPr>
        <w:tc>
          <w:tcPr>
            <w:tcW w:w="1962" w:type="pct"/>
            <w:tcBorders>
              <w:top w:val="single" w:sz="4" w:space="0" w:color="auto"/>
              <w:left w:val="single" w:sz="4" w:space="0" w:color="auto"/>
              <w:bottom w:val="single" w:sz="6" w:space="0" w:color="auto"/>
              <w:right w:val="single" w:sz="6" w:space="0" w:color="auto"/>
            </w:tcBorders>
            <w:shd w:val="clear" w:color="auto" w:fill="1F4E79"/>
            <w:vAlign w:val="center"/>
            <w:hideMark/>
          </w:tcPr>
          <w:p w14:paraId="7D31A586" w14:textId="77777777" w:rsidR="00E8617E" w:rsidRPr="00BC513A" w:rsidRDefault="00E8617E" w:rsidP="00922731">
            <w:pPr>
              <w:tabs>
                <w:tab w:val="num" w:pos="0"/>
              </w:tabs>
              <w:spacing w:line="240" w:lineRule="auto"/>
              <w:jc w:val="center"/>
              <w:rPr>
                <w:rFonts w:ascii="Arial" w:hAnsi="Arial" w:cs="Arial"/>
                <w:b/>
                <w:bCs/>
                <w:color w:val="FFFFFF" w:themeColor="background1"/>
                <w:sz w:val="20"/>
                <w:szCs w:val="20"/>
              </w:rPr>
            </w:pPr>
            <w:r w:rsidRPr="00BC513A">
              <w:rPr>
                <w:rFonts w:ascii="Arial" w:hAnsi="Arial" w:cs="Arial"/>
                <w:b/>
                <w:bCs/>
                <w:color w:val="FFFFFF" w:themeColor="background1"/>
                <w:sz w:val="20"/>
                <w:szCs w:val="20"/>
              </w:rPr>
              <w:t>Индикатори</w:t>
            </w:r>
          </w:p>
        </w:tc>
        <w:tc>
          <w:tcPr>
            <w:tcW w:w="923" w:type="pct"/>
            <w:tcBorders>
              <w:top w:val="single" w:sz="4" w:space="0" w:color="auto"/>
              <w:left w:val="single" w:sz="6" w:space="0" w:color="auto"/>
              <w:bottom w:val="single" w:sz="6" w:space="0" w:color="auto"/>
              <w:right w:val="single" w:sz="6" w:space="0" w:color="auto"/>
            </w:tcBorders>
            <w:shd w:val="clear" w:color="auto" w:fill="1F4E79"/>
            <w:vAlign w:val="center"/>
            <w:hideMark/>
          </w:tcPr>
          <w:p w14:paraId="74A7F3E5" w14:textId="77777777" w:rsidR="00E8617E" w:rsidRPr="00BC513A" w:rsidRDefault="00E8617E" w:rsidP="00922731">
            <w:pPr>
              <w:tabs>
                <w:tab w:val="num" w:pos="0"/>
              </w:tabs>
              <w:spacing w:line="240" w:lineRule="auto"/>
              <w:jc w:val="center"/>
              <w:rPr>
                <w:rFonts w:ascii="Arial" w:hAnsi="Arial" w:cs="Arial"/>
                <w:b/>
                <w:bCs/>
                <w:color w:val="FFFFFF" w:themeColor="background1"/>
                <w:sz w:val="20"/>
                <w:szCs w:val="20"/>
              </w:rPr>
            </w:pPr>
            <w:r w:rsidRPr="00BC513A">
              <w:rPr>
                <w:rFonts w:ascii="Arial" w:eastAsia="Calibri" w:hAnsi="Arial" w:cs="Arial"/>
                <w:b/>
                <w:color w:val="FFFFFF" w:themeColor="background1"/>
                <w:sz w:val="20"/>
                <w:szCs w:val="20"/>
              </w:rPr>
              <w:t>Първоначална стойност</w:t>
            </w:r>
          </w:p>
        </w:tc>
        <w:tc>
          <w:tcPr>
            <w:tcW w:w="865" w:type="pct"/>
            <w:tcBorders>
              <w:top w:val="single" w:sz="4" w:space="0" w:color="auto"/>
              <w:left w:val="single" w:sz="6" w:space="0" w:color="auto"/>
              <w:bottom w:val="single" w:sz="6" w:space="0" w:color="auto"/>
              <w:right w:val="single" w:sz="6" w:space="0" w:color="auto"/>
            </w:tcBorders>
            <w:shd w:val="clear" w:color="auto" w:fill="1F4E79"/>
            <w:vAlign w:val="center"/>
            <w:hideMark/>
          </w:tcPr>
          <w:p w14:paraId="6A449FE2" w14:textId="77777777" w:rsidR="00E8617E" w:rsidRPr="00BC513A" w:rsidRDefault="00E8617E" w:rsidP="00922731">
            <w:pPr>
              <w:tabs>
                <w:tab w:val="num" w:pos="0"/>
              </w:tabs>
              <w:spacing w:line="240" w:lineRule="auto"/>
              <w:jc w:val="center"/>
              <w:rPr>
                <w:rFonts w:ascii="Arial" w:hAnsi="Arial" w:cs="Arial"/>
                <w:b/>
                <w:bCs/>
                <w:color w:val="FFFFFF" w:themeColor="background1"/>
                <w:sz w:val="20"/>
                <w:szCs w:val="20"/>
              </w:rPr>
            </w:pPr>
            <w:r w:rsidRPr="00BC513A">
              <w:rPr>
                <w:rFonts w:ascii="Arial" w:eastAsia="Calibri" w:hAnsi="Arial" w:cs="Arial"/>
                <w:b/>
                <w:color w:val="FFFFFF" w:themeColor="background1"/>
                <w:sz w:val="20"/>
                <w:szCs w:val="20"/>
              </w:rPr>
              <w:t>Окончателна целева стойност</w:t>
            </w:r>
          </w:p>
        </w:tc>
        <w:tc>
          <w:tcPr>
            <w:tcW w:w="750" w:type="pct"/>
            <w:tcBorders>
              <w:top w:val="single" w:sz="4" w:space="0" w:color="auto"/>
              <w:left w:val="single" w:sz="6" w:space="0" w:color="auto"/>
              <w:bottom w:val="single" w:sz="6" w:space="0" w:color="auto"/>
              <w:right w:val="single" w:sz="4" w:space="0" w:color="auto"/>
            </w:tcBorders>
            <w:shd w:val="clear" w:color="auto" w:fill="1F4E79"/>
            <w:vAlign w:val="center"/>
            <w:hideMark/>
          </w:tcPr>
          <w:p w14:paraId="65B69F81" w14:textId="77777777" w:rsidR="00E8617E" w:rsidRPr="00BC513A" w:rsidRDefault="00E8617E" w:rsidP="00922731">
            <w:pPr>
              <w:tabs>
                <w:tab w:val="num" w:pos="0"/>
              </w:tabs>
              <w:spacing w:line="240" w:lineRule="auto"/>
              <w:jc w:val="center"/>
              <w:rPr>
                <w:rFonts w:ascii="Arial" w:hAnsi="Arial" w:cs="Arial"/>
                <w:b/>
                <w:bCs/>
                <w:color w:val="FFFFFF" w:themeColor="background1"/>
                <w:sz w:val="20"/>
                <w:szCs w:val="20"/>
              </w:rPr>
            </w:pPr>
            <w:r w:rsidRPr="00BC513A">
              <w:rPr>
                <w:rFonts w:ascii="Arial" w:eastAsia="Calibri" w:hAnsi="Arial" w:cs="Arial"/>
                <w:b/>
                <w:color w:val="FFFFFF" w:themeColor="background1"/>
                <w:sz w:val="20"/>
                <w:szCs w:val="20"/>
              </w:rPr>
              <w:t>Постигната стойност</w:t>
            </w:r>
          </w:p>
        </w:tc>
        <w:tc>
          <w:tcPr>
            <w:tcW w:w="500" w:type="pct"/>
            <w:tcBorders>
              <w:top w:val="single" w:sz="4" w:space="0" w:color="auto"/>
              <w:left w:val="single" w:sz="6" w:space="0" w:color="auto"/>
              <w:bottom w:val="single" w:sz="6" w:space="0" w:color="auto"/>
              <w:right w:val="single" w:sz="4" w:space="0" w:color="auto"/>
            </w:tcBorders>
            <w:shd w:val="clear" w:color="auto" w:fill="1F4E79"/>
            <w:vAlign w:val="center"/>
          </w:tcPr>
          <w:p w14:paraId="2A12021D" w14:textId="77777777" w:rsidR="00E8617E" w:rsidRPr="00BC513A" w:rsidRDefault="00E8617E" w:rsidP="00922731">
            <w:pPr>
              <w:tabs>
                <w:tab w:val="num" w:pos="0"/>
              </w:tabs>
              <w:spacing w:line="240" w:lineRule="auto"/>
              <w:jc w:val="center"/>
              <w:rPr>
                <w:rFonts w:ascii="Arial" w:hAnsi="Arial" w:cs="Arial"/>
                <w:b/>
                <w:bCs/>
                <w:color w:val="FFFFFF" w:themeColor="background1"/>
                <w:sz w:val="20"/>
                <w:szCs w:val="20"/>
              </w:rPr>
            </w:pPr>
            <w:r w:rsidRPr="00BC513A">
              <w:rPr>
                <w:rFonts w:ascii="Arial" w:eastAsia="Calibri" w:hAnsi="Arial" w:cs="Arial"/>
                <w:color w:val="FFFFFF" w:themeColor="background1"/>
                <w:sz w:val="20"/>
                <w:szCs w:val="20"/>
              </w:rPr>
              <w:t>%</w:t>
            </w:r>
          </w:p>
        </w:tc>
      </w:tr>
      <w:tr w:rsidR="00E8617E" w:rsidRPr="00BC513A" w14:paraId="3B687B55" w14:textId="77777777" w:rsidTr="00922731">
        <w:trPr>
          <w:trHeight w:val="278"/>
          <w:jc w:val="center"/>
        </w:trPr>
        <w:tc>
          <w:tcPr>
            <w:tcW w:w="1962" w:type="pct"/>
            <w:tcBorders>
              <w:top w:val="single" w:sz="6" w:space="0" w:color="auto"/>
              <w:left w:val="single" w:sz="4" w:space="0" w:color="auto"/>
              <w:bottom w:val="single" w:sz="6" w:space="0" w:color="auto"/>
              <w:right w:val="single" w:sz="6" w:space="0" w:color="auto"/>
            </w:tcBorders>
            <w:noWrap/>
            <w:hideMark/>
          </w:tcPr>
          <w:p w14:paraId="4CE5CD42" w14:textId="77777777" w:rsidR="00E8617E" w:rsidRPr="00BC513A" w:rsidRDefault="00E8617E" w:rsidP="00922731">
            <w:pPr>
              <w:tabs>
                <w:tab w:val="num" w:pos="0"/>
              </w:tabs>
              <w:spacing w:line="240" w:lineRule="auto"/>
              <w:rPr>
                <w:rFonts w:ascii="Arial" w:hAnsi="Arial" w:cs="Arial"/>
                <w:sz w:val="20"/>
                <w:szCs w:val="20"/>
              </w:rPr>
            </w:pPr>
            <w:r w:rsidRPr="00BC513A">
              <w:rPr>
                <w:rFonts w:ascii="Arial" w:hAnsi="Arial" w:cs="Arial"/>
                <w:sz w:val="20"/>
                <w:szCs w:val="20"/>
              </w:rPr>
              <w:t>Улици - нови (км)</w:t>
            </w:r>
          </w:p>
        </w:tc>
        <w:tc>
          <w:tcPr>
            <w:tcW w:w="923" w:type="pct"/>
            <w:tcBorders>
              <w:top w:val="single" w:sz="6" w:space="0" w:color="auto"/>
              <w:left w:val="single" w:sz="6" w:space="0" w:color="auto"/>
              <w:bottom w:val="single" w:sz="6" w:space="0" w:color="auto"/>
              <w:right w:val="single" w:sz="6" w:space="0" w:color="auto"/>
            </w:tcBorders>
            <w:shd w:val="clear" w:color="auto" w:fill="FFFFFF"/>
            <w:noWrap/>
            <w:hideMark/>
          </w:tcPr>
          <w:p w14:paraId="27003086"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23.6</w:t>
            </w:r>
          </w:p>
        </w:tc>
        <w:tc>
          <w:tcPr>
            <w:tcW w:w="865" w:type="pct"/>
            <w:tcBorders>
              <w:top w:val="single" w:sz="6" w:space="0" w:color="auto"/>
              <w:left w:val="single" w:sz="6" w:space="0" w:color="auto"/>
              <w:bottom w:val="single" w:sz="6" w:space="0" w:color="auto"/>
              <w:right w:val="single" w:sz="6" w:space="0" w:color="auto"/>
            </w:tcBorders>
            <w:shd w:val="clear" w:color="auto" w:fill="FFFFFF"/>
            <w:noWrap/>
            <w:hideMark/>
          </w:tcPr>
          <w:p w14:paraId="4D524C76"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18</w:t>
            </w:r>
          </w:p>
        </w:tc>
        <w:tc>
          <w:tcPr>
            <w:tcW w:w="750" w:type="pct"/>
            <w:tcBorders>
              <w:top w:val="single" w:sz="6" w:space="0" w:color="auto"/>
              <w:left w:val="single" w:sz="6" w:space="0" w:color="auto"/>
              <w:bottom w:val="single" w:sz="6" w:space="0" w:color="auto"/>
              <w:right w:val="single" w:sz="4" w:space="0" w:color="auto"/>
            </w:tcBorders>
            <w:noWrap/>
            <w:hideMark/>
          </w:tcPr>
          <w:p w14:paraId="694C2527"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18</w:t>
            </w:r>
          </w:p>
        </w:tc>
        <w:tc>
          <w:tcPr>
            <w:tcW w:w="500" w:type="pct"/>
            <w:tcBorders>
              <w:top w:val="single" w:sz="6" w:space="0" w:color="auto"/>
              <w:left w:val="single" w:sz="6" w:space="0" w:color="auto"/>
              <w:bottom w:val="single" w:sz="6" w:space="0" w:color="auto"/>
              <w:right w:val="single" w:sz="4" w:space="0" w:color="auto"/>
            </w:tcBorders>
          </w:tcPr>
          <w:p w14:paraId="293A44A7"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100%</w:t>
            </w:r>
          </w:p>
        </w:tc>
      </w:tr>
      <w:tr w:rsidR="00E8617E" w:rsidRPr="00BC513A" w14:paraId="2600F50C" w14:textId="77777777" w:rsidTr="00922731">
        <w:trPr>
          <w:trHeight w:val="440"/>
          <w:jc w:val="center"/>
        </w:trPr>
        <w:tc>
          <w:tcPr>
            <w:tcW w:w="1962" w:type="pct"/>
            <w:tcBorders>
              <w:top w:val="single" w:sz="6" w:space="0" w:color="auto"/>
              <w:left w:val="single" w:sz="4" w:space="0" w:color="auto"/>
              <w:bottom w:val="single" w:sz="6" w:space="0" w:color="auto"/>
              <w:right w:val="single" w:sz="6" w:space="0" w:color="auto"/>
            </w:tcBorders>
            <w:noWrap/>
            <w:hideMark/>
          </w:tcPr>
          <w:p w14:paraId="32503C5A" w14:textId="77777777" w:rsidR="00E8617E" w:rsidRPr="00BC513A" w:rsidRDefault="00E8617E" w:rsidP="00922731">
            <w:pPr>
              <w:tabs>
                <w:tab w:val="num" w:pos="0"/>
              </w:tabs>
              <w:spacing w:line="240" w:lineRule="auto"/>
              <w:rPr>
                <w:rFonts w:ascii="Arial" w:hAnsi="Arial" w:cs="Arial"/>
                <w:sz w:val="20"/>
                <w:szCs w:val="20"/>
              </w:rPr>
            </w:pPr>
            <w:r w:rsidRPr="00BC513A">
              <w:rPr>
                <w:rFonts w:ascii="Arial" w:hAnsi="Arial" w:cs="Arial"/>
                <w:sz w:val="20"/>
                <w:szCs w:val="20"/>
              </w:rPr>
              <w:t>Улици - съществуващи</w:t>
            </w:r>
          </w:p>
        </w:tc>
        <w:tc>
          <w:tcPr>
            <w:tcW w:w="923" w:type="pct"/>
            <w:tcBorders>
              <w:top w:val="single" w:sz="6" w:space="0" w:color="auto"/>
              <w:left w:val="single" w:sz="6" w:space="0" w:color="auto"/>
              <w:bottom w:val="single" w:sz="6" w:space="0" w:color="auto"/>
              <w:right w:val="single" w:sz="6" w:space="0" w:color="auto"/>
            </w:tcBorders>
            <w:shd w:val="clear" w:color="auto" w:fill="FFFFFF"/>
            <w:noWrap/>
            <w:hideMark/>
          </w:tcPr>
          <w:p w14:paraId="4B2825AE"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396.0</w:t>
            </w:r>
          </w:p>
        </w:tc>
        <w:tc>
          <w:tcPr>
            <w:tcW w:w="865" w:type="pct"/>
            <w:tcBorders>
              <w:top w:val="single" w:sz="6" w:space="0" w:color="auto"/>
              <w:left w:val="single" w:sz="6" w:space="0" w:color="auto"/>
              <w:bottom w:val="single" w:sz="6" w:space="0" w:color="auto"/>
              <w:right w:val="single" w:sz="6" w:space="0" w:color="auto"/>
            </w:tcBorders>
            <w:shd w:val="clear" w:color="auto" w:fill="FFFFFF"/>
            <w:noWrap/>
            <w:hideMark/>
          </w:tcPr>
          <w:p w14:paraId="5E3A6E02"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150</w:t>
            </w:r>
          </w:p>
        </w:tc>
        <w:tc>
          <w:tcPr>
            <w:tcW w:w="750" w:type="pct"/>
            <w:tcBorders>
              <w:top w:val="single" w:sz="6" w:space="0" w:color="auto"/>
              <w:left w:val="single" w:sz="6" w:space="0" w:color="auto"/>
              <w:bottom w:val="single" w:sz="6" w:space="0" w:color="auto"/>
              <w:right w:val="single" w:sz="4" w:space="0" w:color="auto"/>
            </w:tcBorders>
            <w:noWrap/>
            <w:hideMark/>
          </w:tcPr>
          <w:p w14:paraId="029B2EDA"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150</w:t>
            </w:r>
          </w:p>
        </w:tc>
        <w:tc>
          <w:tcPr>
            <w:tcW w:w="500" w:type="pct"/>
            <w:tcBorders>
              <w:top w:val="single" w:sz="6" w:space="0" w:color="auto"/>
              <w:left w:val="single" w:sz="6" w:space="0" w:color="auto"/>
              <w:bottom w:val="single" w:sz="6" w:space="0" w:color="auto"/>
              <w:right w:val="single" w:sz="4" w:space="0" w:color="auto"/>
            </w:tcBorders>
          </w:tcPr>
          <w:p w14:paraId="166118CC"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100%</w:t>
            </w:r>
          </w:p>
        </w:tc>
      </w:tr>
      <w:tr w:rsidR="00E8617E" w:rsidRPr="00BC513A" w14:paraId="688EC074" w14:textId="77777777" w:rsidTr="00922731">
        <w:trPr>
          <w:trHeight w:val="300"/>
          <w:jc w:val="center"/>
        </w:trPr>
        <w:tc>
          <w:tcPr>
            <w:tcW w:w="1962" w:type="pct"/>
            <w:tcBorders>
              <w:top w:val="single" w:sz="6" w:space="0" w:color="auto"/>
              <w:left w:val="single" w:sz="4" w:space="0" w:color="auto"/>
              <w:bottom w:val="single" w:sz="6" w:space="0" w:color="auto"/>
              <w:right w:val="single" w:sz="6" w:space="0" w:color="auto"/>
            </w:tcBorders>
            <w:noWrap/>
            <w:vAlign w:val="center"/>
            <w:hideMark/>
          </w:tcPr>
          <w:p w14:paraId="0DC59AEA" w14:textId="77777777" w:rsidR="00E8617E" w:rsidRPr="00BC513A" w:rsidRDefault="00E8617E" w:rsidP="00922731">
            <w:pPr>
              <w:tabs>
                <w:tab w:val="num" w:pos="0"/>
              </w:tabs>
              <w:spacing w:line="240" w:lineRule="auto"/>
              <w:rPr>
                <w:rFonts w:ascii="Arial" w:hAnsi="Arial" w:cs="Arial"/>
                <w:sz w:val="20"/>
                <w:szCs w:val="20"/>
              </w:rPr>
            </w:pPr>
            <w:r w:rsidRPr="00BC513A">
              <w:rPr>
                <w:rFonts w:ascii="Arial" w:hAnsi="Arial" w:cs="Arial"/>
                <w:sz w:val="20"/>
                <w:szCs w:val="20"/>
              </w:rPr>
              <w:t>Частни сгради, нови</w:t>
            </w:r>
          </w:p>
        </w:tc>
        <w:tc>
          <w:tcPr>
            <w:tcW w:w="923"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70D4B668"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0.0</w:t>
            </w:r>
          </w:p>
        </w:tc>
        <w:tc>
          <w:tcPr>
            <w:tcW w:w="865" w:type="pct"/>
            <w:tcBorders>
              <w:top w:val="single" w:sz="6" w:space="0" w:color="auto"/>
              <w:left w:val="single" w:sz="6" w:space="0" w:color="auto"/>
              <w:bottom w:val="single" w:sz="6" w:space="0" w:color="auto"/>
              <w:right w:val="single" w:sz="6" w:space="0" w:color="auto"/>
            </w:tcBorders>
            <w:shd w:val="clear" w:color="auto" w:fill="FFFFFF"/>
            <w:noWrap/>
            <w:vAlign w:val="center"/>
          </w:tcPr>
          <w:p w14:paraId="2B66A4DA"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0</w:t>
            </w:r>
          </w:p>
        </w:tc>
        <w:tc>
          <w:tcPr>
            <w:tcW w:w="750" w:type="pct"/>
            <w:tcBorders>
              <w:top w:val="single" w:sz="6" w:space="0" w:color="auto"/>
              <w:left w:val="single" w:sz="6" w:space="0" w:color="auto"/>
              <w:bottom w:val="single" w:sz="6" w:space="0" w:color="auto"/>
              <w:right w:val="single" w:sz="4" w:space="0" w:color="auto"/>
            </w:tcBorders>
            <w:noWrap/>
            <w:vAlign w:val="center"/>
            <w:hideMark/>
          </w:tcPr>
          <w:p w14:paraId="1BCEF66C"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0</w:t>
            </w:r>
          </w:p>
        </w:tc>
        <w:tc>
          <w:tcPr>
            <w:tcW w:w="500" w:type="pct"/>
            <w:tcBorders>
              <w:top w:val="single" w:sz="6" w:space="0" w:color="auto"/>
              <w:left w:val="single" w:sz="6" w:space="0" w:color="auto"/>
              <w:bottom w:val="single" w:sz="6" w:space="0" w:color="auto"/>
              <w:right w:val="single" w:sz="4" w:space="0" w:color="auto"/>
            </w:tcBorders>
          </w:tcPr>
          <w:p w14:paraId="6DD03BB0" w14:textId="77777777" w:rsidR="00E8617E" w:rsidRPr="00BC513A" w:rsidRDefault="00E8617E" w:rsidP="00922731">
            <w:pPr>
              <w:tabs>
                <w:tab w:val="num" w:pos="0"/>
              </w:tabs>
              <w:spacing w:line="240" w:lineRule="auto"/>
              <w:jc w:val="center"/>
              <w:rPr>
                <w:rFonts w:ascii="Arial" w:hAnsi="Arial" w:cs="Arial"/>
                <w:sz w:val="20"/>
                <w:szCs w:val="20"/>
              </w:rPr>
            </w:pPr>
          </w:p>
        </w:tc>
      </w:tr>
      <w:tr w:rsidR="00E8617E" w:rsidRPr="00BC513A" w14:paraId="4449A765" w14:textId="77777777" w:rsidTr="00922731">
        <w:trPr>
          <w:trHeight w:val="300"/>
          <w:jc w:val="center"/>
        </w:trPr>
        <w:tc>
          <w:tcPr>
            <w:tcW w:w="1962" w:type="pct"/>
            <w:tcBorders>
              <w:top w:val="single" w:sz="6" w:space="0" w:color="auto"/>
              <w:left w:val="single" w:sz="4" w:space="0" w:color="auto"/>
              <w:bottom w:val="single" w:sz="6" w:space="0" w:color="auto"/>
              <w:right w:val="single" w:sz="6" w:space="0" w:color="auto"/>
            </w:tcBorders>
            <w:noWrap/>
            <w:vAlign w:val="center"/>
            <w:hideMark/>
          </w:tcPr>
          <w:p w14:paraId="477A032C" w14:textId="77777777" w:rsidR="00E8617E" w:rsidRPr="00BC513A" w:rsidRDefault="00E8617E" w:rsidP="00922731">
            <w:pPr>
              <w:tabs>
                <w:tab w:val="num" w:pos="0"/>
              </w:tabs>
              <w:spacing w:line="240" w:lineRule="auto"/>
              <w:rPr>
                <w:rFonts w:ascii="Arial" w:hAnsi="Arial" w:cs="Arial"/>
                <w:sz w:val="20"/>
                <w:szCs w:val="20"/>
              </w:rPr>
            </w:pPr>
            <w:r w:rsidRPr="00BC513A">
              <w:rPr>
                <w:rFonts w:ascii="Arial" w:hAnsi="Arial" w:cs="Arial"/>
                <w:sz w:val="20"/>
                <w:szCs w:val="20"/>
              </w:rPr>
              <w:t>Частни сгради, съществуващи</w:t>
            </w:r>
          </w:p>
        </w:tc>
        <w:tc>
          <w:tcPr>
            <w:tcW w:w="923"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2ED89171"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0.0</w:t>
            </w:r>
          </w:p>
        </w:tc>
        <w:tc>
          <w:tcPr>
            <w:tcW w:w="865"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45506974"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0</w:t>
            </w:r>
          </w:p>
        </w:tc>
        <w:tc>
          <w:tcPr>
            <w:tcW w:w="750" w:type="pct"/>
            <w:tcBorders>
              <w:top w:val="single" w:sz="6" w:space="0" w:color="auto"/>
              <w:left w:val="single" w:sz="6" w:space="0" w:color="auto"/>
              <w:bottom w:val="single" w:sz="6" w:space="0" w:color="auto"/>
              <w:right w:val="single" w:sz="4" w:space="0" w:color="auto"/>
            </w:tcBorders>
            <w:noWrap/>
            <w:vAlign w:val="center"/>
            <w:hideMark/>
          </w:tcPr>
          <w:p w14:paraId="38EA52F8"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0</w:t>
            </w:r>
          </w:p>
        </w:tc>
        <w:tc>
          <w:tcPr>
            <w:tcW w:w="500" w:type="pct"/>
            <w:tcBorders>
              <w:top w:val="single" w:sz="6" w:space="0" w:color="auto"/>
              <w:left w:val="single" w:sz="6" w:space="0" w:color="auto"/>
              <w:bottom w:val="single" w:sz="6" w:space="0" w:color="auto"/>
              <w:right w:val="single" w:sz="4" w:space="0" w:color="auto"/>
            </w:tcBorders>
          </w:tcPr>
          <w:p w14:paraId="107DC70B" w14:textId="77777777" w:rsidR="00E8617E" w:rsidRPr="00BC513A" w:rsidRDefault="00E8617E" w:rsidP="00922731">
            <w:pPr>
              <w:tabs>
                <w:tab w:val="num" w:pos="0"/>
              </w:tabs>
              <w:spacing w:line="240" w:lineRule="auto"/>
              <w:jc w:val="center"/>
              <w:rPr>
                <w:rFonts w:ascii="Arial" w:hAnsi="Arial" w:cs="Arial"/>
                <w:sz w:val="20"/>
                <w:szCs w:val="20"/>
              </w:rPr>
            </w:pPr>
          </w:p>
        </w:tc>
      </w:tr>
      <w:tr w:rsidR="00E8617E" w:rsidRPr="00BC513A" w14:paraId="4BB26DD4" w14:textId="77777777" w:rsidTr="00922731">
        <w:trPr>
          <w:trHeight w:val="300"/>
          <w:jc w:val="center"/>
        </w:trPr>
        <w:tc>
          <w:tcPr>
            <w:tcW w:w="1962" w:type="pct"/>
            <w:tcBorders>
              <w:top w:val="single" w:sz="6" w:space="0" w:color="auto"/>
              <w:left w:val="single" w:sz="4" w:space="0" w:color="auto"/>
              <w:bottom w:val="single" w:sz="6" w:space="0" w:color="auto"/>
              <w:right w:val="single" w:sz="6" w:space="0" w:color="auto"/>
            </w:tcBorders>
            <w:noWrap/>
            <w:vAlign w:val="center"/>
            <w:hideMark/>
          </w:tcPr>
          <w:p w14:paraId="58A7A295" w14:textId="77777777" w:rsidR="00E8617E" w:rsidRPr="00BC513A" w:rsidRDefault="00E8617E" w:rsidP="00922731">
            <w:pPr>
              <w:tabs>
                <w:tab w:val="num" w:pos="0"/>
              </w:tabs>
              <w:spacing w:line="240" w:lineRule="auto"/>
              <w:rPr>
                <w:rFonts w:ascii="Arial" w:hAnsi="Arial" w:cs="Arial"/>
                <w:sz w:val="20"/>
                <w:szCs w:val="20"/>
              </w:rPr>
            </w:pPr>
            <w:r w:rsidRPr="00BC513A">
              <w:rPr>
                <w:rFonts w:ascii="Arial" w:hAnsi="Arial" w:cs="Arial"/>
                <w:sz w:val="20"/>
                <w:szCs w:val="20"/>
              </w:rPr>
              <w:t>Площади и тротоари – нови (m2)</w:t>
            </w:r>
          </w:p>
        </w:tc>
        <w:tc>
          <w:tcPr>
            <w:tcW w:w="923"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3215269D"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254.3</w:t>
            </w:r>
          </w:p>
        </w:tc>
        <w:tc>
          <w:tcPr>
            <w:tcW w:w="865"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707731DE"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47</w:t>
            </w:r>
          </w:p>
        </w:tc>
        <w:tc>
          <w:tcPr>
            <w:tcW w:w="750" w:type="pct"/>
            <w:tcBorders>
              <w:top w:val="single" w:sz="6" w:space="0" w:color="auto"/>
              <w:left w:val="single" w:sz="6" w:space="0" w:color="auto"/>
              <w:bottom w:val="single" w:sz="6" w:space="0" w:color="auto"/>
              <w:right w:val="single" w:sz="4" w:space="0" w:color="auto"/>
            </w:tcBorders>
            <w:noWrap/>
            <w:vAlign w:val="center"/>
            <w:hideMark/>
          </w:tcPr>
          <w:p w14:paraId="27C113E0"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47</w:t>
            </w:r>
          </w:p>
        </w:tc>
        <w:tc>
          <w:tcPr>
            <w:tcW w:w="500" w:type="pct"/>
            <w:tcBorders>
              <w:top w:val="single" w:sz="6" w:space="0" w:color="auto"/>
              <w:left w:val="single" w:sz="6" w:space="0" w:color="auto"/>
              <w:bottom w:val="single" w:sz="6" w:space="0" w:color="auto"/>
              <w:right w:val="single" w:sz="4" w:space="0" w:color="auto"/>
            </w:tcBorders>
          </w:tcPr>
          <w:p w14:paraId="35244687"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100%</w:t>
            </w:r>
          </w:p>
        </w:tc>
      </w:tr>
      <w:tr w:rsidR="00E8617E" w:rsidRPr="00BC513A" w14:paraId="183C84FE" w14:textId="77777777" w:rsidTr="00922731">
        <w:trPr>
          <w:trHeight w:val="237"/>
          <w:jc w:val="center"/>
        </w:trPr>
        <w:tc>
          <w:tcPr>
            <w:tcW w:w="1962" w:type="pct"/>
            <w:tcBorders>
              <w:top w:val="single" w:sz="6" w:space="0" w:color="auto"/>
              <w:left w:val="single" w:sz="4" w:space="0" w:color="auto"/>
              <w:bottom w:val="single" w:sz="6" w:space="0" w:color="auto"/>
              <w:right w:val="single" w:sz="6" w:space="0" w:color="auto"/>
            </w:tcBorders>
            <w:noWrap/>
            <w:vAlign w:val="center"/>
            <w:hideMark/>
          </w:tcPr>
          <w:p w14:paraId="172C2E1E" w14:textId="77777777" w:rsidR="00E8617E" w:rsidRPr="00BC513A" w:rsidRDefault="00E8617E" w:rsidP="00922731">
            <w:pPr>
              <w:tabs>
                <w:tab w:val="num" w:pos="0"/>
              </w:tabs>
              <w:spacing w:line="240" w:lineRule="auto"/>
              <w:rPr>
                <w:rFonts w:ascii="Arial" w:hAnsi="Arial" w:cs="Arial"/>
                <w:sz w:val="20"/>
                <w:szCs w:val="20"/>
              </w:rPr>
            </w:pPr>
            <w:r w:rsidRPr="00BC513A">
              <w:rPr>
                <w:rFonts w:ascii="Arial" w:hAnsi="Arial" w:cs="Arial"/>
                <w:sz w:val="20"/>
                <w:szCs w:val="20"/>
              </w:rPr>
              <w:t>Площади и тротоари – съществуващи (m2)</w:t>
            </w:r>
          </w:p>
        </w:tc>
        <w:tc>
          <w:tcPr>
            <w:tcW w:w="923"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14F1EF0C"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3410.3</w:t>
            </w:r>
          </w:p>
        </w:tc>
        <w:tc>
          <w:tcPr>
            <w:tcW w:w="865"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206C510A"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106</w:t>
            </w:r>
          </w:p>
        </w:tc>
        <w:tc>
          <w:tcPr>
            <w:tcW w:w="750" w:type="pct"/>
            <w:tcBorders>
              <w:top w:val="single" w:sz="6" w:space="0" w:color="auto"/>
              <w:left w:val="single" w:sz="6" w:space="0" w:color="auto"/>
              <w:bottom w:val="single" w:sz="6" w:space="0" w:color="auto"/>
              <w:right w:val="single" w:sz="4" w:space="0" w:color="auto"/>
            </w:tcBorders>
            <w:noWrap/>
            <w:vAlign w:val="center"/>
            <w:hideMark/>
          </w:tcPr>
          <w:p w14:paraId="766DB084"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106</w:t>
            </w:r>
          </w:p>
        </w:tc>
        <w:tc>
          <w:tcPr>
            <w:tcW w:w="500" w:type="pct"/>
            <w:tcBorders>
              <w:top w:val="single" w:sz="6" w:space="0" w:color="auto"/>
              <w:left w:val="single" w:sz="6" w:space="0" w:color="auto"/>
              <w:bottom w:val="single" w:sz="6" w:space="0" w:color="auto"/>
              <w:right w:val="single" w:sz="4" w:space="0" w:color="auto"/>
            </w:tcBorders>
          </w:tcPr>
          <w:p w14:paraId="6919A785"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100%</w:t>
            </w:r>
          </w:p>
        </w:tc>
      </w:tr>
      <w:tr w:rsidR="00E8617E" w:rsidRPr="00BC513A" w14:paraId="485D6BEA" w14:textId="77777777" w:rsidTr="00922731">
        <w:trPr>
          <w:trHeight w:val="300"/>
          <w:jc w:val="center"/>
        </w:trPr>
        <w:tc>
          <w:tcPr>
            <w:tcW w:w="1962" w:type="pct"/>
            <w:tcBorders>
              <w:top w:val="single" w:sz="6" w:space="0" w:color="auto"/>
              <w:left w:val="single" w:sz="4" w:space="0" w:color="auto"/>
              <w:bottom w:val="single" w:sz="6" w:space="0" w:color="auto"/>
              <w:right w:val="single" w:sz="6" w:space="0" w:color="auto"/>
            </w:tcBorders>
            <w:noWrap/>
            <w:vAlign w:val="center"/>
            <w:hideMark/>
          </w:tcPr>
          <w:p w14:paraId="64C6B86C" w14:textId="77777777" w:rsidR="00E8617E" w:rsidRPr="00BC513A" w:rsidRDefault="00E8617E" w:rsidP="00922731">
            <w:pPr>
              <w:tabs>
                <w:tab w:val="num" w:pos="0"/>
              </w:tabs>
              <w:spacing w:line="240" w:lineRule="auto"/>
              <w:rPr>
                <w:rFonts w:ascii="Arial" w:hAnsi="Arial" w:cs="Arial"/>
                <w:sz w:val="20"/>
                <w:szCs w:val="20"/>
              </w:rPr>
            </w:pPr>
            <w:r w:rsidRPr="00BC513A">
              <w:rPr>
                <w:rFonts w:ascii="Arial" w:hAnsi="Arial" w:cs="Arial"/>
                <w:sz w:val="20"/>
                <w:szCs w:val="20"/>
              </w:rPr>
              <w:t>Осветление – ново</w:t>
            </w:r>
          </w:p>
        </w:tc>
        <w:tc>
          <w:tcPr>
            <w:tcW w:w="923"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369DF142"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41.0</w:t>
            </w:r>
          </w:p>
        </w:tc>
        <w:tc>
          <w:tcPr>
            <w:tcW w:w="865"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643D4BA3"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79</w:t>
            </w:r>
          </w:p>
        </w:tc>
        <w:tc>
          <w:tcPr>
            <w:tcW w:w="750" w:type="pct"/>
            <w:tcBorders>
              <w:top w:val="single" w:sz="6" w:space="0" w:color="auto"/>
              <w:left w:val="single" w:sz="6" w:space="0" w:color="auto"/>
              <w:bottom w:val="single" w:sz="6" w:space="0" w:color="auto"/>
              <w:right w:val="single" w:sz="4" w:space="0" w:color="auto"/>
            </w:tcBorders>
            <w:noWrap/>
            <w:vAlign w:val="center"/>
            <w:hideMark/>
          </w:tcPr>
          <w:p w14:paraId="1E8BA42D"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79</w:t>
            </w:r>
          </w:p>
        </w:tc>
        <w:tc>
          <w:tcPr>
            <w:tcW w:w="500" w:type="pct"/>
            <w:tcBorders>
              <w:top w:val="single" w:sz="6" w:space="0" w:color="auto"/>
              <w:left w:val="single" w:sz="6" w:space="0" w:color="auto"/>
              <w:bottom w:val="single" w:sz="6" w:space="0" w:color="auto"/>
              <w:right w:val="single" w:sz="4" w:space="0" w:color="auto"/>
            </w:tcBorders>
          </w:tcPr>
          <w:p w14:paraId="6E2624C4"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100%</w:t>
            </w:r>
          </w:p>
        </w:tc>
      </w:tr>
      <w:tr w:rsidR="00E8617E" w:rsidRPr="00BC513A" w14:paraId="340B00DD" w14:textId="77777777" w:rsidTr="00922731">
        <w:trPr>
          <w:trHeight w:val="300"/>
          <w:jc w:val="center"/>
        </w:trPr>
        <w:tc>
          <w:tcPr>
            <w:tcW w:w="1962" w:type="pct"/>
            <w:tcBorders>
              <w:top w:val="single" w:sz="6" w:space="0" w:color="auto"/>
              <w:left w:val="single" w:sz="4" w:space="0" w:color="auto"/>
              <w:bottom w:val="single" w:sz="6" w:space="0" w:color="auto"/>
              <w:right w:val="single" w:sz="6" w:space="0" w:color="auto"/>
            </w:tcBorders>
            <w:noWrap/>
            <w:vAlign w:val="center"/>
            <w:hideMark/>
          </w:tcPr>
          <w:p w14:paraId="4301BB76" w14:textId="77777777" w:rsidR="00E8617E" w:rsidRPr="00BC513A" w:rsidRDefault="00E8617E" w:rsidP="00922731">
            <w:pPr>
              <w:tabs>
                <w:tab w:val="num" w:pos="0"/>
              </w:tabs>
              <w:spacing w:line="240" w:lineRule="auto"/>
              <w:rPr>
                <w:rFonts w:ascii="Arial" w:hAnsi="Arial" w:cs="Arial"/>
                <w:sz w:val="20"/>
                <w:szCs w:val="20"/>
              </w:rPr>
            </w:pPr>
            <w:r w:rsidRPr="00BC513A">
              <w:rPr>
                <w:rFonts w:ascii="Arial" w:hAnsi="Arial" w:cs="Arial"/>
                <w:sz w:val="20"/>
                <w:szCs w:val="20"/>
              </w:rPr>
              <w:t>Осветление – съществуващо</w:t>
            </w:r>
          </w:p>
        </w:tc>
        <w:tc>
          <w:tcPr>
            <w:tcW w:w="923"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34817456"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31.6</w:t>
            </w:r>
          </w:p>
        </w:tc>
        <w:tc>
          <w:tcPr>
            <w:tcW w:w="865"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6558D23E"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44</w:t>
            </w:r>
          </w:p>
        </w:tc>
        <w:tc>
          <w:tcPr>
            <w:tcW w:w="750" w:type="pct"/>
            <w:tcBorders>
              <w:top w:val="single" w:sz="6" w:space="0" w:color="auto"/>
              <w:left w:val="single" w:sz="6" w:space="0" w:color="auto"/>
              <w:bottom w:val="single" w:sz="6" w:space="0" w:color="auto"/>
              <w:right w:val="single" w:sz="4" w:space="0" w:color="auto"/>
            </w:tcBorders>
            <w:noWrap/>
            <w:vAlign w:val="center"/>
            <w:hideMark/>
          </w:tcPr>
          <w:p w14:paraId="1B868DE9"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44</w:t>
            </w:r>
          </w:p>
        </w:tc>
        <w:tc>
          <w:tcPr>
            <w:tcW w:w="500" w:type="pct"/>
            <w:tcBorders>
              <w:top w:val="single" w:sz="6" w:space="0" w:color="auto"/>
              <w:left w:val="single" w:sz="6" w:space="0" w:color="auto"/>
              <w:bottom w:val="single" w:sz="6" w:space="0" w:color="auto"/>
              <w:right w:val="single" w:sz="4" w:space="0" w:color="auto"/>
            </w:tcBorders>
          </w:tcPr>
          <w:p w14:paraId="13FEE104"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100%</w:t>
            </w:r>
          </w:p>
        </w:tc>
      </w:tr>
      <w:tr w:rsidR="00E8617E" w:rsidRPr="00BC513A" w14:paraId="5CCF8DDF" w14:textId="77777777" w:rsidTr="00922731">
        <w:trPr>
          <w:trHeight w:val="300"/>
          <w:jc w:val="center"/>
        </w:trPr>
        <w:tc>
          <w:tcPr>
            <w:tcW w:w="1962" w:type="pct"/>
            <w:tcBorders>
              <w:top w:val="single" w:sz="6" w:space="0" w:color="auto"/>
              <w:left w:val="single" w:sz="4" w:space="0" w:color="auto"/>
              <w:bottom w:val="single" w:sz="6" w:space="0" w:color="auto"/>
              <w:right w:val="single" w:sz="6" w:space="0" w:color="auto"/>
            </w:tcBorders>
            <w:noWrap/>
            <w:vAlign w:val="center"/>
            <w:hideMark/>
          </w:tcPr>
          <w:p w14:paraId="252CF0C8" w14:textId="77777777" w:rsidR="00E8617E" w:rsidRPr="00BC513A" w:rsidRDefault="00E8617E" w:rsidP="00922731">
            <w:pPr>
              <w:tabs>
                <w:tab w:val="num" w:pos="0"/>
              </w:tabs>
              <w:spacing w:line="240" w:lineRule="auto"/>
              <w:rPr>
                <w:rFonts w:ascii="Arial" w:hAnsi="Arial" w:cs="Arial"/>
                <w:sz w:val="20"/>
                <w:szCs w:val="20"/>
              </w:rPr>
            </w:pPr>
            <w:r w:rsidRPr="00BC513A">
              <w:rPr>
                <w:rFonts w:ascii="Arial" w:hAnsi="Arial" w:cs="Arial"/>
                <w:sz w:val="20"/>
                <w:szCs w:val="20"/>
              </w:rPr>
              <w:t>Паркове и зелени площи – нови</w:t>
            </w:r>
          </w:p>
        </w:tc>
        <w:tc>
          <w:tcPr>
            <w:tcW w:w="923"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481E01F8"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279.7</w:t>
            </w:r>
          </w:p>
        </w:tc>
        <w:tc>
          <w:tcPr>
            <w:tcW w:w="865"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423E74B7"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25</w:t>
            </w:r>
          </w:p>
        </w:tc>
        <w:tc>
          <w:tcPr>
            <w:tcW w:w="750" w:type="pct"/>
            <w:tcBorders>
              <w:top w:val="single" w:sz="6" w:space="0" w:color="auto"/>
              <w:left w:val="single" w:sz="6" w:space="0" w:color="auto"/>
              <w:bottom w:val="single" w:sz="6" w:space="0" w:color="auto"/>
              <w:right w:val="single" w:sz="4" w:space="0" w:color="auto"/>
            </w:tcBorders>
            <w:noWrap/>
            <w:vAlign w:val="center"/>
            <w:hideMark/>
          </w:tcPr>
          <w:p w14:paraId="7110605A"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25</w:t>
            </w:r>
          </w:p>
        </w:tc>
        <w:tc>
          <w:tcPr>
            <w:tcW w:w="500" w:type="pct"/>
            <w:tcBorders>
              <w:top w:val="single" w:sz="6" w:space="0" w:color="auto"/>
              <w:left w:val="single" w:sz="6" w:space="0" w:color="auto"/>
              <w:bottom w:val="single" w:sz="6" w:space="0" w:color="auto"/>
              <w:right w:val="single" w:sz="4" w:space="0" w:color="auto"/>
            </w:tcBorders>
          </w:tcPr>
          <w:p w14:paraId="1C4D4EAA"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100%</w:t>
            </w:r>
          </w:p>
        </w:tc>
      </w:tr>
      <w:tr w:rsidR="00E8617E" w:rsidRPr="00BC513A" w14:paraId="1A662F0A" w14:textId="77777777" w:rsidTr="00922731">
        <w:trPr>
          <w:trHeight w:val="300"/>
          <w:jc w:val="center"/>
        </w:trPr>
        <w:tc>
          <w:tcPr>
            <w:tcW w:w="1962" w:type="pct"/>
            <w:tcBorders>
              <w:top w:val="single" w:sz="6" w:space="0" w:color="auto"/>
              <w:left w:val="single" w:sz="4" w:space="0" w:color="auto"/>
              <w:bottom w:val="single" w:sz="6" w:space="0" w:color="auto"/>
              <w:right w:val="single" w:sz="6" w:space="0" w:color="auto"/>
            </w:tcBorders>
            <w:noWrap/>
            <w:vAlign w:val="center"/>
            <w:hideMark/>
          </w:tcPr>
          <w:p w14:paraId="2182941B" w14:textId="77777777" w:rsidR="00E8617E" w:rsidRPr="00BC513A" w:rsidRDefault="00E8617E" w:rsidP="00922731">
            <w:pPr>
              <w:tabs>
                <w:tab w:val="num" w:pos="0"/>
              </w:tabs>
              <w:spacing w:line="240" w:lineRule="auto"/>
              <w:jc w:val="both"/>
              <w:rPr>
                <w:rFonts w:ascii="Arial" w:hAnsi="Arial" w:cs="Arial"/>
                <w:sz w:val="20"/>
                <w:szCs w:val="20"/>
              </w:rPr>
            </w:pPr>
            <w:r w:rsidRPr="00BC513A">
              <w:rPr>
                <w:rFonts w:ascii="Arial" w:hAnsi="Arial" w:cs="Arial"/>
                <w:sz w:val="20"/>
                <w:szCs w:val="20"/>
              </w:rPr>
              <w:t>Паркове и зелени площи – съществуващи</w:t>
            </w:r>
          </w:p>
        </w:tc>
        <w:tc>
          <w:tcPr>
            <w:tcW w:w="923"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29789F76"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2123.4</w:t>
            </w:r>
          </w:p>
        </w:tc>
        <w:tc>
          <w:tcPr>
            <w:tcW w:w="865"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138A2891"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86</w:t>
            </w:r>
          </w:p>
        </w:tc>
        <w:tc>
          <w:tcPr>
            <w:tcW w:w="750" w:type="pct"/>
            <w:tcBorders>
              <w:top w:val="single" w:sz="6" w:space="0" w:color="auto"/>
              <w:left w:val="single" w:sz="6" w:space="0" w:color="auto"/>
              <w:bottom w:val="single" w:sz="6" w:space="0" w:color="auto"/>
              <w:right w:val="single" w:sz="4" w:space="0" w:color="auto"/>
            </w:tcBorders>
            <w:noWrap/>
            <w:vAlign w:val="center"/>
            <w:hideMark/>
          </w:tcPr>
          <w:p w14:paraId="36430D15"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86</w:t>
            </w:r>
          </w:p>
        </w:tc>
        <w:tc>
          <w:tcPr>
            <w:tcW w:w="500" w:type="pct"/>
            <w:tcBorders>
              <w:top w:val="single" w:sz="6" w:space="0" w:color="auto"/>
              <w:left w:val="single" w:sz="6" w:space="0" w:color="auto"/>
              <w:bottom w:val="single" w:sz="6" w:space="0" w:color="auto"/>
              <w:right w:val="single" w:sz="4" w:space="0" w:color="auto"/>
            </w:tcBorders>
          </w:tcPr>
          <w:p w14:paraId="4559A044"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100%</w:t>
            </w:r>
          </w:p>
        </w:tc>
      </w:tr>
      <w:tr w:rsidR="00E8617E" w:rsidRPr="00BC513A" w14:paraId="7972293C" w14:textId="77777777" w:rsidTr="00922731">
        <w:trPr>
          <w:trHeight w:val="300"/>
          <w:jc w:val="center"/>
        </w:trPr>
        <w:tc>
          <w:tcPr>
            <w:tcW w:w="1962" w:type="pct"/>
            <w:tcBorders>
              <w:top w:val="single" w:sz="6" w:space="0" w:color="auto"/>
              <w:left w:val="single" w:sz="4" w:space="0" w:color="auto"/>
              <w:bottom w:val="single" w:sz="6" w:space="0" w:color="auto"/>
              <w:right w:val="single" w:sz="6" w:space="0" w:color="auto"/>
            </w:tcBorders>
            <w:noWrap/>
            <w:vAlign w:val="center"/>
            <w:hideMark/>
          </w:tcPr>
          <w:p w14:paraId="5D276068" w14:textId="77777777" w:rsidR="00E8617E" w:rsidRPr="00BC513A" w:rsidRDefault="00E8617E" w:rsidP="00922731">
            <w:pPr>
              <w:tabs>
                <w:tab w:val="num" w:pos="0"/>
              </w:tabs>
              <w:spacing w:line="240" w:lineRule="auto"/>
              <w:jc w:val="both"/>
              <w:rPr>
                <w:rFonts w:ascii="Arial" w:hAnsi="Arial" w:cs="Arial"/>
                <w:sz w:val="20"/>
                <w:szCs w:val="20"/>
              </w:rPr>
            </w:pPr>
            <w:r w:rsidRPr="00BC513A">
              <w:rPr>
                <w:rFonts w:ascii="Arial" w:hAnsi="Arial" w:cs="Arial"/>
                <w:sz w:val="20"/>
                <w:szCs w:val="20"/>
              </w:rPr>
              <w:t>Детски площадки и съоръжения – нови (брой)</w:t>
            </w:r>
          </w:p>
        </w:tc>
        <w:tc>
          <w:tcPr>
            <w:tcW w:w="923"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4AAA6473"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867.0</w:t>
            </w:r>
          </w:p>
        </w:tc>
        <w:tc>
          <w:tcPr>
            <w:tcW w:w="865"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05DC747C"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71</w:t>
            </w:r>
          </w:p>
        </w:tc>
        <w:tc>
          <w:tcPr>
            <w:tcW w:w="750" w:type="pct"/>
            <w:tcBorders>
              <w:top w:val="single" w:sz="6" w:space="0" w:color="auto"/>
              <w:left w:val="single" w:sz="6" w:space="0" w:color="auto"/>
              <w:bottom w:val="single" w:sz="6" w:space="0" w:color="auto"/>
              <w:right w:val="single" w:sz="4" w:space="0" w:color="auto"/>
            </w:tcBorders>
            <w:shd w:val="clear" w:color="auto" w:fill="FFFFFF"/>
            <w:noWrap/>
            <w:vAlign w:val="center"/>
            <w:hideMark/>
          </w:tcPr>
          <w:p w14:paraId="756D7151"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71</w:t>
            </w:r>
          </w:p>
        </w:tc>
        <w:tc>
          <w:tcPr>
            <w:tcW w:w="500" w:type="pct"/>
            <w:tcBorders>
              <w:top w:val="single" w:sz="6" w:space="0" w:color="auto"/>
              <w:left w:val="single" w:sz="6" w:space="0" w:color="auto"/>
              <w:bottom w:val="single" w:sz="6" w:space="0" w:color="auto"/>
              <w:right w:val="single" w:sz="4" w:space="0" w:color="auto"/>
            </w:tcBorders>
            <w:shd w:val="clear" w:color="auto" w:fill="FFFFFF"/>
          </w:tcPr>
          <w:p w14:paraId="02A11A14"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100%</w:t>
            </w:r>
          </w:p>
        </w:tc>
      </w:tr>
      <w:tr w:rsidR="00E8617E" w:rsidRPr="00BC513A" w14:paraId="16E925B9" w14:textId="77777777" w:rsidTr="00922731">
        <w:trPr>
          <w:trHeight w:val="434"/>
          <w:jc w:val="center"/>
        </w:trPr>
        <w:tc>
          <w:tcPr>
            <w:tcW w:w="1962" w:type="pct"/>
            <w:tcBorders>
              <w:top w:val="single" w:sz="6" w:space="0" w:color="auto"/>
              <w:left w:val="single" w:sz="4" w:space="0" w:color="auto"/>
              <w:bottom w:val="single" w:sz="6" w:space="0" w:color="auto"/>
              <w:right w:val="single" w:sz="6" w:space="0" w:color="auto"/>
            </w:tcBorders>
            <w:noWrap/>
            <w:vAlign w:val="center"/>
            <w:hideMark/>
          </w:tcPr>
          <w:p w14:paraId="2BA4D6F1" w14:textId="77777777" w:rsidR="00E8617E" w:rsidRPr="00BC513A" w:rsidRDefault="00E8617E" w:rsidP="00922731">
            <w:pPr>
              <w:tabs>
                <w:tab w:val="num" w:pos="0"/>
              </w:tabs>
              <w:spacing w:line="240" w:lineRule="auto"/>
              <w:jc w:val="both"/>
              <w:rPr>
                <w:rFonts w:ascii="Arial" w:hAnsi="Arial" w:cs="Arial"/>
                <w:sz w:val="20"/>
                <w:szCs w:val="20"/>
              </w:rPr>
            </w:pPr>
            <w:r w:rsidRPr="00BC513A">
              <w:rPr>
                <w:rFonts w:ascii="Arial" w:hAnsi="Arial" w:cs="Arial"/>
                <w:sz w:val="20"/>
                <w:szCs w:val="20"/>
              </w:rPr>
              <w:t>Детски площадки и съоръжения – съществуващи (брой)</w:t>
            </w:r>
          </w:p>
        </w:tc>
        <w:tc>
          <w:tcPr>
            <w:tcW w:w="923"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6DD69492"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75.0</w:t>
            </w:r>
          </w:p>
        </w:tc>
        <w:tc>
          <w:tcPr>
            <w:tcW w:w="865" w:type="pct"/>
            <w:tcBorders>
              <w:top w:val="single" w:sz="6" w:space="0" w:color="auto"/>
              <w:left w:val="single" w:sz="6" w:space="0" w:color="auto"/>
              <w:bottom w:val="single" w:sz="6" w:space="0" w:color="auto"/>
              <w:right w:val="single" w:sz="6" w:space="0" w:color="auto"/>
            </w:tcBorders>
            <w:shd w:val="clear" w:color="auto" w:fill="FFFFFF"/>
            <w:noWrap/>
            <w:vAlign w:val="center"/>
            <w:hideMark/>
          </w:tcPr>
          <w:p w14:paraId="5C0E87A5"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29</w:t>
            </w:r>
          </w:p>
        </w:tc>
        <w:tc>
          <w:tcPr>
            <w:tcW w:w="750" w:type="pct"/>
            <w:tcBorders>
              <w:top w:val="single" w:sz="6" w:space="0" w:color="auto"/>
              <w:left w:val="single" w:sz="6" w:space="0" w:color="auto"/>
              <w:bottom w:val="single" w:sz="6" w:space="0" w:color="auto"/>
              <w:right w:val="single" w:sz="4" w:space="0" w:color="auto"/>
            </w:tcBorders>
            <w:shd w:val="clear" w:color="auto" w:fill="FFFFFF"/>
            <w:noWrap/>
            <w:vAlign w:val="center"/>
            <w:hideMark/>
          </w:tcPr>
          <w:p w14:paraId="3476A048"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29</w:t>
            </w:r>
          </w:p>
        </w:tc>
        <w:tc>
          <w:tcPr>
            <w:tcW w:w="500" w:type="pct"/>
            <w:tcBorders>
              <w:top w:val="single" w:sz="6" w:space="0" w:color="auto"/>
              <w:left w:val="single" w:sz="6" w:space="0" w:color="auto"/>
              <w:bottom w:val="single" w:sz="6" w:space="0" w:color="auto"/>
              <w:right w:val="single" w:sz="4" w:space="0" w:color="auto"/>
            </w:tcBorders>
            <w:shd w:val="clear" w:color="auto" w:fill="FFFFFF"/>
          </w:tcPr>
          <w:p w14:paraId="45EFADBE" w14:textId="77777777" w:rsidR="00E8617E" w:rsidRPr="00BC513A" w:rsidRDefault="00E8617E" w:rsidP="00922731">
            <w:pPr>
              <w:tabs>
                <w:tab w:val="num" w:pos="0"/>
              </w:tabs>
              <w:spacing w:line="240" w:lineRule="auto"/>
              <w:jc w:val="center"/>
              <w:rPr>
                <w:rFonts w:ascii="Arial" w:hAnsi="Arial" w:cs="Arial"/>
                <w:sz w:val="20"/>
                <w:szCs w:val="20"/>
              </w:rPr>
            </w:pPr>
            <w:r w:rsidRPr="00BC513A">
              <w:rPr>
                <w:rFonts w:ascii="Arial" w:hAnsi="Arial" w:cs="Arial"/>
                <w:sz w:val="20"/>
                <w:szCs w:val="20"/>
              </w:rPr>
              <w:t>100%</w:t>
            </w:r>
          </w:p>
        </w:tc>
      </w:tr>
    </w:tbl>
    <w:p w14:paraId="0958D991" w14:textId="77777777" w:rsidR="00E8617E" w:rsidRPr="00F07F15" w:rsidRDefault="00E8617E" w:rsidP="00E8617E">
      <w:pPr>
        <w:spacing w:after="120" w:line="276" w:lineRule="auto"/>
        <w:jc w:val="both"/>
        <w:rPr>
          <w:rFonts w:ascii="Arial" w:hAnsi="Arial" w:cs="Arial"/>
          <w:sz w:val="18"/>
          <w:szCs w:val="18"/>
        </w:rPr>
      </w:pPr>
      <w:r w:rsidRPr="00F07F15">
        <w:rPr>
          <w:rFonts w:ascii="Arial" w:eastAsia="Times New Roman" w:hAnsi="Arial" w:cs="Times New Roman"/>
          <w:sz w:val="18"/>
          <w:szCs w:val="18"/>
          <w:lang w:eastAsia="nl-NL"/>
        </w:rPr>
        <w:t xml:space="preserve">Източник: Годишни доклади на ПРСР 2007-2013, </w:t>
      </w:r>
      <w:r w:rsidRPr="00F07F15">
        <w:rPr>
          <w:rFonts w:ascii="Arial" w:hAnsi="Arial" w:cs="Arial"/>
          <w:sz w:val="18"/>
          <w:szCs w:val="18"/>
        </w:rPr>
        <w:t>Предоставени данни от ДФЗ-РА за ИСАК базираните мерки към 31.12.2015г.</w:t>
      </w:r>
    </w:p>
    <w:p w14:paraId="309F3B5C" w14:textId="77777777" w:rsidR="00E8617E" w:rsidRPr="00BC513A" w:rsidRDefault="00E8617E" w:rsidP="00E8617E">
      <w:pPr>
        <w:spacing w:after="120" w:line="300" w:lineRule="atLeast"/>
        <w:ind w:firstLine="708"/>
        <w:jc w:val="both"/>
        <w:rPr>
          <w:rFonts w:ascii="Arial" w:hAnsi="Arial" w:cs="Arial"/>
        </w:rPr>
      </w:pPr>
      <w:r w:rsidRPr="00BC513A">
        <w:rPr>
          <w:rFonts w:ascii="Arial" w:hAnsi="Arial" w:cs="Arial"/>
        </w:rPr>
        <w:t>При мярка 322 се наблюдава съответствие между изходните, планираните и изпълнените индикатори за въздействие и резултат. Този факт се допълва от постигнатите на 100% специфични индикатори по мярката, което показва правилно целеполагане и сериозен ангажимент от страна на бенефициентите, основно общини при управлението на проектите. Същественото в случая е пълното съвпадане между съгласуваното в общинските планове за развитие обновление на публичните пространства и реализираните проекти по населени места.</w:t>
      </w:r>
    </w:p>
    <w:p w14:paraId="67B50E4A" w14:textId="04BD94E3" w:rsidR="00E8617E" w:rsidRPr="00BC513A" w:rsidRDefault="00E8617E" w:rsidP="00903B3F">
      <w:pPr>
        <w:spacing w:after="120" w:line="300" w:lineRule="atLeast"/>
        <w:ind w:firstLine="708"/>
        <w:jc w:val="both"/>
        <w:rPr>
          <w:rFonts w:ascii="Arial" w:hAnsi="Arial" w:cs="Arial"/>
        </w:rPr>
      </w:pPr>
      <w:r w:rsidRPr="00BC513A">
        <w:rPr>
          <w:rFonts w:ascii="Arial" w:hAnsi="Arial" w:cs="Arial"/>
        </w:rPr>
        <w:t xml:space="preserve">При </w:t>
      </w:r>
      <w:r w:rsidR="00903B3F">
        <w:rPr>
          <w:rFonts w:ascii="Arial" w:hAnsi="Arial" w:cs="Arial"/>
        </w:rPr>
        <w:t>тази мярка също се установява</w:t>
      </w:r>
      <w:r w:rsidRPr="00BC513A">
        <w:rPr>
          <w:rFonts w:ascii="Arial" w:hAnsi="Arial" w:cs="Arial"/>
        </w:rPr>
        <w:t xml:space="preserve"> балансиран подход при подпомаганите дейности, според обектите на обновление в населените места, свързани с инвестиции основно в активи, следвани от дейности с икономически ефект и такива със социална насоченост:</w:t>
      </w:r>
    </w:p>
    <w:p w14:paraId="27F20CDE" w14:textId="77777777" w:rsidR="00E8617E" w:rsidRPr="00BC513A" w:rsidRDefault="00E8617E" w:rsidP="00E8617E">
      <w:pPr>
        <w:spacing w:before="240" w:after="0"/>
        <w:jc w:val="both"/>
        <w:rPr>
          <w:rFonts w:ascii="Arial" w:hAnsi="Arial" w:cs="Arial"/>
        </w:rPr>
      </w:pPr>
      <w:bookmarkStart w:id="181" w:name="_Toc504136250"/>
      <w:r w:rsidRPr="00BC513A">
        <w:rPr>
          <w:rFonts w:ascii="Arial" w:eastAsia="Calibri" w:hAnsi="Arial" w:cs="Arial"/>
          <w:b/>
          <w:color w:val="0070C0"/>
          <w:sz w:val="20"/>
          <w:szCs w:val="20"/>
        </w:rPr>
        <w:t xml:space="preserve">Таблица </w:t>
      </w:r>
      <w:r w:rsidRPr="00BC513A">
        <w:rPr>
          <w:rFonts w:ascii="Arial" w:eastAsia="Calibri" w:hAnsi="Arial" w:cs="Arial"/>
          <w:b/>
          <w:color w:val="0070C0"/>
          <w:sz w:val="20"/>
          <w:szCs w:val="20"/>
        </w:rPr>
        <w:fldChar w:fldCharType="begin"/>
      </w:r>
      <w:r w:rsidRPr="00BC513A">
        <w:rPr>
          <w:rFonts w:ascii="Arial" w:eastAsia="Calibri" w:hAnsi="Arial" w:cs="Arial"/>
          <w:b/>
          <w:color w:val="0070C0"/>
          <w:sz w:val="20"/>
          <w:szCs w:val="20"/>
        </w:rPr>
        <w:instrText xml:space="preserve"> SEQ Таблица \* ARABIC </w:instrText>
      </w:r>
      <w:r w:rsidRPr="00BC513A">
        <w:rPr>
          <w:rFonts w:ascii="Arial" w:eastAsia="Calibri" w:hAnsi="Arial" w:cs="Arial"/>
          <w:b/>
          <w:color w:val="0070C0"/>
          <w:sz w:val="20"/>
          <w:szCs w:val="20"/>
        </w:rPr>
        <w:fldChar w:fldCharType="separate"/>
      </w:r>
      <w:r w:rsidR="0023010D">
        <w:rPr>
          <w:rFonts w:ascii="Arial" w:eastAsia="Calibri" w:hAnsi="Arial" w:cs="Arial"/>
          <w:b/>
          <w:noProof/>
          <w:color w:val="0070C0"/>
          <w:sz w:val="20"/>
          <w:szCs w:val="20"/>
        </w:rPr>
        <w:t>78</w:t>
      </w:r>
      <w:r w:rsidRPr="00BC513A">
        <w:rPr>
          <w:rFonts w:ascii="Arial" w:eastAsia="Calibri" w:hAnsi="Arial" w:cs="Arial"/>
          <w:b/>
          <w:color w:val="0070C0"/>
          <w:sz w:val="20"/>
          <w:szCs w:val="20"/>
        </w:rPr>
        <w:fldChar w:fldCharType="end"/>
      </w:r>
      <w:r w:rsidRPr="00BC513A">
        <w:rPr>
          <w:rFonts w:ascii="Arial" w:eastAsia="Calibri" w:hAnsi="Arial" w:cs="Arial"/>
          <w:b/>
          <w:color w:val="0070C0"/>
          <w:sz w:val="20"/>
          <w:szCs w:val="20"/>
        </w:rPr>
        <w:t xml:space="preserve">. </w:t>
      </w:r>
      <w:r w:rsidRPr="00BC513A">
        <w:rPr>
          <w:rFonts w:ascii="Arial" w:eastAsia="Calibri" w:hAnsi="Arial" w:cs="Arial"/>
          <w:b/>
          <w:iCs/>
          <w:color w:val="0070C0"/>
          <w:sz w:val="20"/>
          <w:szCs w:val="20"/>
        </w:rPr>
        <w:t>Разпределение на вида обновление</w:t>
      </w:r>
      <w:bookmarkEnd w:id="181"/>
    </w:p>
    <w:tbl>
      <w:tblPr>
        <w:tblStyle w:val="TableGrid"/>
        <w:tblW w:w="0" w:type="auto"/>
        <w:tblLook w:val="04A0" w:firstRow="1" w:lastRow="0" w:firstColumn="1" w:lastColumn="0" w:noHBand="0" w:noVBand="1"/>
      </w:tblPr>
      <w:tblGrid>
        <w:gridCol w:w="3681"/>
        <w:gridCol w:w="2329"/>
        <w:gridCol w:w="3006"/>
      </w:tblGrid>
      <w:tr w:rsidR="00E8617E" w:rsidRPr="00BC513A" w14:paraId="48C536FE" w14:textId="77777777" w:rsidTr="00922731">
        <w:tc>
          <w:tcPr>
            <w:tcW w:w="3681" w:type="dxa"/>
            <w:shd w:val="clear" w:color="auto" w:fill="1F4E79"/>
            <w:vAlign w:val="center"/>
          </w:tcPr>
          <w:p w14:paraId="0BE46E47"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Вид на обновлението</w:t>
            </w:r>
          </w:p>
        </w:tc>
        <w:tc>
          <w:tcPr>
            <w:tcW w:w="2329" w:type="dxa"/>
            <w:shd w:val="clear" w:color="auto" w:fill="1F4E79"/>
            <w:vAlign w:val="center"/>
          </w:tcPr>
          <w:p w14:paraId="55675429"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Брой проекти</w:t>
            </w:r>
          </w:p>
        </w:tc>
        <w:tc>
          <w:tcPr>
            <w:tcW w:w="3006" w:type="dxa"/>
            <w:tcBorders>
              <w:bottom w:val="single" w:sz="4" w:space="0" w:color="auto"/>
            </w:tcBorders>
            <w:shd w:val="clear" w:color="auto" w:fill="1F4E79"/>
            <w:vAlign w:val="center"/>
          </w:tcPr>
          <w:p w14:paraId="781495D6"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Общ брой на селата, където са осъществени проектите</w:t>
            </w:r>
          </w:p>
        </w:tc>
      </w:tr>
      <w:tr w:rsidR="00E8617E" w:rsidRPr="00BC513A" w14:paraId="514C0265" w14:textId="77777777" w:rsidTr="00922731">
        <w:tc>
          <w:tcPr>
            <w:tcW w:w="3681" w:type="dxa"/>
            <w:vAlign w:val="center"/>
          </w:tcPr>
          <w:p w14:paraId="50DB78A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 xml:space="preserve">Физически ефект върху сгради и активи </w:t>
            </w:r>
          </w:p>
        </w:tc>
        <w:tc>
          <w:tcPr>
            <w:tcW w:w="2329" w:type="dxa"/>
            <w:tcBorders>
              <w:right w:val="single" w:sz="4" w:space="0" w:color="auto"/>
            </w:tcBorders>
            <w:vAlign w:val="center"/>
          </w:tcPr>
          <w:p w14:paraId="0EB16CD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247</w:t>
            </w:r>
          </w:p>
        </w:tc>
        <w:tc>
          <w:tcPr>
            <w:tcW w:w="3006" w:type="dxa"/>
            <w:vMerge w:val="restart"/>
            <w:tcBorders>
              <w:top w:val="single" w:sz="4" w:space="0" w:color="auto"/>
              <w:left w:val="single" w:sz="4" w:space="0" w:color="auto"/>
              <w:bottom w:val="single" w:sz="4" w:space="0" w:color="auto"/>
              <w:right w:val="single" w:sz="4" w:space="0" w:color="auto"/>
            </w:tcBorders>
            <w:vAlign w:val="center"/>
          </w:tcPr>
          <w:p w14:paraId="47A99F2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747</w:t>
            </w:r>
          </w:p>
        </w:tc>
      </w:tr>
      <w:tr w:rsidR="00E8617E" w:rsidRPr="00BC513A" w14:paraId="07D624A1" w14:textId="77777777" w:rsidTr="00922731">
        <w:tc>
          <w:tcPr>
            <w:tcW w:w="3681" w:type="dxa"/>
            <w:vAlign w:val="center"/>
          </w:tcPr>
          <w:p w14:paraId="6C04CB5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Социален ефект</w:t>
            </w:r>
          </w:p>
        </w:tc>
        <w:tc>
          <w:tcPr>
            <w:tcW w:w="2329" w:type="dxa"/>
            <w:tcBorders>
              <w:right w:val="single" w:sz="4" w:space="0" w:color="auto"/>
            </w:tcBorders>
            <w:vAlign w:val="center"/>
          </w:tcPr>
          <w:p w14:paraId="0EFA6D21"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125</w:t>
            </w:r>
          </w:p>
        </w:tc>
        <w:tc>
          <w:tcPr>
            <w:tcW w:w="3006" w:type="dxa"/>
            <w:vMerge/>
            <w:tcBorders>
              <w:top w:val="single" w:sz="4" w:space="0" w:color="auto"/>
              <w:left w:val="single" w:sz="4" w:space="0" w:color="auto"/>
              <w:bottom w:val="single" w:sz="4" w:space="0" w:color="auto"/>
              <w:right w:val="single" w:sz="4" w:space="0" w:color="auto"/>
            </w:tcBorders>
          </w:tcPr>
          <w:p w14:paraId="38394343" w14:textId="77777777" w:rsidR="00E8617E" w:rsidRPr="00BC513A" w:rsidRDefault="00E8617E" w:rsidP="00922731">
            <w:pPr>
              <w:jc w:val="both"/>
              <w:rPr>
                <w:rFonts w:ascii="Arial" w:hAnsi="Arial" w:cs="Arial"/>
                <w:sz w:val="20"/>
                <w:szCs w:val="20"/>
              </w:rPr>
            </w:pPr>
          </w:p>
        </w:tc>
      </w:tr>
      <w:tr w:rsidR="00E8617E" w:rsidRPr="00BC513A" w14:paraId="39ACE72F" w14:textId="77777777" w:rsidTr="00922731">
        <w:tc>
          <w:tcPr>
            <w:tcW w:w="3681" w:type="dxa"/>
            <w:vAlign w:val="center"/>
          </w:tcPr>
          <w:p w14:paraId="3D47EC4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Икономически ефект</w:t>
            </w:r>
          </w:p>
        </w:tc>
        <w:tc>
          <w:tcPr>
            <w:tcW w:w="2329" w:type="dxa"/>
            <w:tcBorders>
              <w:right w:val="single" w:sz="4" w:space="0" w:color="auto"/>
            </w:tcBorders>
            <w:vAlign w:val="center"/>
          </w:tcPr>
          <w:p w14:paraId="0B4178E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167</w:t>
            </w:r>
          </w:p>
        </w:tc>
        <w:tc>
          <w:tcPr>
            <w:tcW w:w="3006" w:type="dxa"/>
            <w:vMerge/>
            <w:tcBorders>
              <w:top w:val="single" w:sz="4" w:space="0" w:color="auto"/>
              <w:left w:val="single" w:sz="4" w:space="0" w:color="auto"/>
              <w:bottom w:val="single" w:sz="4" w:space="0" w:color="auto"/>
              <w:right w:val="single" w:sz="4" w:space="0" w:color="auto"/>
            </w:tcBorders>
          </w:tcPr>
          <w:p w14:paraId="69C80677" w14:textId="77777777" w:rsidR="00E8617E" w:rsidRPr="00BC513A" w:rsidRDefault="00E8617E" w:rsidP="00922731">
            <w:pPr>
              <w:jc w:val="both"/>
              <w:rPr>
                <w:rFonts w:ascii="Arial" w:hAnsi="Arial" w:cs="Arial"/>
                <w:sz w:val="20"/>
                <w:szCs w:val="20"/>
              </w:rPr>
            </w:pPr>
          </w:p>
        </w:tc>
      </w:tr>
    </w:tbl>
    <w:p w14:paraId="392DDBC1" w14:textId="77777777" w:rsidR="00E8617E" w:rsidRPr="00F07F15" w:rsidRDefault="00E8617E" w:rsidP="00E8617E">
      <w:pPr>
        <w:spacing w:after="0" w:line="276" w:lineRule="auto"/>
        <w:jc w:val="both"/>
        <w:rPr>
          <w:rFonts w:ascii="Arial" w:hAnsi="Arial" w:cs="Arial"/>
          <w:sz w:val="18"/>
          <w:szCs w:val="18"/>
        </w:rPr>
      </w:pPr>
      <w:r w:rsidRPr="00F07F15">
        <w:rPr>
          <w:rFonts w:ascii="Arial" w:eastAsia="Times New Roman" w:hAnsi="Arial" w:cs="Times New Roman"/>
          <w:sz w:val="18"/>
          <w:szCs w:val="18"/>
          <w:lang w:eastAsia="nl-NL"/>
        </w:rPr>
        <w:t>Източник: Годишни доклади за всички индикатори</w:t>
      </w:r>
    </w:p>
    <w:p w14:paraId="2F54413F" w14:textId="77777777" w:rsidR="00F07F15" w:rsidRDefault="00F07F15" w:rsidP="00E8617E">
      <w:pPr>
        <w:pStyle w:val="DefaultText"/>
        <w:spacing w:after="120" w:line="300" w:lineRule="atLeast"/>
        <w:ind w:firstLine="360"/>
        <w:rPr>
          <w:sz w:val="22"/>
          <w:szCs w:val="22"/>
          <w:lang w:val="bg-BG"/>
        </w:rPr>
      </w:pPr>
    </w:p>
    <w:p w14:paraId="4E57E853" w14:textId="77777777" w:rsidR="00E8617E" w:rsidRDefault="00E8617E" w:rsidP="00E8617E">
      <w:pPr>
        <w:pStyle w:val="DefaultText"/>
        <w:spacing w:after="120" w:line="300" w:lineRule="atLeast"/>
        <w:ind w:firstLine="360"/>
        <w:rPr>
          <w:sz w:val="22"/>
          <w:szCs w:val="22"/>
          <w:lang w:val="bg-BG"/>
        </w:rPr>
      </w:pPr>
      <w:r w:rsidRPr="00BC513A">
        <w:rPr>
          <w:sz w:val="22"/>
          <w:szCs w:val="22"/>
          <w:lang w:val="bg-BG"/>
        </w:rPr>
        <w:t xml:space="preserve">По данни от ДФЗ-РА регионалното изпълнение на мярка 322 към приключване на </w:t>
      </w:r>
      <w:r w:rsidR="000F57E9">
        <w:rPr>
          <w:sz w:val="22"/>
          <w:szCs w:val="22"/>
          <w:lang w:val="bg-BG"/>
        </w:rPr>
        <w:t>п</w:t>
      </w:r>
      <w:r w:rsidRPr="00BC513A">
        <w:rPr>
          <w:sz w:val="22"/>
          <w:szCs w:val="22"/>
          <w:lang w:val="bg-BG"/>
        </w:rPr>
        <w:t>рограмата, има следното измерение:</w:t>
      </w:r>
    </w:p>
    <w:p w14:paraId="1D789B36" w14:textId="73265EFB"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СЗР (области Видин, Враца, Монтана, Ловеч и Плевен) – 38 общини са изпълнили общо 64 проекта, а 69 проекта са реализирани от други бенефициенти, в т.ч. ЮЛНЦ и читалища;</w:t>
      </w:r>
    </w:p>
    <w:p w14:paraId="36E71F0A" w14:textId="679EC6DE"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СЦР (области Велико Търново, Габрово, Разград, Русе и Силистра) – 26 общини са изпълнили общо 41 проекта, а 38 проекта са реализирани от други бенефициенти, в т.ч. ЮЛНЦ и читалища;</w:t>
      </w:r>
    </w:p>
    <w:p w14:paraId="5B9E93DB" w14:textId="0D813E68"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СИР (области Варна, Добрич, Търговище и Шумен) – 21 общини са изпълнили общо 38 проекта, а 32 проекта са реализирани от други бенефициенти, в т.ч. ЮЛНЦ и читалища;</w:t>
      </w:r>
    </w:p>
    <w:p w14:paraId="6D9B0E80" w14:textId="04E44772"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ЮИР (области Бургас, Сливен, Стара Загора и Ямбол) – 19 общини са изпълнили общо 26 проекта, а 32 проекта са реализирани от други бенефициенти, в т.ч. ЮЛНЦ и читалища;</w:t>
      </w:r>
    </w:p>
    <w:p w14:paraId="70882B73" w14:textId="0AF2A7EE" w:rsidR="00840BE9" w:rsidRPr="00BC513A" w:rsidRDefault="00840BE9" w:rsidP="00840BE9">
      <w:pPr>
        <w:pStyle w:val="DefaultText"/>
        <w:numPr>
          <w:ilvl w:val="0"/>
          <w:numId w:val="50"/>
        </w:numPr>
        <w:spacing w:after="120" w:line="300" w:lineRule="atLeast"/>
        <w:rPr>
          <w:sz w:val="22"/>
          <w:szCs w:val="22"/>
          <w:lang w:val="bg-BG"/>
        </w:rPr>
      </w:pPr>
      <w:r w:rsidRPr="00BC513A">
        <w:rPr>
          <w:sz w:val="22"/>
          <w:szCs w:val="22"/>
          <w:lang w:val="bg-BG"/>
        </w:rPr>
        <w:t>ЮЗР (области Благоевград, Кюстендил, Перник, Софийска и София) – 37 общини са изпълнили общо 62 проекта, а 35 проекта са реализирани от други бенефициенти, в т.ч. ЮЛНЦ и читалища;</w:t>
      </w:r>
    </w:p>
    <w:p w14:paraId="32F7CACC" w14:textId="4F4461A7" w:rsidR="00840BE9" w:rsidRDefault="00840BE9" w:rsidP="00840BE9">
      <w:pPr>
        <w:pStyle w:val="DefaultText"/>
        <w:numPr>
          <w:ilvl w:val="0"/>
          <w:numId w:val="50"/>
        </w:numPr>
        <w:spacing w:after="120" w:line="300" w:lineRule="atLeast"/>
        <w:rPr>
          <w:sz w:val="22"/>
          <w:szCs w:val="22"/>
          <w:lang w:val="bg-BG"/>
        </w:rPr>
      </w:pPr>
      <w:r w:rsidRPr="00BC513A">
        <w:rPr>
          <w:sz w:val="22"/>
          <w:szCs w:val="22"/>
          <w:lang w:val="bg-BG"/>
        </w:rPr>
        <w:t>ЮЦР (области Кърджали, Пазарджик, Пловдив, Смолян и Хасково) – 33 общини са изпълнили общо 67 проекта, а 36 проекта са реализирани от други бенефициенти, в т.ч. ЮЛНЦ и читалища.</w:t>
      </w:r>
    </w:p>
    <w:p w14:paraId="672BBCDD" w14:textId="77777777" w:rsidR="00840BE9" w:rsidRPr="00BC513A" w:rsidRDefault="00840BE9" w:rsidP="00E8617E">
      <w:pPr>
        <w:pStyle w:val="DefaultText"/>
        <w:spacing w:after="120" w:line="300" w:lineRule="atLeast"/>
        <w:ind w:firstLine="360"/>
        <w:rPr>
          <w:sz w:val="22"/>
          <w:szCs w:val="22"/>
          <w:lang w:val="bg-BG"/>
        </w:rPr>
      </w:pPr>
    </w:p>
    <w:p w14:paraId="13F95270" w14:textId="77777777" w:rsidR="00F07F15" w:rsidRDefault="00F07F15" w:rsidP="00F07F15">
      <w:pPr>
        <w:pStyle w:val="DefaultText"/>
        <w:spacing w:after="120" w:line="300" w:lineRule="atLeast"/>
        <w:rPr>
          <w:sz w:val="22"/>
          <w:szCs w:val="22"/>
          <w:lang w:val="bg-BG"/>
        </w:rPr>
      </w:pPr>
      <w:r>
        <w:rPr>
          <w:noProof/>
          <w:lang w:val="en-US" w:eastAsia="en-US"/>
        </w:rPr>
        <w:drawing>
          <wp:inline distT="0" distB="0" distL="0" distR="0" wp14:anchorId="4B700167" wp14:editId="2BB95BED">
            <wp:extent cx="5779770" cy="4791154"/>
            <wp:effectExtent l="0" t="0" r="11430" b="9525"/>
            <wp:docPr id="3267" name="Chart 326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5EDC5898" w14:textId="77777777" w:rsidR="00F07F15" w:rsidRPr="00F07F15" w:rsidRDefault="00F07F15" w:rsidP="00F07F15">
      <w:pPr>
        <w:spacing w:after="120" w:line="300" w:lineRule="atLeast"/>
        <w:jc w:val="both"/>
        <w:rPr>
          <w:rFonts w:ascii="Arial" w:eastAsia="Times New Roman" w:hAnsi="Arial" w:cs="Times New Roman"/>
          <w:sz w:val="18"/>
          <w:szCs w:val="18"/>
          <w:lang w:eastAsia="nl-NL"/>
        </w:rPr>
      </w:pPr>
      <w:r w:rsidRPr="00F07F15">
        <w:rPr>
          <w:rFonts w:ascii="Arial" w:eastAsia="Times New Roman" w:hAnsi="Arial" w:cs="Times New Roman"/>
          <w:sz w:val="18"/>
          <w:szCs w:val="18"/>
          <w:lang w:eastAsia="nl-NL"/>
        </w:rPr>
        <w:t xml:space="preserve">Източник: По данни на ДФЗ-РА </w:t>
      </w:r>
    </w:p>
    <w:p w14:paraId="463FAB1E" w14:textId="77777777" w:rsidR="00F07F15" w:rsidRPr="00BC513A" w:rsidRDefault="00F07F15" w:rsidP="00F07F15">
      <w:pPr>
        <w:spacing w:after="120" w:line="300" w:lineRule="atLeast"/>
        <w:ind w:firstLine="708"/>
        <w:jc w:val="center"/>
        <w:rPr>
          <w:rFonts w:ascii="Times New Roman" w:eastAsia="Times New Roman" w:hAnsi="Times New Roman" w:cs="Times New Roman"/>
          <w:b/>
          <w:sz w:val="24"/>
          <w:szCs w:val="24"/>
          <w:lang w:eastAsia="nl-NL"/>
        </w:rPr>
      </w:pPr>
      <w:bookmarkStart w:id="182" w:name="_Toc506984726"/>
      <w:r w:rsidRPr="00BC513A">
        <w:rPr>
          <w:rFonts w:ascii="Arial" w:eastAsia="Times New Roman" w:hAnsi="Arial" w:cs="Arial"/>
          <w:b/>
          <w:color w:val="0070C0"/>
          <w:sz w:val="20"/>
          <w:szCs w:val="20"/>
          <w:lang w:eastAsia="nl-NL"/>
        </w:rPr>
        <w:t xml:space="preserve">Фигура </w:t>
      </w:r>
      <w:r w:rsidRPr="00BC513A">
        <w:rPr>
          <w:rFonts w:ascii="Arial" w:eastAsia="Times New Roman" w:hAnsi="Arial" w:cs="Arial"/>
          <w:b/>
          <w:color w:val="0070C0"/>
          <w:sz w:val="20"/>
          <w:szCs w:val="20"/>
          <w:lang w:eastAsia="nl-NL"/>
        </w:rPr>
        <w:fldChar w:fldCharType="begin"/>
      </w:r>
      <w:r w:rsidRPr="00BC513A">
        <w:rPr>
          <w:rFonts w:ascii="Arial" w:eastAsia="Times New Roman" w:hAnsi="Arial" w:cs="Arial"/>
          <w:b/>
          <w:color w:val="0070C0"/>
          <w:sz w:val="20"/>
          <w:szCs w:val="20"/>
          <w:lang w:eastAsia="nl-NL"/>
        </w:rPr>
        <w:instrText xml:space="preserve"> SEQ Фигура \* ARABIC </w:instrText>
      </w:r>
      <w:r w:rsidRPr="00BC513A">
        <w:rPr>
          <w:rFonts w:ascii="Arial" w:eastAsia="Times New Roman" w:hAnsi="Arial" w:cs="Arial"/>
          <w:b/>
          <w:color w:val="0070C0"/>
          <w:sz w:val="20"/>
          <w:szCs w:val="20"/>
          <w:lang w:eastAsia="nl-NL"/>
        </w:rPr>
        <w:fldChar w:fldCharType="separate"/>
      </w:r>
      <w:r w:rsidR="0023010D">
        <w:rPr>
          <w:rFonts w:ascii="Arial" w:eastAsia="Times New Roman" w:hAnsi="Arial" w:cs="Arial"/>
          <w:b/>
          <w:noProof/>
          <w:color w:val="0070C0"/>
          <w:sz w:val="20"/>
          <w:szCs w:val="20"/>
          <w:lang w:eastAsia="nl-NL"/>
        </w:rPr>
        <w:t>20</w:t>
      </w:r>
      <w:r w:rsidRPr="00BC513A">
        <w:rPr>
          <w:rFonts w:ascii="Arial" w:eastAsia="Times New Roman" w:hAnsi="Arial" w:cs="Arial"/>
          <w:b/>
          <w:color w:val="0070C0"/>
          <w:sz w:val="20"/>
          <w:szCs w:val="20"/>
          <w:lang w:eastAsia="nl-NL"/>
        </w:rPr>
        <w:fldChar w:fldCharType="end"/>
      </w:r>
      <w:r w:rsidRPr="00BC513A">
        <w:rPr>
          <w:rFonts w:ascii="Arial" w:eastAsia="Times New Roman" w:hAnsi="Arial" w:cs="Arial"/>
          <w:b/>
          <w:color w:val="0070C0"/>
          <w:sz w:val="20"/>
          <w:szCs w:val="20"/>
          <w:lang w:eastAsia="nl-NL"/>
        </w:rPr>
        <w:t>. Брой проекти по области</w:t>
      </w:r>
      <w:r w:rsidR="00047E2D">
        <w:rPr>
          <w:rFonts w:ascii="Arial" w:eastAsia="Times New Roman" w:hAnsi="Arial" w:cs="Arial"/>
          <w:b/>
          <w:color w:val="0070C0"/>
          <w:sz w:val="20"/>
          <w:szCs w:val="20"/>
          <w:lang w:eastAsia="nl-NL"/>
        </w:rPr>
        <w:t>,</w:t>
      </w:r>
      <w:r w:rsidRPr="00BC513A">
        <w:rPr>
          <w:rFonts w:ascii="Arial" w:eastAsia="Times New Roman" w:hAnsi="Arial" w:cs="Arial"/>
          <w:b/>
          <w:color w:val="0070C0"/>
          <w:sz w:val="20"/>
          <w:szCs w:val="20"/>
          <w:lang w:eastAsia="nl-NL"/>
        </w:rPr>
        <w:t xml:space="preserve"> подкрепени по мярка 32</w:t>
      </w:r>
      <w:r>
        <w:rPr>
          <w:rFonts w:ascii="Arial" w:eastAsia="Times New Roman" w:hAnsi="Arial" w:cs="Arial"/>
          <w:b/>
          <w:color w:val="0070C0"/>
          <w:sz w:val="20"/>
          <w:szCs w:val="20"/>
          <w:lang w:eastAsia="nl-NL"/>
        </w:rPr>
        <w:t>2</w:t>
      </w:r>
      <w:bookmarkEnd w:id="182"/>
    </w:p>
    <w:p w14:paraId="139466F5" w14:textId="3FA87D35"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От така представените синтезирани данни е видно, че бенефициентите </w:t>
      </w:r>
      <w:r w:rsidR="00F8421B">
        <w:rPr>
          <w:sz w:val="22"/>
          <w:szCs w:val="22"/>
          <w:lang w:val="bg-BG"/>
        </w:rPr>
        <w:t>–</w:t>
      </w:r>
      <w:r w:rsidRPr="00BC513A">
        <w:rPr>
          <w:sz w:val="22"/>
          <w:szCs w:val="22"/>
          <w:lang w:val="bg-BG"/>
        </w:rPr>
        <w:t xml:space="preserve"> общини от всички райони с изключение на ЮИР (където като цяло се наблюдава тенденция към по-малък брой проекти по ос 3), са изпълнили средно по 2 проекта на община като чувствителен брой проекти – равен или наполовина на общинските, са реализирани от други ползватели на помощта. Отново прави впечатление, че за ЮИР проектите на сдружения и читалища са повече като брой от изпълнените от  общините в региона.</w:t>
      </w:r>
    </w:p>
    <w:p w14:paraId="3F3E7C4D" w14:textId="77777777" w:rsidR="00E8617E" w:rsidRPr="00BC513A" w:rsidRDefault="00F07F15" w:rsidP="00E8617E">
      <w:pPr>
        <w:pStyle w:val="DefaultText"/>
        <w:spacing w:after="120" w:line="300" w:lineRule="atLeast"/>
        <w:ind w:firstLine="708"/>
        <w:rPr>
          <w:sz w:val="22"/>
          <w:szCs w:val="22"/>
          <w:lang w:val="bg-BG"/>
        </w:rPr>
      </w:pPr>
      <w:r>
        <w:rPr>
          <w:sz w:val="22"/>
          <w:szCs w:val="22"/>
          <w:lang w:val="bg-BG"/>
        </w:rPr>
        <w:t>Съгласно данни, от проведено он</w:t>
      </w:r>
      <w:r w:rsidR="00E8617E" w:rsidRPr="00BC513A">
        <w:rPr>
          <w:sz w:val="22"/>
          <w:szCs w:val="22"/>
          <w:lang w:val="bg-BG"/>
        </w:rPr>
        <w:t>лайн проучване сред 231 общини, на територията на които се изпълнява ПРСР 2007-2013, 83% от анкетираните отчитат приноса на изпълнените проекти по мярка 322 за подобряване качеството на живот в населените места.</w:t>
      </w:r>
    </w:p>
    <w:p w14:paraId="5B3371C2" w14:textId="77777777" w:rsidR="00E8617E" w:rsidRPr="00BC513A" w:rsidRDefault="00E8617E" w:rsidP="00E8617E">
      <w:pPr>
        <w:pStyle w:val="DefaultText"/>
        <w:spacing w:after="120" w:line="300" w:lineRule="atLeast"/>
        <w:rPr>
          <w:sz w:val="22"/>
          <w:szCs w:val="22"/>
          <w:highlight w:val="yellow"/>
          <w:lang w:val="bg-BG"/>
        </w:rPr>
      </w:pPr>
      <w:r w:rsidRPr="00BC513A">
        <w:rPr>
          <w:noProof/>
          <w:lang w:val="en-US" w:eastAsia="en-US"/>
        </w:rPr>
        <w:drawing>
          <wp:inline distT="0" distB="0" distL="0" distR="0" wp14:anchorId="529BDB3E" wp14:editId="4036B396">
            <wp:extent cx="5719482" cy="2445701"/>
            <wp:effectExtent l="0" t="0" r="0" b="0"/>
            <wp:docPr id="5159" name="Picture 5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696"/>
                    <a:stretch/>
                  </pic:blipFill>
                  <pic:spPr bwMode="auto">
                    <a:xfrm>
                      <a:off x="0" y="0"/>
                      <a:ext cx="5720715" cy="2446228"/>
                    </a:xfrm>
                    <a:prstGeom prst="rect">
                      <a:avLst/>
                    </a:prstGeom>
                    <a:noFill/>
                    <a:ln>
                      <a:noFill/>
                    </a:ln>
                    <a:extLst>
                      <a:ext uri="{53640926-AAD7-44D8-BBD7-CCE9431645EC}">
                        <a14:shadowObscured xmlns:a14="http://schemas.microsoft.com/office/drawing/2010/main"/>
                      </a:ext>
                    </a:extLst>
                  </pic:spPr>
                </pic:pic>
              </a:graphicData>
            </a:graphic>
          </wp:inline>
        </w:drawing>
      </w:r>
    </w:p>
    <w:p w14:paraId="5FA00CDF" w14:textId="77777777" w:rsidR="00E8617E" w:rsidRPr="00BC513A" w:rsidRDefault="00E8617E" w:rsidP="00E8617E">
      <w:pPr>
        <w:rPr>
          <w:rFonts w:ascii="Arial" w:hAnsi="Arial" w:cs="Arial"/>
          <w:i/>
          <w:sz w:val="20"/>
          <w:szCs w:val="20"/>
        </w:rPr>
      </w:pPr>
    </w:p>
    <w:p w14:paraId="1A1AA859" w14:textId="77777777" w:rsidR="00E8617E" w:rsidRPr="00BC513A" w:rsidRDefault="00F07F15" w:rsidP="00E8617E">
      <w:pPr>
        <w:spacing w:after="120" w:line="300" w:lineRule="atLeast"/>
        <w:jc w:val="both"/>
        <w:rPr>
          <w:rFonts w:ascii="Arial" w:eastAsia="Times New Roman" w:hAnsi="Arial" w:cs="Times New Roman"/>
          <w:sz w:val="20"/>
          <w:lang w:eastAsia="nl-NL"/>
        </w:rPr>
      </w:pPr>
      <w:r>
        <w:rPr>
          <w:rFonts w:ascii="Arial" w:eastAsia="Times New Roman" w:hAnsi="Arial" w:cs="Times New Roman"/>
          <w:sz w:val="20"/>
          <w:lang w:eastAsia="nl-NL"/>
        </w:rPr>
        <w:t>Източник: Он</w:t>
      </w:r>
      <w:r w:rsidR="00E8617E" w:rsidRPr="00BC513A">
        <w:rPr>
          <w:rFonts w:ascii="Arial" w:eastAsia="Times New Roman" w:hAnsi="Arial" w:cs="Times New Roman"/>
          <w:sz w:val="20"/>
          <w:lang w:eastAsia="nl-NL"/>
        </w:rPr>
        <w:t>лайн проучване</w:t>
      </w:r>
    </w:p>
    <w:p w14:paraId="0BB90FF0" w14:textId="77777777" w:rsidR="00E8617E" w:rsidRPr="00BC513A" w:rsidRDefault="00E8617E" w:rsidP="00E8617E">
      <w:pPr>
        <w:spacing w:after="120" w:line="300" w:lineRule="atLeast"/>
        <w:ind w:firstLine="708"/>
        <w:jc w:val="center"/>
        <w:rPr>
          <w:rFonts w:ascii="Times New Roman" w:eastAsia="Times New Roman" w:hAnsi="Times New Roman" w:cs="Times New Roman"/>
          <w:b/>
          <w:sz w:val="24"/>
          <w:szCs w:val="24"/>
          <w:lang w:eastAsia="nl-NL"/>
        </w:rPr>
      </w:pPr>
      <w:bookmarkStart w:id="183" w:name="_Toc506984727"/>
      <w:r w:rsidRPr="00BC513A">
        <w:rPr>
          <w:rFonts w:ascii="Arial" w:eastAsia="Times New Roman" w:hAnsi="Arial" w:cs="Arial"/>
          <w:b/>
          <w:color w:val="0070C0"/>
          <w:sz w:val="20"/>
          <w:szCs w:val="20"/>
          <w:lang w:eastAsia="nl-NL"/>
        </w:rPr>
        <w:t xml:space="preserve">Фигура </w:t>
      </w:r>
      <w:r w:rsidRPr="00BC513A">
        <w:rPr>
          <w:rFonts w:ascii="Arial" w:eastAsia="Times New Roman" w:hAnsi="Arial" w:cs="Arial"/>
          <w:b/>
          <w:color w:val="0070C0"/>
          <w:sz w:val="20"/>
          <w:szCs w:val="20"/>
          <w:lang w:eastAsia="nl-NL"/>
        </w:rPr>
        <w:fldChar w:fldCharType="begin"/>
      </w:r>
      <w:r w:rsidRPr="00BC513A">
        <w:rPr>
          <w:rFonts w:ascii="Arial" w:eastAsia="Times New Roman" w:hAnsi="Arial" w:cs="Arial"/>
          <w:b/>
          <w:color w:val="0070C0"/>
          <w:sz w:val="20"/>
          <w:szCs w:val="20"/>
          <w:lang w:eastAsia="nl-NL"/>
        </w:rPr>
        <w:instrText xml:space="preserve"> SEQ Фигура \* ARABIC </w:instrText>
      </w:r>
      <w:r w:rsidRPr="00BC513A">
        <w:rPr>
          <w:rFonts w:ascii="Arial" w:eastAsia="Times New Roman" w:hAnsi="Arial" w:cs="Arial"/>
          <w:b/>
          <w:color w:val="0070C0"/>
          <w:sz w:val="20"/>
          <w:szCs w:val="20"/>
          <w:lang w:eastAsia="nl-NL"/>
        </w:rPr>
        <w:fldChar w:fldCharType="separate"/>
      </w:r>
      <w:r w:rsidR="0023010D">
        <w:rPr>
          <w:rFonts w:ascii="Arial" w:eastAsia="Times New Roman" w:hAnsi="Arial" w:cs="Arial"/>
          <w:b/>
          <w:noProof/>
          <w:color w:val="0070C0"/>
          <w:sz w:val="20"/>
          <w:szCs w:val="20"/>
          <w:lang w:eastAsia="nl-NL"/>
        </w:rPr>
        <w:t>21</w:t>
      </w:r>
      <w:r w:rsidRPr="00BC513A">
        <w:rPr>
          <w:rFonts w:ascii="Arial" w:eastAsia="Times New Roman" w:hAnsi="Arial" w:cs="Arial"/>
          <w:b/>
          <w:color w:val="0070C0"/>
          <w:sz w:val="20"/>
          <w:szCs w:val="20"/>
          <w:lang w:eastAsia="nl-NL"/>
        </w:rPr>
        <w:fldChar w:fldCharType="end"/>
      </w:r>
      <w:r w:rsidRPr="00BC513A">
        <w:rPr>
          <w:rFonts w:ascii="Arial" w:eastAsia="Times New Roman" w:hAnsi="Arial" w:cs="Arial"/>
          <w:b/>
          <w:color w:val="0070C0"/>
          <w:sz w:val="20"/>
          <w:szCs w:val="20"/>
          <w:lang w:eastAsia="nl-NL"/>
        </w:rPr>
        <w:t>. До каква степен ПРСР е допринесла за подобряване на привлекателността на Вашата община като място за живеене</w:t>
      </w:r>
      <w:bookmarkEnd w:id="183"/>
    </w:p>
    <w:p w14:paraId="55A5271A" w14:textId="77777777" w:rsidR="00E8617E" w:rsidRPr="00BC513A" w:rsidRDefault="00E8617E" w:rsidP="00E8617E">
      <w:pPr>
        <w:spacing w:after="120" w:line="300" w:lineRule="atLeast"/>
        <w:ind w:firstLine="709"/>
        <w:jc w:val="both"/>
        <w:textAlignment w:val="top"/>
        <w:rPr>
          <w:rFonts w:ascii="Arial" w:eastAsia="Times New Roman" w:hAnsi="Arial" w:cs="Times New Roman"/>
          <w:lang w:eastAsia="nl-NL"/>
        </w:rPr>
      </w:pPr>
      <w:r w:rsidRPr="00BC513A">
        <w:rPr>
          <w:rFonts w:ascii="Arial" w:eastAsia="Times New Roman" w:hAnsi="Arial" w:cs="Times New Roman"/>
          <w:lang w:eastAsia="nl-NL"/>
        </w:rPr>
        <w:t>Успешното изпълнение на мярката се дължи, както на правилното програмиране и отчитане на грешките, натрупани при изпълнението на предходната Програма САПАРД, така и на приетите изменения в правилата за условията и реда за предоставяне на финансова помощ по мерки 321 и 322 от ПРСР, включително увеличаване на размера на авансовите плащания от 20% на 50% от одобрената субсидия. Показателен е и фактът, че 82 от кандидатствалите по мярката общини са успешно изпълнили проекти на територията на повече от 2 населени места, докато други 18 на повече от едно, което още веднъж потвърждава  припознаването на мярката като основно средство за подобряване благосъстоянието на населените места и подобряване средата на живот на територията на селските райони в България.</w:t>
      </w:r>
    </w:p>
    <w:p w14:paraId="3BDA0423" w14:textId="4FA1DE37" w:rsidR="00E8617E" w:rsidRPr="00E75C97" w:rsidRDefault="00E8617E" w:rsidP="00E75C97">
      <w:pPr>
        <w:pStyle w:val="DefaultText"/>
        <w:spacing w:after="120" w:line="300" w:lineRule="atLeast"/>
        <w:ind w:firstLine="708"/>
        <w:rPr>
          <w:sz w:val="22"/>
          <w:szCs w:val="22"/>
          <w:lang w:val="bg-BG"/>
        </w:rPr>
      </w:pPr>
      <w:r w:rsidRPr="00E75C97">
        <w:rPr>
          <w:sz w:val="22"/>
          <w:szCs w:val="22"/>
          <w:lang w:val="bg-BG"/>
        </w:rPr>
        <w:t>С прилагането на мярка 322 е постигнато изпълнение на заложените специфични индикатори на 100 %, като  анализът</w:t>
      </w:r>
      <w:r w:rsidR="00E75C97" w:rsidRPr="00E75C97">
        <w:rPr>
          <w:sz w:val="22"/>
          <w:szCs w:val="22"/>
          <w:lang w:val="bg-BG"/>
        </w:rPr>
        <w:t xml:space="preserve"> </w:t>
      </w:r>
      <w:r w:rsidRPr="00E75C97">
        <w:rPr>
          <w:sz w:val="22"/>
          <w:szCs w:val="22"/>
          <w:lang w:val="bg-BG"/>
        </w:rPr>
        <w:t>на</w:t>
      </w:r>
      <w:r w:rsidR="00E75C97">
        <w:rPr>
          <w:sz w:val="22"/>
          <w:szCs w:val="22"/>
          <w:lang w:val="bg-BG"/>
        </w:rPr>
        <w:t xml:space="preserve"> </w:t>
      </w:r>
      <w:r w:rsidRPr="00E75C97">
        <w:rPr>
          <w:sz w:val="22"/>
          <w:szCs w:val="22"/>
          <w:lang w:val="bg-BG"/>
        </w:rPr>
        <w:t>резултатите показва преобладаващ обем на публичните</w:t>
      </w:r>
      <w:r w:rsidR="00E75C97">
        <w:rPr>
          <w:sz w:val="22"/>
          <w:szCs w:val="22"/>
          <w:lang w:val="bg-BG"/>
        </w:rPr>
        <w:t xml:space="preserve"> </w:t>
      </w:r>
      <w:r w:rsidRPr="00E75C97">
        <w:rPr>
          <w:sz w:val="22"/>
          <w:szCs w:val="22"/>
          <w:lang w:val="bg-BG"/>
        </w:rPr>
        <w:t>разходи</w:t>
      </w:r>
      <w:r w:rsidR="00E75C97">
        <w:rPr>
          <w:sz w:val="22"/>
          <w:szCs w:val="22"/>
          <w:lang w:val="bg-BG"/>
        </w:rPr>
        <w:t xml:space="preserve"> </w:t>
      </w:r>
      <w:r w:rsidRPr="00E75C97">
        <w:rPr>
          <w:sz w:val="22"/>
          <w:szCs w:val="22"/>
          <w:lang w:val="bg-BG"/>
        </w:rPr>
        <w:t>за</w:t>
      </w:r>
      <w:r w:rsidR="00E75C97">
        <w:rPr>
          <w:sz w:val="22"/>
          <w:szCs w:val="22"/>
          <w:lang w:val="bg-BG"/>
        </w:rPr>
        <w:t xml:space="preserve"> </w:t>
      </w:r>
      <w:r w:rsidRPr="00E75C97">
        <w:rPr>
          <w:sz w:val="22"/>
          <w:szCs w:val="22"/>
          <w:lang w:val="bg-BG"/>
        </w:rPr>
        <w:t>ремонт</w:t>
      </w:r>
      <w:r w:rsidR="00E75C97">
        <w:rPr>
          <w:rFonts w:ascii="Tahoma" w:hAnsi="Tahoma" w:cs="Tahoma"/>
          <w:sz w:val="22"/>
          <w:szCs w:val="22"/>
          <w:lang w:val="bg-BG"/>
        </w:rPr>
        <w:t xml:space="preserve"> </w:t>
      </w:r>
      <w:r w:rsidRPr="00E75C97">
        <w:rPr>
          <w:sz w:val="22"/>
          <w:szCs w:val="22"/>
          <w:lang w:val="bg-BG"/>
        </w:rPr>
        <w:t>на</w:t>
      </w:r>
      <w:r w:rsidR="00E75C97">
        <w:rPr>
          <w:rFonts w:ascii="Tahoma" w:hAnsi="Tahoma" w:cs="Tahoma"/>
          <w:sz w:val="22"/>
          <w:szCs w:val="22"/>
          <w:lang w:val="bg-BG"/>
        </w:rPr>
        <w:t xml:space="preserve"> </w:t>
      </w:r>
      <w:r w:rsidRPr="00E75C97">
        <w:rPr>
          <w:sz w:val="22"/>
          <w:szCs w:val="22"/>
          <w:lang w:val="bg-BG"/>
        </w:rPr>
        <w:t>съществуващи</w:t>
      </w:r>
      <w:r w:rsidR="00E75C97">
        <w:rPr>
          <w:rFonts w:ascii="Tahoma" w:hAnsi="Tahoma" w:cs="Tahoma"/>
          <w:sz w:val="22"/>
          <w:szCs w:val="22"/>
          <w:lang w:val="bg-BG"/>
        </w:rPr>
        <w:t xml:space="preserve"> </w:t>
      </w:r>
      <w:r w:rsidRPr="00E75C97">
        <w:rPr>
          <w:sz w:val="22"/>
          <w:szCs w:val="22"/>
          <w:lang w:val="bg-BG"/>
        </w:rPr>
        <w:t xml:space="preserve">улици, </w:t>
      </w:r>
      <w:r w:rsidR="00E75C97" w:rsidRPr="00E75C97">
        <w:rPr>
          <w:sz w:val="22"/>
          <w:szCs w:val="22"/>
          <w:lang w:val="bg-BG"/>
        </w:rPr>
        <w:t>с</w:t>
      </w:r>
      <w:r w:rsidRPr="00E75C97">
        <w:rPr>
          <w:sz w:val="22"/>
          <w:szCs w:val="22"/>
          <w:lang w:val="bg-BG"/>
        </w:rPr>
        <w:t>ъществуващи</w:t>
      </w:r>
      <w:r w:rsidR="00E75C97">
        <w:rPr>
          <w:rFonts w:ascii="Tahoma" w:hAnsi="Tahoma" w:cs="Tahoma"/>
          <w:sz w:val="22"/>
          <w:szCs w:val="22"/>
          <w:lang w:val="bg-BG"/>
        </w:rPr>
        <w:t xml:space="preserve"> </w:t>
      </w:r>
      <w:r w:rsidRPr="00E75C97">
        <w:rPr>
          <w:sz w:val="22"/>
          <w:szCs w:val="22"/>
          <w:lang w:val="bg-BG"/>
        </w:rPr>
        <w:t>площади</w:t>
      </w:r>
      <w:r w:rsidR="00E75C97">
        <w:rPr>
          <w:rFonts w:ascii="Tahoma" w:hAnsi="Tahoma" w:cs="Tahoma"/>
          <w:sz w:val="22"/>
          <w:szCs w:val="22"/>
          <w:lang w:val="bg-BG"/>
        </w:rPr>
        <w:t xml:space="preserve"> </w:t>
      </w:r>
      <w:r w:rsidRPr="00E75C97">
        <w:rPr>
          <w:sz w:val="22"/>
          <w:szCs w:val="22"/>
          <w:lang w:val="bg-BG"/>
        </w:rPr>
        <w:t>и</w:t>
      </w:r>
      <w:r w:rsidR="00E75C97">
        <w:rPr>
          <w:rFonts w:ascii="Tahoma" w:hAnsi="Tahoma" w:cs="Tahoma"/>
          <w:sz w:val="22"/>
          <w:szCs w:val="22"/>
          <w:lang w:val="bg-BG"/>
        </w:rPr>
        <w:t xml:space="preserve"> </w:t>
      </w:r>
      <w:r w:rsidRPr="00E75C97">
        <w:rPr>
          <w:sz w:val="22"/>
          <w:szCs w:val="22"/>
          <w:lang w:val="bg-BG"/>
        </w:rPr>
        <w:t>тротоари, съществуващи</w:t>
      </w:r>
      <w:r w:rsidR="00E75C97">
        <w:rPr>
          <w:rFonts w:ascii="Tahoma" w:hAnsi="Tahoma" w:cs="Tahoma"/>
          <w:sz w:val="22"/>
          <w:szCs w:val="22"/>
          <w:lang w:val="bg-BG"/>
        </w:rPr>
        <w:t xml:space="preserve"> </w:t>
      </w:r>
      <w:r w:rsidRPr="00E75C97">
        <w:rPr>
          <w:sz w:val="22"/>
          <w:szCs w:val="22"/>
          <w:lang w:val="bg-BG"/>
        </w:rPr>
        <w:t>паркове</w:t>
      </w:r>
      <w:r w:rsidR="00E75C97">
        <w:rPr>
          <w:rFonts w:ascii="Tahoma" w:hAnsi="Tahoma" w:cs="Tahoma"/>
          <w:sz w:val="22"/>
          <w:szCs w:val="22"/>
          <w:lang w:val="bg-BG"/>
        </w:rPr>
        <w:t xml:space="preserve"> </w:t>
      </w:r>
      <w:r w:rsidRPr="00E75C97">
        <w:rPr>
          <w:sz w:val="22"/>
          <w:szCs w:val="22"/>
          <w:lang w:val="bg-BG"/>
        </w:rPr>
        <w:t>и</w:t>
      </w:r>
      <w:r w:rsidR="00E75C97">
        <w:rPr>
          <w:rFonts w:ascii="Tahoma" w:hAnsi="Tahoma" w:cs="Tahoma"/>
          <w:sz w:val="22"/>
          <w:szCs w:val="22"/>
          <w:lang w:val="bg-BG"/>
        </w:rPr>
        <w:t xml:space="preserve"> </w:t>
      </w:r>
      <w:r w:rsidRPr="00E75C97">
        <w:rPr>
          <w:sz w:val="22"/>
          <w:szCs w:val="22"/>
          <w:lang w:val="bg-BG"/>
        </w:rPr>
        <w:t>зелени</w:t>
      </w:r>
      <w:r w:rsidR="00E75C97">
        <w:rPr>
          <w:rFonts w:ascii="Tahoma" w:hAnsi="Tahoma" w:cs="Tahoma"/>
          <w:sz w:val="22"/>
          <w:szCs w:val="22"/>
          <w:lang w:val="bg-BG"/>
        </w:rPr>
        <w:t xml:space="preserve"> </w:t>
      </w:r>
      <w:r w:rsidRPr="00E75C97">
        <w:rPr>
          <w:sz w:val="22"/>
          <w:szCs w:val="22"/>
          <w:lang w:val="bg-BG"/>
        </w:rPr>
        <w:t>площи, изграждане</w:t>
      </w:r>
      <w:r w:rsidR="00E75C97">
        <w:rPr>
          <w:rFonts w:ascii="Tahoma" w:hAnsi="Tahoma" w:cs="Tahoma"/>
          <w:sz w:val="22"/>
          <w:szCs w:val="22"/>
          <w:lang w:val="bg-BG"/>
        </w:rPr>
        <w:t xml:space="preserve"> </w:t>
      </w:r>
      <w:r w:rsidRPr="00E75C97">
        <w:rPr>
          <w:sz w:val="22"/>
          <w:szCs w:val="22"/>
          <w:lang w:val="bg-BG"/>
        </w:rPr>
        <w:t>на</w:t>
      </w:r>
      <w:r w:rsidR="00E75C97">
        <w:rPr>
          <w:rFonts w:ascii="Tahoma" w:hAnsi="Tahoma" w:cs="Tahoma"/>
          <w:sz w:val="22"/>
          <w:szCs w:val="22"/>
          <w:lang w:val="bg-BG"/>
        </w:rPr>
        <w:t xml:space="preserve"> </w:t>
      </w:r>
      <w:r w:rsidRPr="00E75C97">
        <w:rPr>
          <w:sz w:val="22"/>
          <w:szCs w:val="22"/>
          <w:lang w:val="bg-BG"/>
        </w:rPr>
        <w:t>ново осветление в населените места.</w:t>
      </w:r>
      <w:r w:rsidR="00E75C97">
        <w:rPr>
          <w:rFonts w:ascii="Tahoma" w:hAnsi="Tahoma" w:cs="Tahoma"/>
          <w:sz w:val="22"/>
          <w:szCs w:val="22"/>
          <w:lang w:val="bg-BG"/>
        </w:rPr>
        <w:t xml:space="preserve"> </w:t>
      </w:r>
      <w:r w:rsidRPr="00E75C97">
        <w:rPr>
          <w:sz w:val="22"/>
          <w:szCs w:val="22"/>
          <w:lang w:val="bg-BG"/>
        </w:rPr>
        <w:t>Значителни</w:t>
      </w:r>
      <w:r w:rsidR="00E75C97">
        <w:rPr>
          <w:rFonts w:ascii="Tahoma" w:hAnsi="Tahoma" w:cs="Tahoma"/>
          <w:sz w:val="22"/>
          <w:szCs w:val="22"/>
          <w:lang w:val="bg-BG"/>
        </w:rPr>
        <w:t xml:space="preserve"> </w:t>
      </w:r>
      <w:r w:rsidRPr="00E75C97">
        <w:rPr>
          <w:sz w:val="22"/>
          <w:szCs w:val="22"/>
          <w:lang w:val="bg-BG"/>
        </w:rPr>
        <w:t>са</w:t>
      </w:r>
      <w:r w:rsidR="00E75C97">
        <w:rPr>
          <w:rFonts w:ascii="Tahoma" w:hAnsi="Tahoma" w:cs="Tahoma"/>
          <w:sz w:val="22"/>
          <w:szCs w:val="22"/>
          <w:lang w:val="bg-BG"/>
        </w:rPr>
        <w:t xml:space="preserve"> </w:t>
      </w:r>
      <w:r w:rsidRPr="00E75C97">
        <w:rPr>
          <w:sz w:val="22"/>
          <w:szCs w:val="22"/>
          <w:lang w:val="bg-BG"/>
        </w:rPr>
        <w:t>инвестициите и за</w:t>
      </w:r>
      <w:r w:rsidR="00E75C97">
        <w:rPr>
          <w:rFonts w:ascii="Tahoma" w:hAnsi="Tahoma" w:cs="Tahoma"/>
          <w:sz w:val="22"/>
          <w:szCs w:val="22"/>
          <w:lang w:val="bg-BG"/>
        </w:rPr>
        <w:t xml:space="preserve"> </w:t>
      </w:r>
      <w:r w:rsidRPr="00E75C97">
        <w:rPr>
          <w:sz w:val="22"/>
          <w:szCs w:val="22"/>
          <w:lang w:val="bg-BG"/>
        </w:rPr>
        <w:t>изграждане</w:t>
      </w:r>
      <w:r w:rsidR="00E75C97">
        <w:rPr>
          <w:rFonts w:ascii="Tahoma" w:hAnsi="Tahoma" w:cs="Tahoma"/>
          <w:sz w:val="22"/>
          <w:szCs w:val="22"/>
          <w:lang w:val="bg-BG"/>
        </w:rPr>
        <w:t xml:space="preserve"> </w:t>
      </w:r>
      <w:r w:rsidRPr="00E75C97">
        <w:rPr>
          <w:sz w:val="22"/>
          <w:szCs w:val="22"/>
          <w:lang w:val="bg-BG"/>
        </w:rPr>
        <w:t>на</w:t>
      </w:r>
      <w:r w:rsidR="00E75C97">
        <w:rPr>
          <w:rFonts w:ascii="Tahoma" w:hAnsi="Tahoma" w:cs="Tahoma"/>
          <w:sz w:val="22"/>
          <w:szCs w:val="22"/>
          <w:lang w:val="bg-BG"/>
        </w:rPr>
        <w:t xml:space="preserve"> </w:t>
      </w:r>
      <w:r w:rsidRPr="00E75C97">
        <w:rPr>
          <w:sz w:val="22"/>
          <w:szCs w:val="22"/>
          <w:lang w:val="bg-BG"/>
        </w:rPr>
        <w:t>нови</w:t>
      </w:r>
      <w:r w:rsidR="00E75C97">
        <w:rPr>
          <w:rFonts w:ascii="Tahoma" w:hAnsi="Tahoma" w:cs="Tahoma"/>
          <w:sz w:val="22"/>
          <w:szCs w:val="22"/>
          <w:lang w:val="bg-BG"/>
        </w:rPr>
        <w:t xml:space="preserve"> </w:t>
      </w:r>
      <w:r w:rsidRPr="00E75C97">
        <w:rPr>
          <w:sz w:val="22"/>
          <w:szCs w:val="22"/>
          <w:lang w:val="bg-BG"/>
        </w:rPr>
        <w:t>детски площадки</w:t>
      </w:r>
      <w:r w:rsidR="00E75C97">
        <w:rPr>
          <w:rFonts w:ascii="Tahoma" w:hAnsi="Tahoma" w:cs="Tahoma"/>
          <w:sz w:val="22"/>
          <w:szCs w:val="22"/>
          <w:lang w:val="bg-BG"/>
        </w:rPr>
        <w:t xml:space="preserve"> </w:t>
      </w:r>
      <w:r w:rsidRPr="00E75C97">
        <w:rPr>
          <w:sz w:val="22"/>
          <w:szCs w:val="22"/>
          <w:lang w:val="bg-BG"/>
        </w:rPr>
        <w:t>и</w:t>
      </w:r>
      <w:r w:rsidR="00E75C97">
        <w:rPr>
          <w:rFonts w:ascii="Tahoma" w:hAnsi="Tahoma" w:cs="Tahoma"/>
          <w:sz w:val="22"/>
          <w:szCs w:val="22"/>
          <w:lang w:val="bg-BG"/>
        </w:rPr>
        <w:t xml:space="preserve"> </w:t>
      </w:r>
      <w:r w:rsidRPr="00E75C97">
        <w:rPr>
          <w:sz w:val="22"/>
          <w:szCs w:val="22"/>
          <w:lang w:val="bg-BG"/>
        </w:rPr>
        <w:t>съоръжения. В края на периода по мярката е отчетен най-висок % финансово изпълнение на бюджета (98.62%) от всички мерки, изпълнявани от публични бенефициенти. При постигнати 118.5% от заложените количествени цели относно обем</w:t>
      </w:r>
      <w:r w:rsidR="00F8421B" w:rsidRPr="00E75C97">
        <w:rPr>
          <w:sz w:val="22"/>
          <w:szCs w:val="22"/>
          <w:lang w:val="bg-BG"/>
        </w:rPr>
        <w:t>а</w:t>
      </w:r>
      <w:r w:rsidRPr="00E75C97">
        <w:rPr>
          <w:sz w:val="22"/>
          <w:szCs w:val="22"/>
          <w:lang w:val="bg-BG"/>
        </w:rPr>
        <w:t xml:space="preserve"> на инвестициите спрямо 93.4% по отношение </w:t>
      </w:r>
      <w:r w:rsidR="00F8421B" w:rsidRPr="00E75C97">
        <w:rPr>
          <w:sz w:val="22"/>
          <w:szCs w:val="22"/>
          <w:lang w:val="bg-BG"/>
        </w:rPr>
        <w:t xml:space="preserve">на </w:t>
      </w:r>
      <w:r w:rsidRPr="00E75C97">
        <w:rPr>
          <w:sz w:val="22"/>
          <w:szCs w:val="22"/>
          <w:lang w:val="bg-BG"/>
        </w:rPr>
        <w:t>броя подпомогнати населени места в рамките на 538 приключили с изплащане на окончателна субсидия проекти, мярката се оценява като успешно изпълнена с пряк ефект върху облагородяване на селските райони и подобряване качеството на живот на местното население, включително чрез създадените допълнителни работни места на пълен работен ден.</w:t>
      </w:r>
    </w:p>
    <w:p w14:paraId="35DD7793" w14:textId="77777777" w:rsidR="00F07F15" w:rsidRDefault="00F07F15" w:rsidP="00E8617E">
      <w:pPr>
        <w:pStyle w:val="DefaultText"/>
        <w:spacing w:after="120" w:line="300" w:lineRule="atLeast"/>
        <w:ind w:firstLine="709"/>
        <w:rPr>
          <w:sz w:val="22"/>
          <w:szCs w:val="22"/>
          <w:lang w:val="bg-BG"/>
        </w:rPr>
      </w:pPr>
    </w:p>
    <w:p w14:paraId="01084B3A" w14:textId="77777777" w:rsidR="00837873" w:rsidRPr="00BC513A" w:rsidRDefault="00837873" w:rsidP="00E8617E">
      <w:pPr>
        <w:pStyle w:val="DefaultText"/>
        <w:spacing w:after="120" w:line="300" w:lineRule="atLeast"/>
        <w:ind w:firstLine="709"/>
        <w:rPr>
          <w:sz w:val="22"/>
          <w:szCs w:val="22"/>
          <w:lang w:val="bg-BG"/>
        </w:rPr>
      </w:pPr>
    </w:p>
    <w:p w14:paraId="0C411979" w14:textId="77777777" w:rsidR="00E8617E" w:rsidRPr="00BC513A" w:rsidRDefault="00E8617E" w:rsidP="00E8617E">
      <w:pPr>
        <w:pStyle w:val="ListParagraph"/>
        <w:keepNext/>
        <w:numPr>
          <w:ilvl w:val="0"/>
          <w:numId w:val="47"/>
        </w:numPr>
        <w:spacing w:before="240" w:after="120"/>
        <w:ind w:left="709" w:hanging="507"/>
        <w:contextualSpacing w:val="0"/>
        <w:jc w:val="both"/>
        <w:rPr>
          <w:rFonts w:ascii="Arial" w:hAnsi="Arial" w:cs="Arial"/>
          <w:color w:val="0070C0"/>
        </w:rPr>
      </w:pPr>
      <w:r w:rsidRPr="00BC513A">
        <w:rPr>
          <w:rFonts w:ascii="Arial" w:hAnsi="Arial" w:cs="Arial"/>
          <w:color w:val="0070C0"/>
        </w:rPr>
        <w:t>Какви други въздействия, включително и тези, свързани с други цели/оси, са свързани с прилагането на съответната мярка (непреки, положителни/отрицателни въздействия върху бенефициентите, тези които не са бенефициенти, на местно равнище)?</w:t>
      </w:r>
      <w:r w:rsidRPr="00535876">
        <w:rPr>
          <w:vertAlign w:val="superscript"/>
        </w:rPr>
        <w:footnoteReference w:id="34"/>
      </w:r>
    </w:p>
    <w:p w14:paraId="387AECFB" w14:textId="2BD2AAFD"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По отношение на вътрешното съгласуване, в процеса на анализ и оценка се установиха следните взаимовръзки между отделните мерки в обхвата на </w:t>
      </w:r>
      <w:r w:rsidR="00990780">
        <w:rPr>
          <w:sz w:val="22"/>
          <w:szCs w:val="22"/>
          <w:lang w:val="bg-BG"/>
        </w:rPr>
        <w:t>ч</w:t>
      </w:r>
      <w:r w:rsidRPr="00BC513A">
        <w:rPr>
          <w:sz w:val="22"/>
          <w:szCs w:val="22"/>
          <w:lang w:val="bg-BG"/>
        </w:rPr>
        <w:t>лен 52(б) на Регламент 1698/2005:</w:t>
      </w:r>
    </w:p>
    <w:p w14:paraId="5EE23199" w14:textId="77777777" w:rsidR="00E8617E" w:rsidRPr="00BC513A" w:rsidRDefault="00E8617E" w:rsidP="00E8617E">
      <w:pPr>
        <w:spacing w:after="0" w:line="300" w:lineRule="atLeast"/>
        <w:jc w:val="both"/>
        <w:rPr>
          <w:rFonts w:ascii="Arial" w:hAnsi="Arial" w:cs="Arial"/>
          <w:b/>
          <w:color w:val="0070C0"/>
          <w:sz w:val="20"/>
          <w:szCs w:val="20"/>
        </w:rPr>
      </w:pPr>
      <w:bookmarkStart w:id="184" w:name="_Toc504136251"/>
      <w:r w:rsidRPr="00BC513A">
        <w:rPr>
          <w:rFonts w:ascii="Arial" w:hAnsi="Arial" w:cs="Arial"/>
          <w:b/>
          <w:color w:val="0070C0"/>
          <w:sz w:val="20"/>
          <w:szCs w:val="20"/>
        </w:rPr>
        <w:t xml:space="preserve">Таблица </w:t>
      </w:r>
      <w:r w:rsidRPr="00BC513A">
        <w:rPr>
          <w:rFonts w:ascii="Arial" w:hAnsi="Arial" w:cs="Arial"/>
          <w:b/>
          <w:color w:val="0070C0"/>
          <w:sz w:val="20"/>
          <w:szCs w:val="20"/>
        </w:rPr>
        <w:fldChar w:fldCharType="begin"/>
      </w:r>
      <w:r w:rsidRPr="00BC513A">
        <w:rPr>
          <w:rFonts w:ascii="Arial" w:hAnsi="Arial" w:cs="Arial"/>
          <w:b/>
          <w:color w:val="0070C0"/>
          <w:sz w:val="20"/>
          <w:szCs w:val="20"/>
        </w:rPr>
        <w:instrText xml:space="preserve"> SEQ Таблица \* ARABIC </w:instrText>
      </w:r>
      <w:r w:rsidRPr="00BC513A">
        <w:rPr>
          <w:rFonts w:ascii="Arial" w:hAnsi="Arial" w:cs="Arial"/>
          <w:b/>
          <w:color w:val="0070C0"/>
          <w:sz w:val="20"/>
          <w:szCs w:val="20"/>
        </w:rPr>
        <w:fldChar w:fldCharType="separate"/>
      </w:r>
      <w:r w:rsidR="0023010D">
        <w:rPr>
          <w:rFonts w:ascii="Arial" w:hAnsi="Arial" w:cs="Arial"/>
          <w:b/>
          <w:noProof/>
          <w:color w:val="0070C0"/>
          <w:sz w:val="20"/>
          <w:szCs w:val="20"/>
        </w:rPr>
        <w:t>79</w:t>
      </w:r>
      <w:r w:rsidRPr="00BC513A">
        <w:rPr>
          <w:rFonts w:ascii="Arial" w:hAnsi="Arial" w:cs="Arial"/>
          <w:b/>
          <w:color w:val="0070C0"/>
          <w:sz w:val="20"/>
          <w:szCs w:val="20"/>
        </w:rPr>
        <w:fldChar w:fldCharType="end"/>
      </w:r>
      <w:r w:rsidRPr="00BC513A">
        <w:rPr>
          <w:rFonts w:ascii="Arial" w:hAnsi="Arial" w:cs="Arial"/>
          <w:b/>
          <w:color w:val="0070C0"/>
          <w:sz w:val="20"/>
          <w:szCs w:val="20"/>
        </w:rPr>
        <w:t xml:space="preserve"> Взаимодействия между отделните мерки</w:t>
      </w:r>
      <w:bookmarkEnd w:id="184"/>
    </w:p>
    <w:tbl>
      <w:tblPr>
        <w:tblStyle w:val="TableGrid"/>
        <w:tblW w:w="8974" w:type="dxa"/>
        <w:tblLayout w:type="fixed"/>
        <w:tblLook w:val="04A0" w:firstRow="1" w:lastRow="0" w:firstColumn="1" w:lastColumn="0" w:noHBand="0" w:noVBand="1"/>
      </w:tblPr>
      <w:tblGrid>
        <w:gridCol w:w="5791"/>
        <w:gridCol w:w="1661"/>
        <w:gridCol w:w="1522"/>
      </w:tblGrid>
      <w:tr w:rsidR="00E8617E" w:rsidRPr="00BC513A" w14:paraId="60F2A0E5" w14:textId="77777777" w:rsidTr="00922731">
        <w:tc>
          <w:tcPr>
            <w:tcW w:w="5791" w:type="dxa"/>
            <w:shd w:val="clear" w:color="auto" w:fill="1F4E79"/>
          </w:tcPr>
          <w:p w14:paraId="2695A150" w14:textId="77777777" w:rsidR="00E8617E" w:rsidRPr="00BC513A" w:rsidRDefault="00E8617E" w:rsidP="00922731">
            <w:pPr>
              <w:jc w:val="right"/>
              <w:rPr>
                <w:rFonts w:ascii="Arial" w:hAnsi="Arial" w:cs="Arial"/>
                <w:b/>
                <w:color w:val="FFFFFF" w:themeColor="background1"/>
                <w:sz w:val="20"/>
                <w:szCs w:val="20"/>
              </w:rPr>
            </w:pPr>
            <w:r w:rsidRPr="00BC513A">
              <w:rPr>
                <w:rFonts w:ascii="Arial" w:hAnsi="Arial" w:cs="Arial"/>
                <w:b/>
                <w:color w:val="FFFFFF" w:themeColor="background1"/>
                <w:sz w:val="20"/>
                <w:szCs w:val="20"/>
              </w:rPr>
              <w:t>Мярка</w:t>
            </w:r>
          </w:p>
          <w:p w14:paraId="555A2EA9" w14:textId="77777777" w:rsidR="00E8617E" w:rsidRPr="00BC513A" w:rsidRDefault="00E8617E" w:rsidP="00922731">
            <w:pPr>
              <w:rPr>
                <w:rFonts w:ascii="Arial" w:hAnsi="Arial" w:cs="Arial"/>
                <w:b/>
                <w:color w:val="FFFFFF" w:themeColor="background1"/>
                <w:sz w:val="20"/>
                <w:szCs w:val="20"/>
              </w:rPr>
            </w:pPr>
          </w:p>
          <w:p w14:paraId="7FBCF6DC" w14:textId="77777777" w:rsidR="00E8617E" w:rsidRPr="00BC513A" w:rsidRDefault="00E8617E" w:rsidP="00922731">
            <w:pPr>
              <w:rPr>
                <w:rFonts w:ascii="Arial" w:hAnsi="Arial" w:cs="Arial"/>
                <w:b/>
                <w:color w:val="FFFFFF" w:themeColor="background1"/>
                <w:sz w:val="20"/>
                <w:szCs w:val="20"/>
                <w:lang w:eastAsia="de-DE"/>
              </w:rPr>
            </w:pPr>
            <w:r w:rsidRPr="00BC513A">
              <w:rPr>
                <w:rFonts w:ascii="Arial" w:hAnsi="Arial" w:cs="Arial"/>
                <w:b/>
                <w:color w:val="FFFFFF" w:themeColor="background1"/>
                <w:sz w:val="20"/>
                <w:szCs w:val="20"/>
              </w:rPr>
              <w:t>Оперативна цел/Въздействия</w:t>
            </w:r>
          </w:p>
        </w:tc>
        <w:tc>
          <w:tcPr>
            <w:tcW w:w="1661" w:type="dxa"/>
            <w:shd w:val="clear" w:color="auto" w:fill="1F4E79"/>
            <w:vAlign w:val="center"/>
          </w:tcPr>
          <w:p w14:paraId="0F576497" w14:textId="77777777" w:rsidR="00E8617E" w:rsidRPr="00BC513A" w:rsidRDefault="00E8617E" w:rsidP="00922731">
            <w:pPr>
              <w:jc w:val="center"/>
              <w:rPr>
                <w:rFonts w:ascii="Arial" w:hAnsi="Arial" w:cs="Arial"/>
                <w:color w:val="FFFFFF" w:themeColor="background1"/>
                <w:sz w:val="20"/>
                <w:szCs w:val="20"/>
              </w:rPr>
            </w:pPr>
            <w:r w:rsidRPr="00BC513A">
              <w:rPr>
                <w:rFonts w:ascii="Arial" w:hAnsi="Arial" w:cs="Arial"/>
                <w:color w:val="FFFFFF" w:themeColor="background1"/>
                <w:sz w:val="20"/>
                <w:szCs w:val="20"/>
              </w:rPr>
              <w:t>321</w:t>
            </w:r>
          </w:p>
        </w:tc>
        <w:tc>
          <w:tcPr>
            <w:tcW w:w="1522" w:type="dxa"/>
            <w:shd w:val="clear" w:color="auto" w:fill="1F4E79"/>
            <w:vAlign w:val="center"/>
          </w:tcPr>
          <w:p w14:paraId="26BAA257" w14:textId="77777777" w:rsidR="00E8617E" w:rsidRPr="00BC513A" w:rsidRDefault="00E8617E" w:rsidP="00922731">
            <w:pPr>
              <w:jc w:val="center"/>
              <w:rPr>
                <w:rFonts w:ascii="Arial" w:hAnsi="Arial" w:cs="Arial"/>
                <w:color w:val="FFFFFF" w:themeColor="background1"/>
                <w:sz w:val="20"/>
                <w:szCs w:val="20"/>
              </w:rPr>
            </w:pPr>
            <w:r w:rsidRPr="00BC513A">
              <w:rPr>
                <w:rFonts w:ascii="Arial" w:hAnsi="Arial" w:cs="Arial"/>
                <w:color w:val="FFFFFF" w:themeColor="background1"/>
                <w:sz w:val="20"/>
                <w:szCs w:val="20"/>
              </w:rPr>
              <w:t>322</w:t>
            </w:r>
          </w:p>
        </w:tc>
      </w:tr>
      <w:tr w:rsidR="00E8617E" w:rsidRPr="00BC513A" w14:paraId="2A994F2F" w14:textId="77777777" w:rsidTr="00922731">
        <w:tc>
          <w:tcPr>
            <w:tcW w:w="5791" w:type="dxa"/>
            <w:shd w:val="clear" w:color="auto" w:fill="DEEAF6"/>
          </w:tcPr>
          <w:p w14:paraId="5713615C" w14:textId="77777777" w:rsidR="00E8617E" w:rsidRPr="00BC513A" w:rsidRDefault="00E8617E" w:rsidP="00922731">
            <w:pPr>
              <w:spacing w:before="60" w:after="60"/>
              <w:rPr>
                <w:rFonts w:ascii="Arial" w:hAnsi="Arial" w:cs="Arial"/>
                <w:b/>
                <w:sz w:val="20"/>
                <w:szCs w:val="20"/>
                <w:lang w:eastAsia="de-DE"/>
              </w:rPr>
            </w:pPr>
            <w:r w:rsidRPr="00BC513A">
              <w:rPr>
                <w:rFonts w:ascii="Arial" w:hAnsi="Arial" w:cs="Arial"/>
                <w:sz w:val="20"/>
                <w:szCs w:val="20"/>
                <w:lang w:eastAsia="de-DE"/>
              </w:rPr>
              <w:t xml:space="preserve">Подобряване на достъпността и качеството на основните услуги и на инфраструктурата в селските райони </w:t>
            </w:r>
          </w:p>
        </w:tc>
        <w:tc>
          <w:tcPr>
            <w:tcW w:w="1661" w:type="dxa"/>
            <w:shd w:val="clear" w:color="auto" w:fill="DEEAF6"/>
            <w:vAlign w:val="center"/>
          </w:tcPr>
          <w:p w14:paraId="1D8ADD0B" w14:textId="77777777" w:rsidR="00E8617E" w:rsidRPr="00BC513A" w:rsidRDefault="00E8617E" w:rsidP="00922731">
            <w:pPr>
              <w:jc w:val="center"/>
            </w:pPr>
            <w:r w:rsidRPr="00BC513A">
              <w:sym w:font="Wingdings 2" w:char="F052"/>
            </w:r>
          </w:p>
        </w:tc>
        <w:tc>
          <w:tcPr>
            <w:tcW w:w="1522" w:type="dxa"/>
            <w:shd w:val="clear" w:color="auto" w:fill="DEEAF6"/>
            <w:vAlign w:val="center"/>
          </w:tcPr>
          <w:p w14:paraId="734EA192" w14:textId="77777777" w:rsidR="00E8617E" w:rsidRPr="00BC513A" w:rsidRDefault="00E8617E" w:rsidP="00922731">
            <w:pPr>
              <w:jc w:val="center"/>
            </w:pPr>
            <w:r w:rsidRPr="00BC513A">
              <w:sym w:font="Wingdings 2" w:char="F052"/>
            </w:r>
          </w:p>
        </w:tc>
      </w:tr>
      <w:tr w:rsidR="00E8617E" w:rsidRPr="00BC513A" w14:paraId="2584B8A1" w14:textId="77777777" w:rsidTr="00922731">
        <w:tc>
          <w:tcPr>
            <w:tcW w:w="5791" w:type="dxa"/>
            <w:shd w:val="clear" w:color="auto" w:fill="DEEAF6"/>
          </w:tcPr>
          <w:p w14:paraId="567F7C57" w14:textId="77777777" w:rsidR="00E8617E" w:rsidRPr="00BC513A" w:rsidRDefault="00E8617E" w:rsidP="00922731">
            <w:pPr>
              <w:spacing w:before="60" w:after="60"/>
              <w:rPr>
                <w:rFonts w:ascii="Arial" w:hAnsi="Arial" w:cs="Arial"/>
                <w:sz w:val="20"/>
                <w:szCs w:val="20"/>
                <w:lang w:eastAsia="de-DE"/>
              </w:rPr>
            </w:pPr>
            <w:r w:rsidRPr="00BC513A">
              <w:rPr>
                <w:rFonts w:ascii="Arial" w:hAnsi="Arial" w:cs="Arial"/>
                <w:sz w:val="20"/>
                <w:szCs w:val="20"/>
                <w:lang w:eastAsia="de-DE"/>
              </w:rPr>
              <w:t>Икономически растеж</w:t>
            </w:r>
          </w:p>
        </w:tc>
        <w:tc>
          <w:tcPr>
            <w:tcW w:w="1661" w:type="dxa"/>
            <w:shd w:val="clear" w:color="auto" w:fill="DEEAF6"/>
            <w:vAlign w:val="center"/>
          </w:tcPr>
          <w:p w14:paraId="73D1ED45" w14:textId="77777777" w:rsidR="00E8617E" w:rsidRPr="00BC513A" w:rsidRDefault="00E8617E" w:rsidP="00922731">
            <w:pPr>
              <w:jc w:val="center"/>
            </w:pPr>
            <w:r w:rsidRPr="00BC513A">
              <w:sym w:font="Wingdings 2" w:char="F052"/>
            </w:r>
          </w:p>
        </w:tc>
        <w:tc>
          <w:tcPr>
            <w:tcW w:w="1522" w:type="dxa"/>
            <w:shd w:val="clear" w:color="auto" w:fill="DEEAF6"/>
            <w:vAlign w:val="center"/>
          </w:tcPr>
          <w:p w14:paraId="57885DD6" w14:textId="77777777" w:rsidR="00E8617E" w:rsidRPr="00BC513A" w:rsidRDefault="00E8617E" w:rsidP="00922731">
            <w:pPr>
              <w:jc w:val="center"/>
            </w:pPr>
            <w:r w:rsidRPr="00BC513A">
              <w:sym w:font="Wingdings 2" w:char="F052"/>
            </w:r>
          </w:p>
        </w:tc>
      </w:tr>
      <w:tr w:rsidR="00E8617E" w:rsidRPr="00BC513A" w14:paraId="6163FD23" w14:textId="77777777" w:rsidTr="00922731">
        <w:tc>
          <w:tcPr>
            <w:tcW w:w="5791" w:type="dxa"/>
            <w:shd w:val="clear" w:color="auto" w:fill="auto"/>
          </w:tcPr>
          <w:p w14:paraId="6FABC2D1" w14:textId="77777777" w:rsidR="00E8617E" w:rsidRPr="00BC513A" w:rsidRDefault="00E8617E" w:rsidP="00922731">
            <w:pPr>
              <w:rPr>
                <w:rFonts w:ascii="Arial" w:hAnsi="Arial" w:cs="Arial"/>
                <w:sz w:val="20"/>
                <w:szCs w:val="20"/>
                <w:lang w:eastAsia="de-DE"/>
              </w:rPr>
            </w:pPr>
            <w:r w:rsidRPr="00BC513A">
              <w:rPr>
                <w:rFonts w:ascii="Arial" w:hAnsi="Arial" w:cs="Arial"/>
                <w:sz w:val="20"/>
                <w:szCs w:val="20"/>
                <w:lang w:eastAsia="de-DE"/>
              </w:rPr>
              <w:t>Население, ползващо подобрените услуги</w:t>
            </w:r>
          </w:p>
        </w:tc>
        <w:tc>
          <w:tcPr>
            <w:tcW w:w="1661" w:type="dxa"/>
            <w:shd w:val="clear" w:color="auto" w:fill="auto"/>
            <w:vAlign w:val="center"/>
          </w:tcPr>
          <w:p w14:paraId="2B5DACF6" w14:textId="77777777" w:rsidR="00E8617E" w:rsidRPr="00BC513A" w:rsidRDefault="00E8617E" w:rsidP="00922731">
            <w:pPr>
              <w:jc w:val="center"/>
            </w:pPr>
            <w:r w:rsidRPr="00BC513A">
              <w:sym w:font="Wingdings 2" w:char="F052"/>
            </w:r>
          </w:p>
        </w:tc>
        <w:tc>
          <w:tcPr>
            <w:tcW w:w="1522" w:type="dxa"/>
            <w:shd w:val="clear" w:color="auto" w:fill="auto"/>
            <w:vAlign w:val="center"/>
          </w:tcPr>
          <w:p w14:paraId="43C11589" w14:textId="77777777" w:rsidR="00E8617E" w:rsidRPr="00BC513A" w:rsidRDefault="00E8617E" w:rsidP="00922731">
            <w:pPr>
              <w:jc w:val="center"/>
            </w:pPr>
            <w:r w:rsidRPr="00BC513A">
              <w:sym w:font="Wingdings 2" w:char="F052"/>
            </w:r>
          </w:p>
        </w:tc>
      </w:tr>
      <w:tr w:rsidR="00E8617E" w:rsidRPr="00BC513A" w14:paraId="3DA9CA1F" w14:textId="77777777" w:rsidTr="00922731">
        <w:tc>
          <w:tcPr>
            <w:tcW w:w="5791" w:type="dxa"/>
            <w:shd w:val="clear" w:color="auto" w:fill="auto"/>
          </w:tcPr>
          <w:p w14:paraId="53F315C9" w14:textId="77777777" w:rsidR="00E8617E" w:rsidRPr="00BC513A" w:rsidRDefault="00E8617E" w:rsidP="00922731">
            <w:pPr>
              <w:rPr>
                <w:rFonts w:ascii="Arial" w:hAnsi="Arial" w:cs="Arial"/>
                <w:sz w:val="20"/>
                <w:szCs w:val="20"/>
                <w:lang w:eastAsia="de-DE"/>
              </w:rPr>
            </w:pPr>
            <w:r w:rsidRPr="00BC513A">
              <w:rPr>
                <w:rFonts w:ascii="Arial" w:hAnsi="Arial" w:cs="Arial"/>
                <w:sz w:val="20"/>
                <w:szCs w:val="20"/>
                <w:lang w:eastAsia="de-DE"/>
              </w:rPr>
              <w:t>Повишаване на обхвата на ИКТ в селските райони</w:t>
            </w:r>
          </w:p>
        </w:tc>
        <w:tc>
          <w:tcPr>
            <w:tcW w:w="1661" w:type="dxa"/>
            <w:shd w:val="clear" w:color="auto" w:fill="auto"/>
            <w:vAlign w:val="center"/>
          </w:tcPr>
          <w:p w14:paraId="2F979357" w14:textId="77777777" w:rsidR="00E8617E" w:rsidRPr="00BC513A" w:rsidRDefault="00E8617E" w:rsidP="00922731">
            <w:pPr>
              <w:jc w:val="center"/>
            </w:pPr>
            <w:r w:rsidRPr="00BC513A">
              <w:sym w:font="Wingdings 2" w:char="F051"/>
            </w:r>
          </w:p>
        </w:tc>
        <w:tc>
          <w:tcPr>
            <w:tcW w:w="1522" w:type="dxa"/>
            <w:shd w:val="clear" w:color="auto" w:fill="auto"/>
            <w:vAlign w:val="center"/>
          </w:tcPr>
          <w:p w14:paraId="64FC49D8" w14:textId="77777777" w:rsidR="00E8617E" w:rsidRPr="00BC513A" w:rsidRDefault="00E8617E" w:rsidP="00922731">
            <w:pPr>
              <w:jc w:val="center"/>
            </w:pPr>
            <w:r w:rsidRPr="00BC513A">
              <w:rPr>
                <w:rFonts w:ascii="Arial" w:hAnsi="Arial" w:cs="Arial"/>
                <w:sz w:val="20"/>
                <w:szCs w:val="20"/>
              </w:rPr>
              <w:t>-</w:t>
            </w:r>
          </w:p>
        </w:tc>
      </w:tr>
      <w:tr w:rsidR="00E8617E" w:rsidRPr="00BC513A" w14:paraId="69E2814B" w14:textId="77777777" w:rsidTr="00922731">
        <w:tc>
          <w:tcPr>
            <w:tcW w:w="5791" w:type="dxa"/>
            <w:shd w:val="clear" w:color="auto" w:fill="auto"/>
          </w:tcPr>
          <w:p w14:paraId="35BBDB42" w14:textId="77777777" w:rsidR="00E8617E" w:rsidRPr="00BC513A" w:rsidRDefault="00E8617E" w:rsidP="00922731">
            <w:pPr>
              <w:rPr>
                <w:rFonts w:ascii="Arial" w:hAnsi="Arial" w:cs="Arial"/>
                <w:sz w:val="20"/>
                <w:szCs w:val="20"/>
                <w:lang w:eastAsia="de-DE"/>
              </w:rPr>
            </w:pPr>
            <w:r w:rsidRPr="00BC513A">
              <w:t>Създадени работни места</w:t>
            </w:r>
          </w:p>
        </w:tc>
        <w:tc>
          <w:tcPr>
            <w:tcW w:w="1661" w:type="dxa"/>
            <w:shd w:val="clear" w:color="auto" w:fill="auto"/>
            <w:vAlign w:val="center"/>
          </w:tcPr>
          <w:p w14:paraId="02D73E35" w14:textId="77777777" w:rsidR="00E8617E" w:rsidRPr="00BC513A" w:rsidRDefault="00E8617E" w:rsidP="00922731">
            <w:pPr>
              <w:jc w:val="center"/>
            </w:pPr>
            <w:r w:rsidRPr="00BC513A">
              <w:sym w:font="Wingdings 2" w:char="F052"/>
            </w:r>
          </w:p>
        </w:tc>
        <w:tc>
          <w:tcPr>
            <w:tcW w:w="1522" w:type="dxa"/>
            <w:shd w:val="clear" w:color="auto" w:fill="auto"/>
            <w:vAlign w:val="center"/>
          </w:tcPr>
          <w:p w14:paraId="167A38D2" w14:textId="77777777" w:rsidR="00E8617E" w:rsidRPr="00BC513A" w:rsidRDefault="00E8617E" w:rsidP="00922731">
            <w:pPr>
              <w:jc w:val="center"/>
              <w:rPr>
                <w:rFonts w:ascii="Arial" w:hAnsi="Arial" w:cs="Arial"/>
                <w:sz w:val="20"/>
                <w:szCs w:val="20"/>
              </w:rPr>
            </w:pPr>
            <w:r w:rsidRPr="00BC513A">
              <w:sym w:font="Wingdings 2" w:char="F052"/>
            </w:r>
          </w:p>
        </w:tc>
      </w:tr>
    </w:tbl>
    <w:p w14:paraId="31870326" w14:textId="77777777" w:rsidR="00E8617E" w:rsidRPr="00F07F15" w:rsidRDefault="00E8617E" w:rsidP="00EF0C92">
      <w:pPr>
        <w:spacing w:after="240" w:line="240" w:lineRule="auto"/>
        <w:rPr>
          <w:rFonts w:ascii="Arial" w:hAnsi="Arial" w:cs="Arial"/>
          <w:sz w:val="18"/>
          <w:szCs w:val="18"/>
        </w:rPr>
      </w:pPr>
      <w:r w:rsidRPr="00F07F15">
        <w:rPr>
          <w:rFonts w:ascii="Arial" w:hAnsi="Arial" w:cs="Arial"/>
          <w:sz w:val="18"/>
          <w:szCs w:val="18"/>
        </w:rPr>
        <w:sym w:font="Wingdings 2" w:char="F052"/>
      </w:r>
      <w:r w:rsidRPr="00F07F15">
        <w:rPr>
          <w:rFonts w:ascii="Arial" w:hAnsi="Arial" w:cs="Arial"/>
          <w:sz w:val="18"/>
          <w:szCs w:val="18"/>
        </w:rPr>
        <w:t xml:space="preserve"> - установена е взаимовръзка</w:t>
      </w:r>
      <w:r w:rsidR="00EF0C92">
        <w:rPr>
          <w:rFonts w:ascii="Arial" w:hAnsi="Arial" w:cs="Arial"/>
          <w:sz w:val="18"/>
          <w:szCs w:val="18"/>
        </w:rPr>
        <w:t xml:space="preserve">; </w:t>
      </w:r>
      <w:r w:rsidRPr="00F07F15">
        <w:rPr>
          <w:rFonts w:ascii="Arial" w:hAnsi="Arial" w:cs="Arial"/>
          <w:sz w:val="18"/>
          <w:szCs w:val="18"/>
        </w:rPr>
        <w:sym w:font="Wingdings 2" w:char="F051"/>
      </w:r>
      <w:r w:rsidRPr="00F07F15">
        <w:rPr>
          <w:rFonts w:ascii="Arial" w:hAnsi="Arial" w:cs="Arial"/>
          <w:sz w:val="18"/>
          <w:szCs w:val="18"/>
        </w:rPr>
        <w:t xml:space="preserve"> - няма връзка</w:t>
      </w:r>
      <w:r w:rsidR="00EF0C92">
        <w:rPr>
          <w:rFonts w:ascii="Arial" w:hAnsi="Arial" w:cs="Arial"/>
          <w:sz w:val="18"/>
          <w:szCs w:val="18"/>
        </w:rPr>
        <w:t xml:space="preserve">; </w:t>
      </w:r>
      <w:r w:rsidRPr="00F07F15">
        <w:rPr>
          <w:rFonts w:ascii="Arial" w:hAnsi="Arial" w:cs="Arial"/>
          <w:sz w:val="18"/>
          <w:szCs w:val="18"/>
        </w:rPr>
        <w:sym w:font="Symbol" w:char="F02D"/>
      </w:r>
      <w:r w:rsidRPr="00F07F15">
        <w:rPr>
          <w:rFonts w:ascii="Arial" w:hAnsi="Arial" w:cs="Arial"/>
          <w:sz w:val="18"/>
          <w:szCs w:val="18"/>
        </w:rPr>
        <w:t xml:space="preserve"> не се търси връзка</w:t>
      </w:r>
    </w:p>
    <w:p w14:paraId="239087AC" w14:textId="4BF688BF"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В допълнение, прилагането на мерките има положително въздействие освен за икономическото развитие и създаването на заетост в населените места, така също и във връзка с опазването на околната среда с акцент върху подобряване качеството на водите и опазване чистотата на почвите. </w:t>
      </w:r>
    </w:p>
    <w:p w14:paraId="7AB1942B" w14:textId="77777777" w:rsidR="00E8617E" w:rsidRPr="00BC513A" w:rsidRDefault="00E8617E" w:rsidP="00E8617E">
      <w:pPr>
        <w:pStyle w:val="DefaultText"/>
        <w:spacing w:after="120" w:line="300" w:lineRule="atLeast"/>
        <w:ind w:firstLine="708"/>
        <w:rPr>
          <w:b/>
          <w:sz w:val="22"/>
          <w:szCs w:val="22"/>
          <w:lang w:val="bg-BG"/>
        </w:rPr>
      </w:pPr>
      <w:r w:rsidRPr="00BC513A">
        <w:rPr>
          <w:b/>
          <w:sz w:val="22"/>
          <w:szCs w:val="22"/>
          <w:lang w:val="bg-BG"/>
        </w:rPr>
        <w:t>Въздействия на съответните схеми:</w:t>
      </w:r>
    </w:p>
    <w:p w14:paraId="098E28CA" w14:textId="77777777" w:rsidR="00E8617E" w:rsidRPr="00BC513A" w:rsidRDefault="00E8617E" w:rsidP="00E8617E">
      <w:pPr>
        <w:pStyle w:val="DefaultText"/>
        <w:spacing w:after="120" w:line="300" w:lineRule="atLeast"/>
        <w:ind w:firstLine="708"/>
        <w:rPr>
          <w:i/>
          <w:sz w:val="22"/>
          <w:szCs w:val="22"/>
          <w:lang w:val="bg-BG"/>
        </w:rPr>
      </w:pPr>
      <w:r w:rsidRPr="00BC513A">
        <w:rPr>
          <w:i/>
          <w:sz w:val="22"/>
          <w:szCs w:val="22"/>
          <w:lang w:val="bg-BG"/>
        </w:rPr>
        <w:t>321. Основни услуги за населението и икономиката в селските райони</w:t>
      </w:r>
    </w:p>
    <w:p w14:paraId="2DBF87E7"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При прилагането на мярка 321 се наблюдават следните въздействия върху бенефициентите, пряко свързани с целите на останалите 3 оси:</w:t>
      </w:r>
    </w:p>
    <w:p w14:paraId="27CD7D70" w14:textId="68514163" w:rsidR="00E8617E" w:rsidRPr="00BC513A" w:rsidRDefault="00E8617E" w:rsidP="00E8617E">
      <w:pPr>
        <w:pStyle w:val="DefaultText"/>
        <w:numPr>
          <w:ilvl w:val="0"/>
          <w:numId w:val="48"/>
        </w:numPr>
        <w:spacing w:after="120" w:line="300" w:lineRule="atLeast"/>
        <w:rPr>
          <w:sz w:val="22"/>
          <w:szCs w:val="22"/>
          <w:lang w:val="bg-BG"/>
        </w:rPr>
      </w:pPr>
      <w:r w:rsidRPr="00BC513A">
        <w:rPr>
          <w:sz w:val="22"/>
          <w:szCs w:val="22"/>
          <w:lang w:val="bg-BG"/>
        </w:rPr>
        <w:t>Ос 1 – наличието на модернизирана техническа инфраструктура в населените места, съпътствано с подобрена мобилност и осигурен  достъп до обществени услуги</w:t>
      </w:r>
      <w:r w:rsidR="00990780">
        <w:rPr>
          <w:sz w:val="22"/>
          <w:szCs w:val="22"/>
          <w:lang w:val="bg-BG"/>
        </w:rPr>
        <w:t>,</w:t>
      </w:r>
      <w:r w:rsidRPr="00BC513A">
        <w:rPr>
          <w:sz w:val="22"/>
          <w:szCs w:val="22"/>
          <w:lang w:val="bg-BG"/>
        </w:rPr>
        <w:t xml:space="preserve"> е категорична предпоставка за повишаване конкурентоспособността и потенциала на земеделския, горския и хранително-вкусовия сектор в селските райони;</w:t>
      </w:r>
    </w:p>
    <w:p w14:paraId="11520755" w14:textId="77777777" w:rsidR="00E8617E" w:rsidRPr="00BC513A" w:rsidRDefault="00E8617E" w:rsidP="00E8617E">
      <w:pPr>
        <w:pStyle w:val="DefaultText"/>
        <w:numPr>
          <w:ilvl w:val="0"/>
          <w:numId w:val="48"/>
        </w:numPr>
        <w:spacing w:after="120" w:line="300" w:lineRule="atLeast"/>
        <w:rPr>
          <w:sz w:val="22"/>
          <w:szCs w:val="22"/>
          <w:lang w:val="bg-BG"/>
        </w:rPr>
      </w:pPr>
      <w:r w:rsidRPr="00BC513A">
        <w:rPr>
          <w:sz w:val="22"/>
          <w:szCs w:val="22"/>
          <w:lang w:val="bg-BG"/>
        </w:rPr>
        <w:t>Ос 2 – чрез публичните инвестициите в рехабилитация и подновяване на  ВиК мрежи и съоръжения в населените места са предприети конкретни мерки с директен ефект, гарантиращ опазването и защитата на природните ресурси – почви и води на територията на селските общини в Р България;</w:t>
      </w:r>
    </w:p>
    <w:p w14:paraId="12F012F6" w14:textId="4BE8E340" w:rsidR="00E8617E" w:rsidRPr="00BC513A" w:rsidRDefault="00E8617E" w:rsidP="00E8617E">
      <w:pPr>
        <w:pStyle w:val="DefaultText"/>
        <w:numPr>
          <w:ilvl w:val="0"/>
          <w:numId w:val="48"/>
        </w:numPr>
        <w:spacing w:after="120" w:line="300" w:lineRule="atLeast"/>
        <w:rPr>
          <w:sz w:val="22"/>
          <w:szCs w:val="22"/>
          <w:lang w:val="bg-BG"/>
        </w:rPr>
      </w:pPr>
      <w:r w:rsidRPr="00BC513A">
        <w:rPr>
          <w:sz w:val="22"/>
          <w:szCs w:val="22"/>
          <w:lang w:val="bg-BG"/>
        </w:rPr>
        <w:t>Ос 4 –прилагането на стратегиите за местно развитие, изпълнявани от МИГ по ЛИДЕР има допълващ ефект към реализираните проекти на бенефициентите по мярката, като по този начин се гарантира устойчивост и създаване на добри практики на местната територия, видно от представената фигура</w:t>
      </w:r>
    </w:p>
    <w:p w14:paraId="1F141AFF" w14:textId="3D4FD68E"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Въздействията от прилагането на мярката са положителни и със значителен ефект както за самите бенефициенти на местно равнище, така и извън пределите на конкретна територия, поради допълващата синергия с цялостното въздействие на </w:t>
      </w:r>
      <w:r w:rsidR="000F57E9">
        <w:rPr>
          <w:sz w:val="22"/>
          <w:szCs w:val="22"/>
          <w:lang w:val="bg-BG"/>
        </w:rPr>
        <w:t>п</w:t>
      </w:r>
      <w:r w:rsidRPr="00BC513A">
        <w:rPr>
          <w:sz w:val="22"/>
          <w:szCs w:val="22"/>
          <w:lang w:val="bg-BG"/>
        </w:rPr>
        <w:t xml:space="preserve">рограмата по отношение подобряване качеството на живот за целите на прекъсване повишаващата се тенденция към икономически и социален упадък в селските райони.  </w:t>
      </w:r>
    </w:p>
    <w:p w14:paraId="615C61E1" w14:textId="77777777" w:rsidR="00E8617E" w:rsidRPr="00BC513A" w:rsidRDefault="00E8617E" w:rsidP="00F07F15">
      <w:pPr>
        <w:pStyle w:val="DefaultText"/>
        <w:keepNext/>
        <w:spacing w:before="240" w:after="120" w:line="300" w:lineRule="atLeast"/>
        <w:ind w:firstLine="709"/>
        <w:rPr>
          <w:i/>
          <w:sz w:val="22"/>
          <w:szCs w:val="22"/>
          <w:lang w:val="bg-BG"/>
        </w:rPr>
      </w:pPr>
      <w:r w:rsidRPr="00BC513A">
        <w:rPr>
          <w:i/>
          <w:sz w:val="22"/>
          <w:szCs w:val="22"/>
          <w:lang w:val="bg-BG"/>
        </w:rPr>
        <w:t>322. Обновяване и развитие на населените места</w:t>
      </w:r>
    </w:p>
    <w:p w14:paraId="3023EC40"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Мярка 322 има следните въздействия по отношение принос към постигане целите на ос 1 и 4 от ПРСР 2007-2013, както следва:</w:t>
      </w:r>
    </w:p>
    <w:p w14:paraId="6D2B2239" w14:textId="3AE6E7BE" w:rsidR="00E8617E" w:rsidRPr="00BC513A" w:rsidRDefault="00E8617E" w:rsidP="00E8617E">
      <w:pPr>
        <w:pStyle w:val="DefaultText"/>
        <w:numPr>
          <w:ilvl w:val="0"/>
          <w:numId w:val="48"/>
        </w:numPr>
        <w:spacing w:after="120" w:line="300" w:lineRule="atLeast"/>
        <w:rPr>
          <w:sz w:val="22"/>
          <w:szCs w:val="22"/>
          <w:lang w:val="bg-BG"/>
        </w:rPr>
      </w:pPr>
      <w:r w:rsidRPr="00BC513A">
        <w:rPr>
          <w:sz w:val="22"/>
          <w:szCs w:val="22"/>
          <w:lang w:val="bg-BG"/>
        </w:rPr>
        <w:t>Ос 1 – осигуряването на достъпност и привлекателност на населените места, в т.ч. чрез предприетите мерки за облагородяване на обществените пространства, е съществен елемент от условията за развиване и разнообразяване на икономическата дейност в селските райони, с което допринася към възможностите за създаване на конкурентна среда на местно равнище;</w:t>
      </w:r>
    </w:p>
    <w:p w14:paraId="2ACCCFC8" w14:textId="77777777" w:rsidR="00E8617E" w:rsidRPr="00BC513A" w:rsidRDefault="00E8617E" w:rsidP="00E8617E">
      <w:pPr>
        <w:pStyle w:val="DefaultText"/>
        <w:numPr>
          <w:ilvl w:val="0"/>
          <w:numId w:val="48"/>
        </w:numPr>
        <w:spacing w:after="120" w:line="300" w:lineRule="atLeast"/>
        <w:rPr>
          <w:sz w:val="22"/>
          <w:szCs w:val="22"/>
          <w:lang w:val="bg-BG"/>
        </w:rPr>
      </w:pPr>
      <w:r w:rsidRPr="00BC513A">
        <w:rPr>
          <w:sz w:val="22"/>
          <w:szCs w:val="22"/>
          <w:lang w:val="bg-BG"/>
        </w:rPr>
        <w:t xml:space="preserve">Ос 4 – подобно на Мярка 321, прилагането на стратегиите за местно развитие, изпълнявани от МИГ по ЛИДЕР има допълващ ефект към реализираните проекти на бенефициентите по мярка 322, като по този начин се гарантира устойчивост и създаване на добри практики на местната територия. </w:t>
      </w:r>
    </w:p>
    <w:p w14:paraId="0E4BF4DD" w14:textId="2BE85C52"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Въздействията от прилагането на мярката са положителни и със значителен ефект както за самите бенефициенти на местно равнище, така и извън пределите на конкретна територия, поради допълващата синергия с цялостното въздействие на </w:t>
      </w:r>
      <w:r w:rsidR="000F57E9">
        <w:rPr>
          <w:sz w:val="22"/>
          <w:szCs w:val="22"/>
          <w:lang w:val="bg-BG"/>
        </w:rPr>
        <w:t>п</w:t>
      </w:r>
      <w:r w:rsidRPr="00BC513A">
        <w:rPr>
          <w:sz w:val="22"/>
          <w:szCs w:val="22"/>
          <w:lang w:val="bg-BG"/>
        </w:rPr>
        <w:t>рограмата по отношение повишаване привлекателността на селските райони чрез цялостното им обновяване и развитие.</w:t>
      </w:r>
    </w:p>
    <w:p w14:paraId="12FD8786" w14:textId="5F7D113E" w:rsidR="00E8617E" w:rsidRPr="00BC513A" w:rsidRDefault="00E8617E" w:rsidP="00840BE9">
      <w:pPr>
        <w:pStyle w:val="Heading3"/>
        <w:numPr>
          <w:ilvl w:val="0"/>
          <w:numId w:val="0"/>
        </w:numPr>
        <w:shd w:val="clear" w:color="auto" w:fill="FFF2CC" w:themeFill="accent4" w:themeFillTint="33"/>
        <w:tabs>
          <w:tab w:val="left" w:pos="709"/>
        </w:tabs>
        <w:spacing w:before="480" w:after="0"/>
        <w:ind w:left="709" w:hanging="811"/>
      </w:pPr>
      <w:bookmarkStart w:id="185" w:name="_Toc504136158"/>
      <w:r w:rsidRPr="00BC513A">
        <w:t>О</w:t>
      </w:r>
      <w:r w:rsidR="003A0F89">
        <w:t>с</w:t>
      </w:r>
      <w:r w:rsidRPr="00BC513A">
        <w:t xml:space="preserve"> 4: ЛИДЕР</w:t>
      </w:r>
      <w:bookmarkEnd w:id="185"/>
      <w:r w:rsidRPr="00BC513A">
        <w:t xml:space="preserve"> </w:t>
      </w:r>
    </w:p>
    <w:p w14:paraId="2344CCDD" w14:textId="77777777" w:rsidR="00E8617E" w:rsidRPr="00BC513A" w:rsidRDefault="00E8617E" w:rsidP="00E8617E">
      <w:pPr>
        <w:numPr>
          <w:ilvl w:val="0"/>
          <w:numId w:val="20"/>
        </w:numPr>
        <w:spacing w:before="240" w:after="120" w:line="300" w:lineRule="exact"/>
        <w:ind w:left="714" w:hanging="357"/>
        <w:jc w:val="both"/>
        <w:rPr>
          <w:rFonts w:ascii="Arial" w:hAnsi="Arial" w:cs="Arial"/>
          <w:color w:val="0070C0"/>
        </w:rPr>
      </w:pPr>
      <w:r w:rsidRPr="00BC513A">
        <w:rPr>
          <w:rFonts w:ascii="Arial" w:hAnsi="Arial" w:cs="Arial"/>
          <w:color w:val="0070C0"/>
        </w:rPr>
        <w:t>До каква степен ПРСР е допринесла за изграждането на местния капацитет  за наемане и разнообразяване чрез ЛИДЕР? (</w:t>
      </w:r>
      <w:r w:rsidRPr="00BC513A">
        <w:rPr>
          <w:rFonts w:ascii="Arial" w:hAnsi="Arial" w:cs="Arial"/>
          <w:i/>
          <w:color w:val="0070C0"/>
        </w:rPr>
        <w:t>Стратегически приоритет на Общността</w:t>
      </w:r>
      <w:r w:rsidRPr="00BC513A">
        <w:rPr>
          <w:rFonts w:ascii="Arial" w:hAnsi="Arial" w:cs="Arial"/>
          <w:color w:val="0070C0"/>
        </w:rPr>
        <w:t>)</w:t>
      </w:r>
    </w:p>
    <w:p w14:paraId="21740212"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Главна цел на подкрепата по ос 4 е създаването на устойчив капацитет на местно равнище за определяне на местна политика за развитие на селските райони, както и за нейното изпълнение, контрол и оценка. </w:t>
      </w:r>
    </w:p>
    <w:p w14:paraId="7A802076" w14:textId="3A832251"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Създаденият капацитет чрез прилагане на ЛИДЕР може да се разглежда в два аспекта – (1) капацитет, създаден в самите МИГ</w:t>
      </w:r>
      <w:r w:rsidR="00990780">
        <w:rPr>
          <w:rFonts w:cs="Arial"/>
          <w:sz w:val="22"/>
          <w:szCs w:val="22"/>
          <w:lang w:val="bg-BG"/>
        </w:rPr>
        <w:t>,</w:t>
      </w:r>
      <w:r w:rsidRPr="00BC513A">
        <w:rPr>
          <w:rFonts w:cs="Arial"/>
          <w:sz w:val="22"/>
          <w:szCs w:val="22"/>
          <w:lang w:val="bg-BG"/>
        </w:rPr>
        <w:t xml:space="preserve"> и (2) капацитет, създаден в следствие изпълнение на проекти към МИГ. </w:t>
      </w:r>
    </w:p>
    <w:p w14:paraId="206A4A5A"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Изграждането на административен капацитет започва с прилагането на подмярка 431-2 „</w:t>
      </w:r>
      <w:r w:rsidRPr="00BC513A">
        <w:rPr>
          <w:rFonts w:cs="Arial"/>
          <w:i/>
          <w:sz w:val="22"/>
          <w:szCs w:val="22"/>
          <w:lang w:val="bg-BG"/>
        </w:rPr>
        <w:t>Придобиване на умения и постигане на обществена активност на съответните територии за потенциални местни инициативни групи в селските райони</w:t>
      </w:r>
      <w:r w:rsidRPr="00BC513A">
        <w:rPr>
          <w:rFonts w:cs="Arial"/>
          <w:sz w:val="22"/>
          <w:szCs w:val="22"/>
          <w:lang w:val="bg-BG"/>
        </w:rPr>
        <w:t>“. Мярката е необходима, тъй като България като нова държава-членка не е прилагала ЛИДЕР до момента и има нужда от стимулиране на интерес и изграждане на капацитет в местните общности. Целта на мярката е:</w:t>
      </w:r>
    </w:p>
    <w:p w14:paraId="28B31F5C" w14:textId="77777777" w:rsidR="00E8617E" w:rsidRPr="00BC513A" w:rsidRDefault="00E8617E" w:rsidP="00E8617E">
      <w:pPr>
        <w:pStyle w:val="DefaultText"/>
        <w:numPr>
          <w:ilvl w:val="0"/>
          <w:numId w:val="28"/>
        </w:numPr>
        <w:spacing w:after="120" w:line="300" w:lineRule="atLeast"/>
        <w:ind w:left="993" w:hanging="426"/>
        <w:rPr>
          <w:rFonts w:cs="Arial"/>
          <w:sz w:val="22"/>
          <w:szCs w:val="22"/>
          <w:lang w:val="bg-BG"/>
        </w:rPr>
      </w:pPr>
      <w:r w:rsidRPr="00BC513A">
        <w:rPr>
          <w:rFonts w:cs="Arial"/>
          <w:sz w:val="22"/>
          <w:szCs w:val="22"/>
          <w:lang w:val="bg-BG"/>
        </w:rPr>
        <w:t>Да подкрепи появата на местни инициативни групи в селските райони;</w:t>
      </w:r>
    </w:p>
    <w:p w14:paraId="7AC6DCE4" w14:textId="77777777" w:rsidR="00E8617E" w:rsidRPr="00BC513A" w:rsidRDefault="00E8617E" w:rsidP="00E8617E">
      <w:pPr>
        <w:pStyle w:val="DefaultText"/>
        <w:numPr>
          <w:ilvl w:val="0"/>
          <w:numId w:val="28"/>
        </w:numPr>
        <w:spacing w:after="120" w:line="300" w:lineRule="atLeast"/>
        <w:ind w:left="993" w:hanging="426"/>
        <w:rPr>
          <w:rFonts w:cs="Arial"/>
          <w:sz w:val="22"/>
          <w:szCs w:val="22"/>
          <w:lang w:val="bg-BG"/>
        </w:rPr>
      </w:pPr>
      <w:r w:rsidRPr="00BC513A">
        <w:rPr>
          <w:rFonts w:cs="Arial"/>
          <w:sz w:val="22"/>
          <w:szCs w:val="22"/>
          <w:lang w:val="bg-BG"/>
        </w:rPr>
        <w:t>Да подкрепи придобиването на умения за създаване и функциониране на такива групи на местно ниво;</w:t>
      </w:r>
    </w:p>
    <w:p w14:paraId="3A151A2E" w14:textId="77777777" w:rsidR="00E8617E" w:rsidRPr="00BC513A" w:rsidRDefault="00E8617E" w:rsidP="00E8617E">
      <w:pPr>
        <w:pStyle w:val="DefaultText"/>
        <w:numPr>
          <w:ilvl w:val="0"/>
          <w:numId w:val="28"/>
        </w:numPr>
        <w:spacing w:after="120" w:line="300" w:lineRule="atLeast"/>
        <w:ind w:left="993" w:hanging="426"/>
        <w:rPr>
          <w:rFonts w:cs="Arial"/>
          <w:sz w:val="22"/>
          <w:szCs w:val="22"/>
          <w:lang w:val="bg-BG"/>
        </w:rPr>
      </w:pPr>
      <w:r w:rsidRPr="00BC513A">
        <w:rPr>
          <w:rFonts w:cs="Arial"/>
          <w:sz w:val="22"/>
          <w:szCs w:val="22"/>
          <w:lang w:val="bg-BG"/>
        </w:rPr>
        <w:t>Да улесни процеса по подготовка на Стратегиите за местно развитие;</w:t>
      </w:r>
    </w:p>
    <w:p w14:paraId="569A1A38" w14:textId="77777777" w:rsidR="00E8617E" w:rsidRPr="00BC513A" w:rsidRDefault="00E8617E" w:rsidP="00E8617E">
      <w:pPr>
        <w:pStyle w:val="DefaultText"/>
        <w:numPr>
          <w:ilvl w:val="0"/>
          <w:numId w:val="28"/>
        </w:numPr>
        <w:spacing w:after="120" w:line="300" w:lineRule="atLeast"/>
        <w:ind w:left="993" w:hanging="426"/>
        <w:rPr>
          <w:rFonts w:cs="Arial"/>
          <w:sz w:val="22"/>
          <w:szCs w:val="22"/>
          <w:lang w:val="bg-BG"/>
        </w:rPr>
      </w:pPr>
      <w:r w:rsidRPr="00BC513A">
        <w:rPr>
          <w:rFonts w:cs="Arial"/>
          <w:sz w:val="22"/>
          <w:szCs w:val="22"/>
          <w:lang w:val="bg-BG"/>
        </w:rPr>
        <w:t>Да окуражи включването на местното население в развитието и бъдещото прилагане на Стратегиите за местно развитие.</w:t>
      </w:r>
    </w:p>
    <w:p w14:paraId="70ECC96E"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Подготвителната мярка стимулира огромен интерес и в следствие на това са подадени 136 заявления на кандидати от 181 (78%) от селските общини. </w:t>
      </w:r>
    </w:p>
    <w:p w14:paraId="46F8812A" w14:textId="79617E65" w:rsidR="00E8617E" w:rsidRPr="00BC513A" w:rsidRDefault="00045479" w:rsidP="00E8617E">
      <w:pPr>
        <w:pStyle w:val="DefaultText"/>
        <w:spacing w:after="120" w:line="300" w:lineRule="atLeast"/>
        <w:ind w:firstLine="709"/>
        <w:rPr>
          <w:rFonts w:cs="Arial"/>
          <w:sz w:val="22"/>
          <w:szCs w:val="22"/>
          <w:lang w:val="bg-BG"/>
        </w:rPr>
      </w:pPr>
      <w:r>
        <w:rPr>
          <w:rFonts w:cs="Arial"/>
          <w:sz w:val="22"/>
          <w:szCs w:val="22"/>
          <w:lang w:val="bg-BG"/>
        </w:rPr>
        <w:t>Общо по под</w:t>
      </w:r>
      <w:r w:rsidR="00E8617E" w:rsidRPr="00BC513A">
        <w:rPr>
          <w:rFonts w:cs="Arial"/>
          <w:sz w:val="22"/>
          <w:szCs w:val="22"/>
          <w:lang w:val="bg-BG"/>
        </w:rPr>
        <w:t>мярка 431-2 са сключени 102 договора с потенциални МИГ (на обща стойност 16 547 924,98 лв</w:t>
      </w:r>
      <w:r w:rsidR="00562AD9">
        <w:rPr>
          <w:rFonts w:cs="Arial"/>
          <w:sz w:val="22"/>
          <w:szCs w:val="22"/>
          <w:lang w:val="bg-BG"/>
        </w:rPr>
        <w:t>.</w:t>
      </w:r>
      <w:r w:rsidR="00E8617E" w:rsidRPr="00BC513A">
        <w:rPr>
          <w:rFonts w:cs="Arial"/>
          <w:sz w:val="22"/>
          <w:szCs w:val="22"/>
          <w:lang w:val="bg-BG"/>
        </w:rPr>
        <w:t xml:space="preserve">). От сключените 102 договора 90 са изпълнени. 137 общини (60%) от общия брой на общините в селските райони на България, които към този момент са 231, са със създадена стратегия за местно развитие. </w:t>
      </w:r>
    </w:p>
    <w:p w14:paraId="467FFA01" w14:textId="5692F3A5"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Подкрепа по мярка 41 за изпълнение на разработените местни стратегии за развитие получават 35 МИГ от подкрепените 90 МИГ, за които са разработени местни стратегии за развитие. Липсата на достатъчно средства се явява единствената пречка за постигане на по-високи нива на изграден местен капацитет чрез подкрепа на повече МИГ.</w:t>
      </w:r>
    </w:p>
    <w:p w14:paraId="36A6D8B9" w14:textId="77777777" w:rsidR="00E8617E" w:rsidRPr="00BC513A" w:rsidRDefault="00E8617E" w:rsidP="00E8617E">
      <w:pPr>
        <w:pStyle w:val="DefaultText"/>
        <w:spacing w:after="120" w:line="300" w:lineRule="atLeast"/>
        <w:ind w:firstLine="709"/>
        <w:rPr>
          <w:rFonts w:cs="Arial"/>
          <w:sz w:val="22"/>
          <w:szCs w:val="22"/>
          <w:lang w:val="bg-BG"/>
        </w:rPr>
      </w:pPr>
      <w:r w:rsidRPr="00BC513A">
        <w:rPr>
          <w:noProof/>
          <w:lang w:val="en-US" w:eastAsia="en-US"/>
        </w:rPr>
        <w:drawing>
          <wp:inline distT="0" distB="0" distL="0" distR="0" wp14:anchorId="0D946813" wp14:editId="11694792">
            <wp:extent cx="4580255" cy="2751455"/>
            <wp:effectExtent l="0" t="0" r="0" b="0"/>
            <wp:docPr id="5167" name="Picture 5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580255" cy="2751455"/>
                    </a:xfrm>
                    <a:prstGeom prst="rect">
                      <a:avLst/>
                    </a:prstGeom>
                    <a:noFill/>
                    <a:ln>
                      <a:noFill/>
                    </a:ln>
                  </pic:spPr>
                </pic:pic>
              </a:graphicData>
            </a:graphic>
          </wp:inline>
        </w:drawing>
      </w:r>
    </w:p>
    <w:p w14:paraId="39D4FB50" w14:textId="77777777" w:rsidR="00E8617E" w:rsidRPr="00F07F15" w:rsidRDefault="00E8617E" w:rsidP="00E8617E">
      <w:pPr>
        <w:pStyle w:val="DefaultText"/>
        <w:spacing w:after="120" w:line="300" w:lineRule="atLeast"/>
        <w:ind w:firstLine="709"/>
        <w:rPr>
          <w:rFonts w:cs="Arial"/>
          <w:szCs w:val="18"/>
          <w:lang w:val="bg-BG"/>
        </w:rPr>
      </w:pPr>
      <w:r w:rsidRPr="00F07F15">
        <w:rPr>
          <w:rFonts w:cs="Arial"/>
          <w:szCs w:val="18"/>
          <w:lang w:val="bg-BG"/>
        </w:rPr>
        <w:t>Източник: по данни на МЗХГ</w:t>
      </w:r>
    </w:p>
    <w:p w14:paraId="3AB9F831" w14:textId="77777777" w:rsidR="00E8617E" w:rsidRPr="00BC513A" w:rsidRDefault="00E8617E" w:rsidP="00E8617E">
      <w:pPr>
        <w:pStyle w:val="DefaultText"/>
        <w:spacing w:after="120" w:line="300" w:lineRule="atLeast"/>
        <w:ind w:firstLine="709"/>
        <w:jc w:val="center"/>
        <w:rPr>
          <w:rFonts w:cs="Arial"/>
          <w:b/>
          <w:color w:val="0070C0"/>
          <w:sz w:val="20"/>
          <w:szCs w:val="20"/>
          <w:lang w:val="bg-BG"/>
        </w:rPr>
      </w:pPr>
      <w:bookmarkStart w:id="186" w:name="_Toc506984728"/>
      <w:r w:rsidRPr="00BC513A">
        <w:rPr>
          <w:rFonts w:cs="Arial"/>
          <w:b/>
          <w:color w:val="0070C0"/>
          <w:sz w:val="20"/>
          <w:szCs w:val="20"/>
          <w:lang w:val="bg-BG"/>
        </w:rPr>
        <w:t xml:space="preserve">Фигура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Фигура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22</w:t>
      </w:r>
      <w:r w:rsidRPr="00BC513A">
        <w:rPr>
          <w:rFonts w:cs="Arial"/>
          <w:b/>
          <w:color w:val="0070C0"/>
          <w:sz w:val="20"/>
          <w:szCs w:val="20"/>
          <w:lang w:val="bg-BG"/>
        </w:rPr>
        <w:fldChar w:fldCharType="end"/>
      </w:r>
      <w:r w:rsidRPr="00BC513A">
        <w:rPr>
          <w:rFonts w:cs="Arial"/>
          <w:b/>
          <w:color w:val="0070C0"/>
          <w:sz w:val="20"/>
          <w:szCs w:val="20"/>
          <w:lang w:val="bg-BG"/>
        </w:rPr>
        <w:t>. Подадени заявления, сключени договори, изпълнени договори по подмярка 431-2 и подкрепени МИГ по мярка 41 за изпълнение на стратегии за местно развитие</w:t>
      </w:r>
      <w:bookmarkEnd w:id="186"/>
    </w:p>
    <w:p w14:paraId="0B733843" w14:textId="77777777" w:rsidR="00E8617E" w:rsidRPr="00BC513A" w:rsidRDefault="00E8617E" w:rsidP="00E8617E">
      <w:pPr>
        <w:pStyle w:val="DefaultText"/>
        <w:spacing w:after="120" w:line="300" w:lineRule="atLeast"/>
        <w:ind w:firstLine="709"/>
        <w:rPr>
          <w:rFonts w:cs="Arial"/>
          <w:sz w:val="22"/>
          <w:szCs w:val="22"/>
          <w:lang w:val="bg-BG"/>
        </w:rPr>
      </w:pPr>
    </w:p>
    <w:p w14:paraId="5E420841" w14:textId="01EA4B28"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Бенефициентите изпитват финансови затруднения да изпълнят сключените договори, които допълнително за засилени от значителни закъснения при възстановяване на направените разходи. От сключените 102 договора 12 не са изпълнени. Бенефициентите по изпълнените договори са усвоили едва 64% от договорените средства. Анализ в текущата оценка на програмата за 2013 г. посочва, че причините за това са, че много бенефициентите не са разполагали с достатъчно средства, за да финансират първоначалното извършване на дейностите. Извършените разходи не се възстановяват навреме, което принуждава бенефициентите  да използват възможно най-малко средства при реализиране на заложените дейности. Поради същата причина някои от дейностите отпадат.  </w:t>
      </w:r>
    </w:p>
    <w:p w14:paraId="26437C02" w14:textId="37616DD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Създадените по мярка 41 35 МИГ работят на територията на 57 общини, сравнително равномерно разположени на територията на цялата страна (виж картата по-долу). В Северозападн</w:t>
      </w:r>
      <w:r w:rsidR="00E074A8">
        <w:rPr>
          <w:rFonts w:cs="Arial"/>
          <w:sz w:val="22"/>
          <w:szCs w:val="22"/>
          <w:lang w:val="bg-BG"/>
        </w:rPr>
        <w:t>ия</w:t>
      </w:r>
      <w:r w:rsidRPr="00BC513A">
        <w:rPr>
          <w:rFonts w:cs="Arial"/>
          <w:sz w:val="22"/>
          <w:szCs w:val="22"/>
          <w:lang w:val="bg-BG"/>
        </w:rPr>
        <w:t xml:space="preserve"> район са създадени 6 МИГ, в Северн</w:t>
      </w:r>
      <w:r w:rsidR="00E074A8">
        <w:rPr>
          <w:rFonts w:cs="Arial"/>
          <w:sz w:val="22"/>
          <w:szCs w:val="22"/>
          <w:lang w:val="bg-BG"/>
        </w:rPr>
        <w:t>ия</w:t>
      </w:r>
      <w:r w:rsidRPr="00BC513A">
        <w:rPr>
          <w:rFonts w:cs="Arial"/>
          <w:sz w:val="22"/>
          <w:szCs w:val="22"/>
          <w:lang w:val="bg-BG"/>
        </w:rPr>
        <w:t xml:space="preserve"> централен – 3 МИГ, Североизточн</w:t>
      </w:r>
      <w:r w:rsidR="00E074A8">
        <w:rPr>
          <w:rFonts w:cs="Arial"/>
          <w:sz w:val="22"/>
          <w:szCs w:val="22"/>
          <w:lang w:val="bg-BG"/>
        </w:rPr>
        <w:t>ия</w:t>
      </w:r>
      <w:r w:rsidRPr="00BC513A">
        <w:rPr>
          <w:rFonts w:cs="Arial"/>
          <w:sz w:val="22"/>
          <w:szCs w:val="22"/>
          <w:lang w:val="bg-BG"/>
        </w:rPr>
        <w:t xml:space="preserve"> – 4 МИГ; Югоизточн</w:t>
      </w:r>
      <w:r w:rsidR="00E074A8">
        <w:rPr>
          <w:rFonts w:cs="Arial"/>
          <w:sz w:val="22"/>
          <w:szCs w:val="22"/>
          <w:lang w:val="bg-BG"/>
        </w:rPr>
        <w:t>ия</w:t>
      </w:r>
      <w:r w:rsidRPr="00BC513A">
        <w:rPr>
          <w:rFonts w:cs="Arial"/>
          <w:sz w:val="22"/>
          <w:szCs w:val="22"/>
          <w:lang w:val="bg-BG"/>
        </w:rPr>
        <w:t xml:space="preserve"> – 6 МИГ; Южн</w:t>
      </w:r>
      <w:r w:rsidR="00E074A8">
        <w:rPr>
          <w:rFonts w:cs="Arial"/>
          <w:sz w:val="22"/>
          <w:szCs w:val="22"/>
          <w:lang w:val="bg-BG"/>
        </w:rPr>
        <w:t>ия</w:t>
      </w:r>
      <w:r w:rsidRPr="00BC513A">
        <w:rPr>
          <w:rFonts w:cs="Arial"/>
          <w:sz w:val="22"/>
          <w:szCs w:val="22"/>
          <w:lang w:val="bg-BG"/>
        </w:rPr>
        <w:t xml:space="preserve"> централен – 9 МИГ и в Югозападн</w:t>
      </w:r>
      <w:r w:rsidR="00E074A8">
        <w:rPr>
          <w:rFonts w:cs="Arial"/>
          <w:sz w:val="22"/>
          <w:szCs w:val="22"/>
          <w:lang w:val="bg-BG"/>
        </w:rPr>
        <w:t>ия</w:t>
      </w:r>
      <w:r w:rsidRPr="00BC513A">
        <w:rPr>
          <w:rFonts w:cs="Arial"/>
          <w:sz w:val="22"/>
          <w:szCs w:val="22"/>
          <w:lang w:val="bg-BG"/>
        </w:rPr>
        <w:t xml:space="preserve"> – 7МИГ. Само на територията на областите Видин, Кюстендил, Русе, Плевен, Силистра и Сливен не се прилагат стратегии за местно развитие по подхода ЛИДЕР. </w:t>
      </w:r>
    </w:p>
    <w:p w14:paraId="35F6EF8A" w14:textId="77777777" w:rsidR="00E8617E" w:rsidRPr="00BC513A" w:rsidRDefault="00E8617E" w:rsidP="00E8617E">
      <w:pPr>
        <w:pStyle w:val="DefaultText"/>
        <w:spacing w:after="120" w:line="300" w:lineRule="atLeast"/>
        <w:ind w:firstLine="709"/>
        <w:rPr>
          <w:rFonts w:cs="Arial"/>
          <w:sz w:val="22"/>
          <w:szCs w:val="22"/>
          <w:highlight w:val="yellow"/>
          <w:lang w:val="bg-BG"/>
        </w:rPr>
      </w:pPr>
      <w:r w:rsidRPr="00BC513A">
        <w:rPr>
          <w:rFonts w:cs="Arial"/>
          <w:noProof/>
          <w:sz w:val="22"/>
          <w:szCs w:val="22"/>
          <w:lang w:val="en-US" w:eastAsia="en-US"/>
        </w:rPr>
        <w:drawing>
          <wp:inline distT="0" distB="0" distL="0" distR="0" wp14:anchorId="0EEB5507" wp14:editId="7529AEBA">
            <wp:extent cx="4651200" cy="3276000"/>
            <wp:effectExtent l="0" t="0" r="0" b="635"/>
            <wp:docPr id="5138" name="Content Placeholder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8" name="Content Placeholder 3"/>
                    <pic:cNvPicPr>
                      <a:picLocks noChangeAspect="1"/>
                    </pic:cNvPicPr>
                  </pic:nvPicPr>
                  <pic:blipFill rotWithShape="1">
                    <a:blip r:embed="rId62" cstate="print">
                      <a:extLst>
                        <a:ext uri="{28A0092B-C50C-407E-A947-70E740481C1C}">
                          <a14:useLocalDpi xmlns:a14="http://schemas.microsoft.com/office/drawing/2010/main" val="0"/>
                        </a:ext>
                      </a:extLst>
                    </a:blip>
                    <a:srcRect l="2036" t="1437" b="2259"/>
                    <a:stretch/>
                  </pic:blipFill>
                  <pic:spPr bwMode="auto">
                    <a:xfrm>
                      <a:off x="0" y="0"/>
                      <a:ext cx="4651200" cy="3276000"/>
                    </a:xfrm>
                    <a:prstGeom prst="rect">
                      <a:avLst/>
                    </a:prstGeom>
                    <a:noFill/>
                    <a:ln>
                      <a:noFill/>
                    </a:ln>
                    <a:extLst>
                      <a:ext uri="{53640926-AAD7-44D8-BBD7-CCE9431645EC}">
                        <a14:shadowObscured xmlns:a14="http://schemas.microsoft.com/office/drawing/2010/main"/>
                      </a:ext>
                    </a:extLst>
                  </pic:spPr>
                </pic:pic>
              </a:graphicData>
            </a:graphic>
          </wp:inline>
        </w:drawing>
      </w:r>
    </w:p>
    <w:p w14:paraId="5D50556D" w14:textId="77777777" w:rsidR="00E8617E" w:rsidRPr="00BC513A" w:rsidRDefault="00E8617E" w:rsidP="00E8617E">
      <w:pPr>
        <w:pStyle w:val="DefaultText"/>
        <w:spacing w:after="120" w:line="300" w:lineRule="atLeast"/>
        <w:ind w:firstLine="709"/>
        <w:rPr>
          <w:rFonts w:cs="Arial"/>
          <w:sz w:val="22"/>
          <w:szCs w:val="22"/>
          <w:lang w:val="bg-BG"/>
        </w:rPr>
      </w:pPr>
      <w:r w:rsidRPr="00F07F15">
        <w:rPr>
          <w:rFonts w:cs="Arial"/>
          <w:szCs w:val="18"/>
          <w:lang w:val="bg-BG"/>
        </w:rPr>
        <w:t>Източник: МЗХГ, Влияние на общата селскостопанска политика на ЕС върху българското земеделие, 2017 г</w:t>
      </w:r>
      <w:r w:rsidRPr="00BC513A">
        <w:rPr>
          <w:rFonts w:cs="Arial"/>
          <w:sz w:val="22"/>
          <w:szCs w:val="22"/>
          <w:lang w:val="bg-BG"/>
        </w:rPr>
        <w:t>.</w:t>
      </w:r>
    </w:p>
    <w:p w14:paraId="6DEA1DB2" w14:textId="77777777" w:rsidR="00E8617E" w:rsidRPr="00BC513A" w:rsidRDefault="00E8617E" w:rsidP="00E8617E">
      <w:pPr>
        <w:pStyle w:val="DefaultText"/>
        <w:spacing w:after="120" w:line="300" w:lineRule="atLeast"/>
        <w:ind w:firstLine="709"/>
        <w:jc w:val="center"/>
        <w:rPr>
          <w:rFonts w:cs="Arial"/>
          <w:b/>
          <w:color w:val="0070C0"/>
          <w:sz w:val="20"/>
          <w:szCs w:val="20"/>
          <w:lang w:val="bg-BG"/>
        </w:rPr>
      </w:pPr>
      <w:bookmarkStart w:id="187" w:name="_Toc506984729"/>
      <w:r w:rsidRPr="00BC513A">
        <w:rPr>
          <w:rFonts w:cs="Arial"/>
          <w:b/>
          <w:color w:val="0070C0"/>
          <w:sz w:val="20"/>
          <w:szCs w:val="20"/>
          <w:lang w:val="bg-BG"/>
        </w:rPr>
        <w:t xml:space="preserve">Фигура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Фигура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23</w:t>
      </w:r>
      <w:r w:rsidRPr="00BC513A">
        <w:rPr>
          <w:rFonts w:cs="Arial"/>
          <w:b/>
          <w:color w:val="0070C0"/>
          <w:sz w:val="20"/>
          <w:szCs w:val="20"/>
          <w:lang w:val="bg-BG"/>
        </w:rPr>
        <w:fldChar w:fldCharType="end"/>
      </w:r>
      <w:r w:rsidRPr="00BC513A">
        <w:rPr>
          <w:rFonts w:cs="Arial"/>
          <w:b/>
          <w:color w:val="0070C0"/>
          <w:sz w:val="20"/>
          <w:szCs w:val="20"/>
          <w:lang w:val="bg-BG"/>
        </w:rPr>
        <w:t>. Разположение на МИГ на територията на страната</w:t>
      </w:r>
      <w:bookmarkEnd w:id="187"/>
    </w:p>
    <w:p w14:paraId="49823378"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Основен резултат от подкрепата </w:t>
      </w:r>
      <w:r w:rsidR="003573C2">
        <w:rPr>
          <w:rFonts w:cs="Arial"/>
          <w:sz w:val="22"/>
          <w:szCs w:val="22"/>
          <w:lang w:val="bg-BG"/>
        </w:rPr>
        <w:t xml:space="preserve"> </w:t>
      </w:r>
      <w:r w:rsidRPr="00BC513A">
        <w:rPr>
          <w:rFonts w:cs="Arial"/>
          <w:sz w:val="22"/>
          <w:szCs w:val="22"/>
          <w:lang w:val="bg-BG"/>
        </w:rPr>
        <w:t>е създаването на административен капацитет за прилагане на подхода ЛИДЕР и придобиване на опит в процеса по оживяване на местните общности в селските райони чрез разработване на стратегии за местно развитие</w:t>
      </w:r>
      <w:r w:rsidR="003573C2">
        <w:rPr>
          <w:rFonts w:cs="Arial"/>
          <w:sz w:val="22"/>
          <w:szCs w:val="22"/>
          <w:lang w:val="bg-BG"/>
        </w:rPr>
        <w:t xml:space="preserve"> по подмярка 431-2</w:t>
      </w:r>
      <w:r w:rsidRPr="00BC513A">
        <w:rPr>
          <w:rFonts w:cs="Arial"/>
          <w:sz w:val="22"/>
          <w:szCs w:val="22"/>
          <w:lang w:val="bg-BG"/>
        </w:rPr>
        <w:t>. Административният капацитет основно е от полза за балансираното развитие на местните общности.</w:t>
      </w:r>
    </w:p>
    <w:p w14:paraId="22FD5B89" w14:textId="449FB703"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Чрез подмярка 431-1 “</w:t>
      </w:r>
      <w:r w:rsidRPr="00BC513A">
        <w:rPr>
          <w:rFonts w:cs="Arial"/>
          <w:i/>
          <w:sz w:val="22"/>
          <w:szCs w:val="22"/>
          <w:lang w:val="bg-BG"/>
        </w:rPr>
        <w:t>Управление на местни инициативни групи, придобиване на умения и постигане на обществена активност на съответната територия за местните инициативни групи, прилагащи стратегии за местно развитие и е свързан с изпълнението на одобрените за финансиране стратегии за местно развитие</w:t>
      </w:r>
      <w:r w:rsidRPr="00BC513A">
        <w:rPr>
          <w:rFonts w:cs="Arial"/>
          <w:sz w:val="22"/>
          <w:szCs w:val="22"/>
          <w:lang w:val="bg-BG"/>
        </w:rPr>
        <w:t xml:space="preserve">“ създаденият капацитет се надгражда чрез подкрепа за дейности, свързани с предоставяне на информация, консултация и обучения на местното население на териториите на одобрените МИГ. Чрез подмярката се създава реален административен капацитет в подкрепените МИГ като са наети общо 151 човека в четири категории позиции – изпълнителен директор, технически асистент, експерт и счетоводител. В 25 от МИГ, екипите се състоят от посочените четири позиции, в други 9 МИГ експертите са двама, а най-големият екип е в МИГ „Преспа – Баните, Лъки, Чепеларе“ – изпълнителен директор, технически асистент, трима експерти и счетоводител. Това са хората, които „на терен“ реално прилагат подхода ЛИДЕР и мобилизират местната общност да участва в неговото прилагане. </w:t>
      </w:r>
    </w:p>
    <w:p w14:paraId="6CAD618C" w14:textId="2FBF91C5"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По време на изпълнение на </w:t>
      </w:r>
      <w:r w:rsidR="000F57E9">
        <w:rPr>
          <w:rFonts w:cs="Arial"/>
          <w:sz w:val="22"/>
          <w:szCs w:val="22"/>
          <w:lang w:val="bg-BG"/>
        </w:rPr>
        <w:t>п</w:t>
      </w:r>
      <w:r w:rsidRPr="00BC513A">
        <w:rPr>
          <w:rFonts w:cs="Arial"/>
          <w:sz w:val="22"/>
          <w:szCs w:val="22"/>
          <w:lang w:val="bg-BG"/>
        </w:rPr>
        <w:t xml:space="preserve">рограмата екипите на МИГ търпят промени, което води до ниска устойчивост и загуба на административен капацитет. Една от основните причини за това текучество е забавяне на одобрението на стратегиите за местно развитие, създадени по подмярка 431-2, което води до значителни промени в първоначално одобрените хора по позиции, в следствие на големия период от време от подаване на Стратегиите за местно развитие и реалното започване на изпълнението им по мярка 41 (повече от година и половина). Последващото забавяне в одобрение и изплащане на заявките на МИГ води до забава в изплащане на средствата по трудови договори, което също е причина за наблюдаваното текучество. </w:t>
      </w:r>
    </w:p>
    <w:p w14:paraId="52841C56" w14:textId="6BC55E32"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По-голямо текучество на персонала се наблюдава в началото на изпълнение на подхода, когато несигурността е по-голяма и част от първоначално одобрените хора са неспособни да започнат работа (намерена друга перспективна позиция, сменено местожителство и др.). В следствие на това през 2012</w:t>
      </w:r>
      <w:r w:rsidR="00E074A8">
        <w:rPr>
          <w:rFonts w:cs="Arial"/>
          <w:sz w:val="22"/>
          <w:szCs w:val="22"/>
          <w:lang w:val="bg-BG"/>
        </w:rPr>
        <w:t xml:space="preserve"> </w:t>
      </w:r>
      <w:r w:rsidRPr="00BC513A">
        <w:rPr>
          <w:rFonts w:cs="Arial"/>
          <w:sz w:val="22"/>
          <w:szCs w:val="22"/>
          <w:lang w:val="bg-BG"/>
        </w:rPr>
        <w:t>г. е отчетено много високо ниво на текучество на персонала на МИГ</w:t>
      </w:r>
      <w:r w:rsidR="00E074A8">
        <w:rPr>
          <w:rFonts w:cs="Arial"/>
          <w:sz w:val="22"/>
          <w:szCs w:val="22"/>
          <w:lang w:val="bg-BG"/>
        </w:rPr>
        <w:t xml:space="preserve"> –</w:t>
      </w:r>
      <w:r w:rsidRPr="00BC513A">
        <w:rPr>
          <w:rFonts w:cs="Arial"/>
          <w:sz w:val="22"/>
          <w:szCs w:val="22"/>
          <w:lang w:val="bg-BG"/>
        </w:rPr>
        <w:t xml:space="preserve"> 40% от заетите лица. След първоначалната шокова замяна на служители през 2013</w:t>
      </w:r>
      <w:r w:rsidR="00E074A8">
        <w:rPr>
          <w:rFonts w:cs="Arial"/>
          <w:sz w:val="22"/>
          <w:szCs w:val="22"/>
          <w:lang w:val="bg-BG"/>
        </w:rPr>
        <w:t xml:space="preserve"> </w:t>
      </w:r>
      <w:r w:rsidRPr="00BC513A">
        <w:rPr>
          <w:rFonts w:cs="Arial"/>
          <w:sz w:val="22"/>
          <w:szCs w:val="22"/>
          <w:lang w:val="bg-BG"/>
        </w:rPr>
        <w:t>г. нивото на текучество се нормализира, като общия</w:t>
      </w:r>
      <w:r w:rsidR="00E074A8">
        <w:rPr>
          <w:rFonts w:cs="Arial"/>
          <w:sz w:val="22"/>
          <w:szCs w:val="22"/>
          <w:lang w:val="bg-BG"/>
        </w:rPr>
        <w:t>т</w:t>
      </w:r>
      <w:r w:rsidRPr="00BC513A">
        <w:rPr>
          <w:rFonts w:cs="Arial"/>
          <w:sz w:val="22"/>
          <w:szCs w:val="22"/>
          <w:lang w:val="bg-BG"/>
        </w:rPr>
        <w:t xml:space="preserve"> процент е 17%. Предпоставка за това по-добро сработване в екипите на МИГ е многото реализирани колективни дейности, които са и същността на ЛИДЕР – обмен на добри практики, обучителни пътувания в България и Европа, участия в различни инициативи и др., които формират здрави служебни връзки. Това в още по-голяма степен е видимо в процента текучество за 2014г., който е най-нисък – 11%. Всичко това в крайна сметка се отразява в подобряване на усвояването на средствата по мярка 41 с проекти към МИГ и намаляване на общия процент грешки в подадените отчети за възстановяване на направени разходи от МИГ.</w:t>
      </w:r>
    </w:p>
    <w:p w14:paraId="313FFF69" w14:textId="77777777" w:rsidR="00E8617E" w:rsidRPr="00BC513A" w:rsidRDefault="00E8617E" w:rsidP="00E8617E">
      <w:pPr>
        <w:pStyle w:val="Caption"/>
        <w:spacing w:before="240" w:after="0"/>
        <w:rPr>
          <w:rFonts w:ascii="Arial" w:hAnsi="Arial" w:cs="Arial"/>
          <w:b/>
          <w:i w:val="0"/>
          <w:color w:val="0070C0"/>
          <w:sz w:val="20"/>
          <w:szCs w:val="20"/>
        </w:rPr>
      </w:pPr>
      <w:bookmarkStart w:id="188" w:name="_Toc504136252"/>
      <w:r w:rsidRPr="00BC513A">
        <w:rPr>
          <w:rFonts w:ascii="Arial" w:hAnsi="Arial" w:cs="Arial"/>
          <w:b/>
          <w:i w:val="0"/>
          <w:color w:val="0070C0"/>
          <w:sz w:val="20"/>
          <w:szCs w:val="20"/>
        </w:rPr>
        <w:t xml:space="preserve">Таблица </w:t>
      </w:r>
      <w:r w:rsidRPr="00BC513A">
        <w:rPr>
          <w:rFonts w:ascii="Arial" w:hAnsi="Arial" w:cs="Arial"/>
          <w:b/>
          <w:i w:val="0"/>
          <w:color w:val="0070C0"/>
          <w:sz w:val="20"/>
          <w:szCs w:val="20"/>
        </w:rPr>
        <w:fldChar w:fldCharType="begin"/>
      </w:r>
      <w:r w:rsidRPr="00BC513A">
        <w:rPr>
          <w:rFonts w:ascii="Arial" w:hAnsi="Arial" w:cs="Arial"/>
          <w:b/>
          <w:i w:val="0"/>
          <w:color w:val="0070C0"/>
          <w:sz w:val="20"/>
          <w:szCs w:val="20"/>
        </w:rPr>
        <w:instrText xml:space="preserve"> SEQ Таблица \* ARABIC </w:instrText>
      </w:r>
      <w:r w:rsidRPr="00BC513A">
        <w:rPr>
          <w:rFonts w:ascii="Arial" w:hAnsi="Arial" w:cs="Arial"/>
          <w:b/>
          <w:i w:val="0"/>
          <w:color w:val="0070C0"/>
          <w:sz w:val="20"/>
          <w:szCs w:val="20"/>
        </w:rPr>
        <w:fldChar w:fldCharType="separate"/>
      </w:r>
      <w:r w:rsidR="0023010D">
        <w:rPr>
          <w:rFonts w:ascii="Arial" w:hAnsi="Arial" w:cs="Arial"/>
          <w:b/>
          <w:i w:val="0"/>
          <w:noProof/>
          <w:color w:val="0070C0"/>
          <w:sz w:val="20"/>
          <w:szCs w:val="20"/>
        </w:rPr>
        <w:t>80</w:t>
      </w:r>
      <w:r w:rsidRPr="00BC513A">
        <w:rPr>
          <w:rFonts w:ascii="Arial" w:hAnsi="Arial" w:cs="Arial"/>
          <w:b/>
          <w:i w:val="0"/>
          <w:color w:val="0070C0"/>
          <w:sz w:val="20"/>
          <w:szCs w:val="20"/>
        </w:rPr>
        <w:fldChar w:fldCharType="end"/>
      </w:r>
      <w:r w:rsidRPr="00BC513A">
        <w:rPr>
          <w:rFonts w:ascii="Arial" w:hAnsi="Arial" w:cs="Arial"/>
          <w:b/>
          <w:i w:val="0"/>
          <w:color w:val="0070C0"/>
          <w:sz w:val="20"/>
          <w:szCs w:val="20"/>
        </w:rPr>
        <w:t>. Текучество в служителите на МИГ 2012, 2013 и 2104 г.</w:t>
      </w:r>
      <w:bookmarkEnd w:id="188"/>
      <w:r w:rsidRPr="00BC513A">
        <w:rPr>
          <w:rFonts w:ascii="Arial" w:hAnsi="Arial" w:cs="Arial"/>
          <w:b/>
          <w:i w:val="0"/>
          <w:color w:val="0070C0"/>
          <w:sz w:val="20"/>
          <w:szCs w:val="20"/>
        </w:rPr>
        <w:t xml:space="preserve"> </w:t>
      </w:r>
    </w:p>
    <w:tbl>
      <w:tblPr>
        <w:tblStyle w:val="GridTable1Light-Accent11"/>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00" w:firstRow="0" w:lastRow="0" w:firstColumn="0" w:lastColumn="0" w:noHBand="1" w:noVBand="1"/>
      </w:tblPr>
      <w:tblGrid>
        <w:gridCol w:w="2116"/>
        <w:gridCol w:w="1457"/>
        <w:gridCol w:w="1848"/>
        <w:gridCol w:w="1821"/>
        <w:gridCol w:w="1820"/>
      </w:tblGrid>
      <w:tr w:rsidR="00E8617E" w:rsidRPr="00BC513A" w14:paraId="05CED988" w14:textId="77777777" w:rsidTr="00922731">
        <w:trPr>
          <w:trHeight w:val="848"/>
        </w:trPr>
        <w:tc>
          <w:tcPr>
            <w:tcW w:w="2116" w:type="dxa"/>
            <w:shd w:val="clear" w:color="auto" w:fill="1F4E79" w:themeFill="accent1" w:themeFillShade="80"/>
            <w:hideMark/>
          </w:tcPr>
          <w:p w14:paraId="7F3635C2" w14:textId="77777777" w:rsidR="00E8617E" w:rsidRPr="00BC513A" w:rsidRDefault="00E8617E" w:rsidP="00922731">
            <w:pPr>
              <w:jc w:val="both"/>
              <w:rPr>
                <w:rFonts w:ascii="Arial" w:hAnsi="Arial" w:cs="Arial"/>
                <w:b/>
                <w:color w:val="FFFFFF" w:themeColor="background1"/>
                <w:sz w:val="20"/>
                <w:szCs w:val="20"/>
              </w:rPr>
            </w:pPr>
            <w:r w:rsidRPr="00BC513A">
              <w:rPr>
                <w:rFonts w:ascii="Arial" w:hAnsi="Arial" w:cs="Arial"/>
                <w:b/>
                <w:color w:val="FFFFFF" w:themeColor="background1"/>
                <w:sz w:val="20"/>
                <w:szCs w:val="20"/>
              </w:rPr>
              <w:t> Позиция</w:t>
            </w:r>
          </w:p>
        </w:tc>
        <w:tc>
          <w:tcPr>
            <w:tcW w:w="1457" w:type="dxa"/>
            <w:shd w:val="clear" w:color="auto" w:fill="1F4E79" w:themeFill="accent1" w:themeFillShade="80"/>
          </w:tcPr>
          <w:p w14:paraId="5DB952C7" w14:textId="77777777" w:rsidR="00E8617E" w:rsidRPr="00BC513A" w:rsidRDefault="00E8617E" w:rsidP="00922731">
            <w:pPr>
              <w:jc w:val="both"/>
              <w:rPr>
                <w:rFonts w:ascii="Arial" w:hAnsi="Arial" w:cs="Arial"/>
                <w:b/>
                <w:color w:val="FFFFFF" w:themeColor="background1"/>
                <w:sz w:val="20"/>
                <w:szCs w:val="20"/>
              </w:rPr>
            </w:pPr>
            <w:r w:rsidRPr="00BC513A">
              <w:rPr>
                <w:rFonts w:ascii="Arial" w:hAnsi="Arial" w:cs="Arial"/>
                <w:b/>
                <w:color w:val="FFFFFF" w:themeColor="background1"/>
                <w:sz w:val="20"/>
                <w:szCs w:val="20"/>
              </w:rPr>
              <w:t>Общ брой служители</w:t>
            </w:r>
          </w:p>
        </w:tc>
        <w:tc>
          <w:tcPr>
            <w:tcW w:w="1848" w:type="dxa"/>
            <w:shd w:val="clear" w:color="auto" w:fill="1F4E79" w:themeFill="accent1" w:themeFillShade="80"/>
            <w:hideMark/>
          </w:tcPr>
          <w:p w14:paraId="29A98D83" w14:textId="77777777" w:rsidR="00E8617E" w:rsidRPr="00BC513A" w:rsidRDefault="00E8617E" w:rsidP="00922731">
            <w:pPr>
              <w:jc w:val="both"/>
              <w:rPr>
                <w:rFonts w:ascii="Arial" w:hAnsi="Arial" w:cs="Arial"/>
                <w:b/>
                <w:color w:val="FFFFFF" w:themeColor="background1"/>
                <w:sz w:val="20"/>
                <w:szCs w:val="20"/>
              </w:rPr>
            </w:pPr>
            <w:r w:rsidRPr="00BC513A">
              <w:rPr>
                <w:rFonts w:ascii="Arial" w:hAnsi="Arial" w:cs="Arial"/>
                <w:b/>
                <w:color w:val="FFFFFF" w:themeColor="background1"/>
                <w:sz w:val="20"/>
                <w:szCs w:val="20"/>
              </w:rPr>
              <w:t>Брой сменени служители през 2012 г.  (%)</w:t>
            </w:r>
          </w:p>
        </w:tc>
        <w:tc>
          <w:tcPr>
            <w:tcW w:w="1821" w:type="dxa"/>
            <w:shd w:val="clear" w:color="auto" w:fill="1F4E79" w:themeFill="accent1" w:themeFillShade="80"/>
            <w:hideMark/>
          </w:tcPr>
          <w:p w14:paraId="68A69FAC" w14:textId="77777777" w:rsidR="00E8617E" w:rsidRPr="00BC513A" w:rsidRDefault="00E8617E" w:rsidP="00922731">
            <w:pPr>
              <w:jc w:val="both"/>
              <w:rPr>
                <w:rFonts w:ascii="Arial" w:hAnsi="Arial" w:cs="Arial"/>
                <w:b/>
                <w:color w:val="FFFFFF" w:themeColor="background1"/>
                <w:sz w:val="20"/>
                <w:szCs w:val="20"/>
              </w:rPr>
            </w:pPr>
            <w:r w:rsidRPr="00BC513A">
              <w:rPr>
                <w:rFonts w:ascii="Arial" w:hAnsi="Arial" w:cs="Arial"/>
                <w:b/>
                <w:color w:val="FFFFFF" w:themeColor="background1"/>
                <w:sz w:val="20"/>
                <w:szCs w:val="20"/>
              </w:rPr>
              <w:t>Брой сменени служители през 2013 г. (%)</w:t>
            </w:r>
          </w:p>
        </w:tc>
        <w:tc>
          <w:tcPr>
            <w:tcW w:w="1820" w:type="dxa"/>
            <w:shd w:val="clear" w:color="auto" w:fill="1F4E79" w:themeFill="accent1" w:themeFillShade="80"/>
            <w:hideMark/>
          </w:tcPr>
          <w:p w14:paraId="5B487574" w14:textId="77777777" w:rsidR="00E8617E" w:rsidRPr="00BC513A" w:rsidRDefault="00E8617E" w:rsidP="00922731">
            <w:pPr>
              <w:jc w:val="both"/>
              <w:rPr>
                <w:rFonts w:ascii="Arial" w:hAnsi="Arial" w:cs="Arial"/>
                <w:b/>
                <w:color w:val="FFFFFF" w:themeColor="background1"/>
                <w:sz w:val="20"/>
                <w:szCs w:val="20"/>
              </w:rPr>
            </w:pPr>
            <w:r w:rsidRPr="00BC513A">
              <w:rPr>
                <w:rFonts w:ascii="Arial" w:hAnsi="Arial" w:cs="Arial"/>
                <w:b/>
                <w:color w:val="FFFFFF" w:themeColor="background1"/>
                <w:sz w:val="20"/>
                <w:szCs w:val="20"/>
              </w:rPr>
              <w:t>Брой сменени служители през 2014 г. (%)</w:t>
            </w:r>
          </w:p>
        </w:tc>
      </w:tr>
      <w:tr w:rsidR="00E8617E" w:rsidRPr="00BC513A" w14:paraId="1D710803" w14:textId="77777777" w:rsidTr="00922731">
        <w:trPr>
          <w:trHeight w:val="399"/>
        </w:trPr>
        <w:tc>
          <w:tcPr>
            <w:tcW w:w="2116" w:type="dxa"/>
            <w:hideMark/>
          </w:tcPr>
          <w:p w14:paraId="6B7BE994"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 xml:space="preserve">Изпълнителни директори </w:t>
            </w:r>
          </w:p>
        </w:tc>
        <w:tc>
          <w:tcPr>
            <w:tcW w:w="1457" w:type="dxa"/>
            <w:vAlign w:val="center"/>
          </w:tcPr>
          <w:p w14:paraId="0BBCD54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35</w:t>
            </w:r>
          </w:p>
        </w:tc>
        <w:tc>
          <w:tcPr>
            <w:tcW w:w="1848" w:type="dxa"/>
            <w:vAlign w:val="center"/>
            <w:hideMark/>
          </w:tcPr>
          <w:p w14:paraId="664F61E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13 (37%)</w:t>
            </w:r>
          </w:p>
        </w:tc>
        <w:tc>
          <w:tcPr>
            <w:tcW w:w="1821" w:type="dxa"/>
            <w:vAlign w:val="center"/>
            <w:hideMark/>
          </w:tcPr>
          <w:p w14:paraId="0E6BDBF3"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6 (17%)</w:t>
            </w:r>
          </w:p>
        </w:tc>
        <w:tc>
          <w:tcPr>
            <w:tcW w:w="1820" w:type="dxa"/>
            <w:vAlign w:val="center"/>
            <w:hideMark/>
          </w:tcPr>
          <w:p w14:paraId="5AE1A48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5 (14%)</w:t>
            </w:r>
          </w:p>
        </w:tc>
      </w:tr>
      <w:tr w:rsidR="00E8617E" w:rsidRPr="00BC513A" w14:paraId="69CD0496" w14:textId="77777777" w:rsidTr="00922731">
        <w:trPr>
          <w:trHeight w:val="257"/>
        </w:trPr>
        <w:tc>
          <w:tcPr>
            <w:tcW w:w="2116" w:type="dxa"/>
            <w:hideMark/>
          </w:tcPr>
          <w:p w14:paraId="144D2D70"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Технически асистенти</w:t>
            </w:r>
          </w:p>
        </w:tc>
        <w:tc>
          <w:tcPr>
            <w:tcW w:w="1457" w:type="dxa"/>
            <w:vAlign w:val="center"/>
          </w:tcPr>
          <w:p w14:paraId="6FD4ED10"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35</w:t>
            </w:r>
          </w:p>
        </w:tc>
        <w:tc>
          <w:tcPr>
            <w:tcW w:w="1848" w:type="dxa"/>
            <w:vAlign w:val="center"/>
            <w:hideMark/>
          </w:tcPr>
          <w:p w14:paraId="569774AC"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15 (43%)</w:t>
            </w:r>
          </w:p>
        </w:tc>
        <w:tc>
          <w:tcPr>
            <w:tcW w:w="1821" w:type="dxa"/>
            <w:vAlign w:val="center"/>
            <w:hideMark/>
          </w:tcPr>
          <w:p w14:paraId="0B63E00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7 (20%)</w:t>
            </w:r>
          </w:p>
        </w:tc>
        <w:tc>
          <w:tcPr>
            <w:tcW w:w="1820" w:type="dxa"/>
            <w:vAlign w:val="center"/>
            <w:hideMark/>
          </w:tcPr>
          <w:p w14:paraId="119705FA"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 (9%)</w:t>
            </w:r>
          </w:p>
        </w:tc>
      </w:tr>
      <w:tr w:rsidR="00E8617E" w:rsidRPr="00BC513A" w14:paraId="4CDAB606" w14:textId="77777777" w:rsidTr="00922731">
        <w:trPr>
          <w:trHeight w:val="209"/>
        </w:trPr>
        <w:tc>
          <w:tcPr>
            <w:tcW w:w="2116" w:type="dxa"/>
            <w:hideMark/>
          </w:tcPr>
          <w:p w14:paraId="7935D43E"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Експерти</w:t>
            </w:r>
          </w:p>
        </w:tc>
        <w:tc>
          <w:tcPr>
            <w:tcW w:w="1457" w:type="dxa"/>
            <w:vAlign w:val="center"/>
          </w:tcPr>
          <w:p w14:paraId="211C41F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46</w:t>
            </w:r>
          </w:p>
        </w:tc>
        <w:tc>
          <w:tcPr>
            <w:tcW w:w="1848" w:type="dxa"/>
            <w:vAlign w:val="center"/>
            <w:hideMark/>
          </w:tcPr>
          <w:p w14:paraId="541C5D4D"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19 (41%)</w:t>
            </w:r>
          </w:p>
        </w:tc>
        <w:tc>
          <w:tcPr>
            <w:tcW w:w="1821" w:type="dxa"/>
            <w:vAlign w:val="center"/>
            <w:hideMark/>
          </w:tcPr>
          <w:p w14:paraId="5F343D5F"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9 (20%)</w:t>
            </w:r>
          </w:p>
        </w:tc>
        <w:tc>
          <w:tcPr>
            <w:tcW w:w="1820" w:type="dxa"/>
            <w:vAlign w:val="center"/>
            <w:hideMark/>
          </w:tcPr>
          <w:p w14:paraId="72233CA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 (9%)</w:t>
            </w:r>
          </w:p>
        </w:tc>
      </w:tr>
      <w:tr w:rsidR="00E8617E" w:rsidRPr="00BC513A" w14:paraId="3797BA84" w14:textId="77777777" w:rsidTr="00922731">
        <w:trPr>
          <w:trHeight w:val="209"/>
        </w:trPr>
        <w:tc>
          <w:tcPr>
            <w:tcW w:w="2116" w:type="dxa"/>
            <w:hideMark/>
          </w:tcPr>
          <w:p w14:paraId="7D85D89F"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Счетоводители</w:t>
            </w:r>
          </w:p>
        </w:tc>
        <w:tc>
          <w:tcPr>
            <w:tcW w:w="1457" w:type="dxa"/>
            <w:vAlign w:val="center"/>
          </w:tcPr>
          <w:p w14:paraId="12D440CE"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35</w:t>
            </w:r>
          </w:p>
        </w:tc>
        <w:tc>
          <w:tcPr>
            <w:tcW w:w="1848" w:type="dxa"/>
            <w:vAlign w:val="center"/>
            <w:hideMark/>
          </w:tcPr>
          <w:p w14:paraId="73C6C7D2"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14 (40%)</w:t>
            </w:r>
          </w:p>
        </w:tc>
        <w:tc>
          <w:tcPr>
            <w:tcW w:w="1821" w:type="dxa"/>
            <w:vAlign w:val="center"/>
            <w:hideMark/>
          </w:tcPr>
          <w:p w14:paraId="2BECAAD7"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3 (8%)</w:t>
            </w:r>
          </w:p>
        </w:tc>
        <w:tc>
          <w:tcPr>
            <w:tcW w:w="1820" w:type="dxa"/>
            <w:vAlign w:val="center"/>
            <w:hideMark/>
          </w:tcPr>
          <w:p w14:paraId="3162D52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4 (11%)</w:t>
            </w:r>
          </w:p>
        </w:tc>
      </w:tr>
      <w:tr w:rsidR="00E8617E" w:rsidRPr="00BC513A" w14:paraId="526E0D07" w14:textId="77777777" w:rsidTr="00922731">
        <w:trPr>
          <w:trHeight w:val="373"/>
        </w:trPr>
        <w:tc>
          <w:tcPr>
            <w:tcW w:w="2116" w:type="dxa"/>
            <w:shd w:val="clear" w:color="auto" w:fill="DEEAF6" w:themeFill="accent1" w:themeFillTint="33"/>
            <w:hideMark/>
          </w:tcPr>
          <w:p w14:paraId="52DB3E22" w14:textId="77777777" w:rsidR="00E8617E" w:rsidRPr="00BC513A" w:rsidRDefault="00E8617E" w:rsidP="00922731">
            <w:pPr>
              <w:jc w:val="both"/>
              <w:rPr>
                <w:rFonts w:ascii="Arial" w:hAnsi="Arial" w:cs="Arial"/>
                <w:sz w:val="20"/>
                <w:szCs w:val="20"/>
              </w:rPr>
            </w:pPr>
            <w:r w:rsidRPr="00BC513A">
              <w:rPr>
                <w:rFonts w:ascii="Arial" w:hAnsi="Arial" w:cs="Arial"/>
                <w:b/>
                <w:bCs/>
                <w:sz w:val="20"/>
                <w:szCs w:val="20"/>
              </w:rPr>
              <w:t>Общо</w:t>
            </w:r>
          </w:p>
        </w:tc>
        <w:tc>
          <w:tcPr>
            <w:tcW w:w="1457" w:type="dxa"/>
            <w:shd w:val="clear" w:color="auto" w:fill="DEEAF6" w:themeFill="accent1" w:themeFillTint="33"/>
            <w:vAlign w:val="center"/>
          </w:tcPr>
          <w:p w14:paraId="3FEB7292" w14:textId="77777777" w:rsidR="00E8617E" w:rsidRPr="00BC513A" w:rsidRDefault="00E8617E" w:rsidP="00922731">
            <w:pPr>
              <w:jc w:val="center"/>
              <w:rPr>
                <w:rFonts w:ascii="Arial" w:hAnsi="Arial" w:cs="Arial"/>
                <w:b/>
                <w:bCs/>
                <w:sz w:val="20"/>
                <w:szCs w:val="20"/>
              </w:rPr>
            </w:pPr>
            <w:r w:rsidRPr="00BC513A">
              <w:rPr>
                <w:rFonts w:ascii="Arial" w:hAnsi="Arial" w:cs="Arial"/>
                <w:b/>
                <w:bCs/>
                <w:sz w:val="20"/>
                <w:szCs w:val="20"/>
              </w:rPr>
              <w:t>151</w:t>
            </w:r>
          </w:p>
        </w:tc>
        <w:tc>
          <w:tcPr>
            <w:tcW w:w="1848" w:type="dxa"/>
            <w:shd w:val="clear" w:color="auto" w:fill="DEEAF6" w:themeFill="accent1" w:themeFillTint="33"/>
            <w:vAlign w:val="center"/>
            <w:hideMark/>
          </w:tcPr>
          <w:p w14:paraId="46972B2C" w14:textId="77777777" w:rsidR="00E8617E" w:rsidRPr="00BC513A" w:rsidRDefault="00E8617E" w:rsidP="00922731">
            <w:pPr>
              <w:jc w:val="center"/>
              <w:rPr>
                <w:rFonts w:ascii="Arial" w:hAnsi="Arial" w:cs="Arial"/>
                <w:sz w:val="20"/>
                <w:szCs w:val="20"/>
              </w:rPr>
            </w:pPr>
            <w:r w:rsidRPr="00BC513A">
              <w:rPr>
                <w:rFonts w:ascii="Arial" w:hAnsi="Arial" w:cs="Arial"/>
                <w:b/>
                <w:bCs/>
                <w:sz w:val="20"/>
                <w:szCs w:val="20"/>
              </w:rPr>
              <w:t>61 (40%)</w:t>
            </w:r>
          </w:p>
        </w:tc>
        <w:tc>
          <w:tcPr>
            <w:tcW w:w="1821" w:type="dxa"/>
            <w:shd w:val="clear" w:color="auto" w:fill="DEEAF6" w:themeFill="accent1" w:themeFillTint="33"/>
            <w:vAlign w:val="center"/>
            <w:hideMark/>
          </w:tcPr>
          <w:p w14:paraId="3060128C" w14:textId="77777777" w:rsidR="00E8617E" w:rsidRPr="00BC513A" w:rsidRDefault="00E8617E" w:rsidP="00922731">
            <w:pPr>
              <w:jc w:val="center"/>
              <w:rPr>
                <w:rFonts w:ascii="Arial" w:hAnsi="Arial" w:cs="Arial"/>
                <w:sz w:val="20"/>
                <w:szCs w:val="20"/>
              </w:rPr>
            </w:pPr>
            <w:r w:rsidRPr="00BC513A">
              <w:rPr>
                <w:rFonts w:ascii="Arial" w:hAnsi="Arial" w:cs="Arial"/>
                <w:b/>
                <w:bCs/>
                <w:sz w:val="20"/>
                <w:szCs w:val="20"/>
              </w:rPr>
              <w:t>25 (17%)</w:t>
            </w:r>
          </w:p>
        </w:tc>
        <w:tc>
          <w:tcPr>
            <w:tcW w:w="1820" w:type="dxa"/>
            <w:shd w:val="clear" w:color="auto" w:fill="DEEAF6" w:themeFill="accent1" w:themeFillTint="33"/>
            <w:vAlign w:val="center"/>
            <w:hideMark/>
          </w:tcPr>
          <w:p w14:paraId="70B45D59" w14:textId="77777777" w:rsidR="00E8617E" w:rsidRPr="00BC513A" w:rsidRDefault="00E8617E" w:rsidP="00922731">
            <w:pPr>
              <w:jc w:val="center"/>
              <w:rPr>
                <w:rFonts w:ascii="Arial" w:hAnsi="Arial" w:cs="Arial"/>
                <w:sz w:val="20"/>
                <w:szCs w:val="20"/>
              </w:rPr>
            </w:pPr>
            <w:r w:rsidRPr="00BC513A">
              <w:rPr>
                <w:rFonts w:ascii="Arial" w:hAnsi="Arial" w:cs="Arial"/>
                <w:b/>
                <w:bCs/>
                <w:sz w:val="20"/>
                <w:szCs w:val="20"/>
              </w:rPr>
              <w:t>16 (11%)</w:t>
            </w:r>
          </w:p>
        </w:tc>
      </w:tr>
    </w:tbl>
    <w:p w14:paraId="62F69C62" w14:textId="77777777" w:rsidR="00E8617E" w:rsidRPr="00BC513A" w:rsidRDefault="00E8617E" w:rsidP="00E8617E">
      <w:pPr>
        <w:pStyle w:val="DefaultText"/>
        <w:spacing w:after="120" w:line="300" w:lineRule="atLeast"/>
        <w:rPr>
          <w:rFonts w:cs="Arial"/>
          <w:sz w:val="20"/>
          <w:szCs w:val="20"/>
          <w:lang w:val="bg-BG"/>
        </w:rPr>
      </w:pPr>
      <w:r w:rsidRPr="00BC513A">
        <w:rPr>
          <w:rFonts w:cs="Arial"/>
          <w:sz w:val="20"/>
          <w:szCs w:val="20"/>
          <w:lang w:val="bg-BG"/>
        </w:rPr>
        <w:t xml:space="preserve">Източник: Текуща оценка за 2013 г. на ПРСР 2007-2013 и презентация на МЗХГ </w:t>
      </w:r>
    </w:p>
    <w:p w14:paraId="29DA4973" w14:textId="2501C24D"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Включването в административните екипи на представители от територията на МИГ е добра практика от гледна точка на това, че те по-лесно осъществяват комуникация с потенциални бенефициенти с проекти към МИГ и мобилизират местната общност, а от друга страна са по-силно ангажирани с коректното прилагане на стратегията за местно развитие. По този начин публичните средства</w:t>
      </w:r>
      <w:r w:rsidR="00E074A8">
        <w:rPr>
          <w:rFonts w:cs="Arial"/>
          <w:sz w:val="22"/>
          <w:szCs w:val="22"/>
          <w:lang w:val="bg-BG"/>
        </w:rPr>
        <w:t>,</w:t>
      </w:r>
      <w:r w:rsidRPr="00BC513A">
        <w:rPr>
          <w:rFonts w:cs="Arial"/>
          <w:sz w:val="22"/>
          <w:szCs w:val="22"/>
          <w:lang w:val="bg-BG"/>
        </w:rPr>
        <w:t xml:space="preserve"> инвестирани в обучението им</w:t>
      </w:r>
      <w:r w:rsidR="00E074A8">
        <w:rPr>
          <w:rFonts w:cs="Arial"/>
          <w:sz w:val="22"/>
          <w:szCs w:val="22"/>
          <w:lang w:val="bg-BG"/>
        </w:rPr>
        <w:t>,</w:t>
      </w:r>
      <w:r w:rsidRPr="00BC513A">
        <w:rPr>
          <w:rFonts w:cs="Arial"/>
          <w:sz w:val="22"/>
          <w:szCs w:val="22"/>
          <w:lang w:val="bg-BG"/>
        </w:rPr>
        <w:t xml:space="preserve"> водят до създаване на местни лидери, които живеят и работят на територията на МИГ.</w:t>
      </w:r>
    </w:p>
    <w:p w14:paraId="36407F32"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Заложените целеви стойности на изходните индикатори по мярка 431 по отношение на дейности за придобиване на умения и постигане на обществена активност и брой участници в дейностите не са постигнати изцяло, което говори, че не е използван целият наличен потенциал като финансови и човешки ресурси за изграждане на местен капацитет. </w:t>
      </w:r>
    </w:p>
    <w:p w14:paraId="635C6067" w14:textId="77777777" w:rsidR="00E8617E" w:rsidRPr="002153B5" w:rsidRDefault="00E8617E" w:rsidP="00E8617E">
      <w:pPr>
        <w:keepNext/>
        <w:spacing w:before="240" w:after="120"/>
        <w:jc w:val="both"/>
        <w:rPr>
          <w:rFonts w:ascii="Arial" w:hAnsi="Arial" w:cs="Arial"/>
          <w:b/>
          <w:iCs/>
          <w:color w:val="0070C0"/>
          <w:sz w:val="20"/>
          <w:szCs w:val="20"/>
        </w:rPr>
      </w:pPr>
      <w:bookmarkStart w:id="189" w:name="_Toc504136253"/>
      <w:r w:rsidRPr="00BC513A">
        <w:rPr>
          <w:rFonts w:ascii="Arial" w:hAnsi="Arial" w:cs="Arial"/>
          <w:b/>
          <w:iCs/>
          <w:color w:val="0070C0"/>
          <w:sz w:val="20"/>
          <w:szCs w:val="20"/>
        </w:rPr>
        <w:t xml:space="preserve">Таблица </w:t>
      </w:r>
      <w:r w:rsidRPr="00BC513A">
        <w:rPr>
          <w:rFonts w:ascii="Arial" w:hAnsi="Arial" w:cs="Arial"/>
          <w:b/>
          <w:iCs/>
          <w:color w:val="0070C0"/>
          <w:sz w:val="20"/>
          <w:szCs w:val="20"/>
        </w:rPr>
        <w:fldChar w:fldCharType="begin"/>
      </w:r>
      <w:r w:rsidRPr="00BC513A">
        <w:rPr>
          <w:rFonts w:ascii="Arial" w:hAnsi="Arial" w:cs="Arial"/>
          <w:b/>
          <w:iCs/>
          <w:color w:val="0070C0"/>
          <w:sz w:val="20"/>
          <w:szCs w:val="20"/>
        </w:rPr>
        <w:instrText xml:space="preserve"> SEQ Таблица \* ARABIC </w:instrText>
      </w:r>
      <w:r w:rsidRPr="00BC513A">
        <w:rPr>
          <w:rFonts w:ascii="Arial" w:hAnsi="Arial" w:cs="Arial"/>
          <w:b/>
          <w:iCs/>
          <w:color w:val="0070C0"/>
          <w:sz w:val="20"/>
          <w:szCs w:val="20"/>
        </w:rPr>
        <w:fldChar w:fldCharType="separate"/>
      </w:r>
      <w:r w:rsidR="0023010D">
        <w:rPr>
          <w:rFonts w:ascii="Arial" w:hAnsi="Arial" w:cs="Arial"/>
          <w:b/>
          <w:iCs/>
          <w:noProof/>
          <w:color w:val="0070C0"/>
          <w:sz w:val="20"/>
          <w:szCs w:val="20"/>
        </w:rPr>
        <w:t>81</w:t>
      </w:r>
      <w:r w:rsidRPr="00BC513A">
        <w:rPr>
          <w:rFonts w:ascii="Arial" w:hAnsi="Arial" w:cs="Arial"/>
          <w:b/>
          <w:iCs/>
          <w:color w:val="0070C0"/>
          <w:sz w:val="20"/>
          <w:szCs w:val="20"/>
        </w:rPr>
        <w:fldChar w:fldCharType="end"/>
      </w:r>
      <w:r w:rsidRPr="00BC513A">
        <w:rPr>
          <w:rFonts w:ascii="Arial" w:hAnsi="Arial" w:cs="Arial"/>
          <w:b/>
          <w:iCs/>
          <w:color w:val="0070C0"/>
          <w:sz w:val="20"/>
          <w:szCs w:val="20"/>
        </w:rPr>
        <w:t>. Изпълнение на целите на мярка 431</w:t>
      </w:r>
      <w:bookmarkEnd w:id="189"/>
      <w:r w:rsidR="004E22CE" w:rsidRPr="002153B5">
        <w:rPr>
          <w:rFonts w:ascii="Arial" w:hAnsi="Arial" w:cs="Arial"/>
          <w:b/>
          <w:iCs/>
          <w:color w:val="0070C0"/>
          <w:sz w:val="20"/>
          <w:szCs w:val="20"/>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424"/>
        <w:gridCol w:w="3904"/>
        <w:gridCol w:w="1737"/>
        <w:gridCol w:w="1448"/>
        <w:gridCol w:w="698"/>
      </w:tblGrid>
      <w:tr w:rsidR="00E8617E" w:rsidRPr="00BC513A" w14:paraId="77D0CE66" w14:textId="77777777" w:rsidTr="00922731">
        <w:trPr>
          <w:trHeight w:val="558"/>
          <w:jc w:val="center"/>
        </w:trPr>
        <w:tc>
          <w:tcPr>
            <w:tcW w:w="773" w:type="pct"/>
            <w:vMerge w:val="restart"/>
            <w:shd w:val="clear" w:color="auto" w:fill="1F4E79" w:themeFill="accent1" w:themeFillShade="80"/>
            <w:noWrap/>
            <w:vAlign w:val="center"/>
            <w:hideMark/>
          </w:tcPr>
          <w:p w14:paraId="69EB34F2" w14:textId="77777777" w:rsidR="00E8617E" w:rsidRPr="00BC513A" w:rsidRDefault="00E8617E" w:rsidP="00922731">
            <w:pPr>
              <w:keepNext/>
              <w:spacing w:line="240" w:lineRule="auto"/>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Изходни индикатори</w:t>
            </w:r>
          </w:p>
        </w:tc>
        <w:tc>
          <w:tcPr>
            <w:tcW w:w="2119" w:type="pct"/>
            <w:shd w:val="clear" w:color="auto" w:fill="1F4E79" w:themeFill="accent1" w:themeFillShade="80"/>
            <w:vAlign w:val="bottom"/>
            <w:hideMark/>
          </w:tcPr>
          <w:p w14:paraId="7F5B0678" w14:textId="77777777" w:rsidR="00E8617E" w:rsidRPr="00BC513A" w:rsidRDefault="00E8617E" w:rsidP="00922731">
            <w:pPr>
              <w:keepNext/>
              <w:spacing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Индикатор</w:t>
            </w:r>
          </w:p>
        </w:tc>
        <w:tc>
          <w:tcPr>
            <w:tcW w:w="943" w:type="pct"/>
            <w:shd w:val="clear" w:color="auto" w:fill="1F4E79" w:themeFill="accent1" w:themeFillShade="80"/>
            <w:noWrap/>
            <w:vAlign w:val="bottom"/>
            <w:hideMark/>
          </w:tcPr>
          <w:p w14:paraId="621432A3" w14:textId="77777777" w:rsidR="00E8617E" w:rsidRPr="00BC513A" w:rsidRDefault="00E8617E" w:rsidP="00922731">
            <w:pPr>
              <w:keepNext/>
              <w:spacing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Цел 2007-2013г.</w:t>
            </w:r>
          </w:p>
        </w:tc>
        <w:tc>
          <w:tcPr>
            <w:tcW w:w="786" w:type="pct"/>
            <w:shd w:val="clear" w:color="auto" w:fill="1F4E79" w:themeFill="accent1" w:themeFillShade="80"/>
            <w:vAlign w:val="bottom"/>
            <w:hideMark/>
          </w:tcPr>
          <w:p w14:paraId="3BE77999" w14:textId="77777777" w:rsidR="00E8617E" w:rsidRPr="00BC513A" w:rsidRDefault="00E8617E" w:rsidP="00922731">
            <w:pPr>
              <w:keepNext/>
              <w:spacing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Изпълнение</w:t>
            </w:r>
          </w:p>
        </w:tc>
        <w:tc>
          <w:tcPr>
            <w:tcW w:w="379" w:type="pct"/>
            <w:shd w:val="clear" w:color="auto" w:fill="1F4E79" w:themeFill="accent1" w:themeFillShade="80"/>
            <w:vAlign w:val="bottom"/>
            <w:hideMark/>
          </w:tcPr>
          <w:p w14:paraId="3A30A904" w14:textId="77777777" w:rsidR="00E8617E" w:rsidRPr="00BC513A" w:rsidRDefault="00E8617E" w:rsidP="00922731">
            <w:pPr>
              <w:keepNext/>
              <w:spacing w:line="240" w:lineRule="auto"/>
              <w:jc w:val="center"/>
              <w:rPr>
                <w:rFonts w:ascii="Arial" w:eastAsia="Times New Roman" w:hAnsi="Arial" w:cs="Arial"/>
                <w:b/>
                <w:bCs/>
                <w:color w:val="FFFFFF" w:themeColor="background1"/>
                <w:sz w:val="20"/>
                <w:szCs w:val="20"/>
                <w:lang w:eastAsia="bg-BG"/>
              </w:rPr>
            </w:pPr>
            <w:r w:rsidRPr="00BC513A">
              <w:rPr>
                <w:rFonts w:ascii="Arial" w:eastAsia="Times New Roman" w:hAnsi="Arial" w:cs="Arial"/>
                <w:b/>
                <w:bCs/>
                <w:color w:val="FFFFFF" w:themeColor="background1"/>
                <w:sz w:val="20"/>
                <w:szCs w:val="20"/>
                <w:lang w:eastAsia="bg-BG"/>
              </w:rPr>
              <w:t>%</w:t>
            </w:r>
          </w:p>
        </w:tc>
      </w:tr>
      <w:tr w:rsidR="00E8617E" w:rsidRPr="00BC513A" w14:paraId="487D91CA" w14:textId="77777777" w:rsidTr="00922731">
        <w:trPr>
          <w:trHeight w:val="417"/>
          <w:jc w:val="center"/>
        </w:trPr>
        <w:tc>
          <w:tcPr>
            <w:tcW w:w="773" w:type="pct"/>
            <w:vMerge/>
            <w:shd w:val="clear" w:color="auto" w:fill="auto"/>
            <w:vAlign w:val="center"/>
          </w:tcPr>
          <w:p w14:paraId="208B17FE" w14:textId="77777777" w:rsidR="00E8617E" w:rsidRPr="00BC513A" w:rsidRDefault="00E8617E" w:rsidP="00922731">
            <w:pPr>
              <w:spacing w:line="240" w:lineRule="auto"/>
              <w:jc w:val="center"/>
              <w:rPr>
                <w:rFonts w:ascii="Arial" w:eastAsia="Times New Roman" w:hAnsi="Arial" w:cs="Arial"/>
                <w:b/>
                <w:bCs/>
                <w:sz w:val="20"/>
                <w:szCs w:val="20"/>
                <w:lang w:eastAsia="bg-BG"/>
              </w:rPr>
            </w:pPr>
          </w:p>
        </w:tc>
        <w:tc>
          <w:tcPr>
            <w:tcW w:w="2119" w:type="pct"/>
            <w:shd w:val="clear" w:color="auto" w:fill="auto"/>
            <w:vAlign w:val="center"/>
            <w:hideMark/>
          </w:tcPr>
          <w:p w14:paraId="13242559" w14:textId="77777777" w:rsidR="00E8617E" w:rsidRPr="00BC513A" w:rsidRDefault="00E8617E" w:rsidP="00922731">
            <w:pPr>
              <w:spacing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 xml:space="preserve">Брой дейности за придобиване на умения и постигане на обществена активност </w:t>
            </w:r>
          </w:p>
        </w:tc>
        <w:tc>
          <w:tcPr>
            <w:tcW w:w="943" w:type="pct"/>
            <w:shd w:val="clear" w:color="auto" w:fill="auto"/>
            <w:noWrap/>
            <w:vAlign w:val="center"/>
            <w:hideMark/>
          </w:tcPr>
          <w:p w14:paraId="6CB9720A" w14:textId="77777777" w:rsidR="00E8617E" w:rsidRPr="00BC513A" w:rsidRDefault="00E8617E" w:rsidP="00922731">
            <w:pPr>
              <w:spacing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1 300</w:t>
            </w:r>
          </w:p>
        </w:tc>
        <w:tc>
          <w:tcPr>
            <w:tcW w:w="786" w:type="pct"/>
            <w:shd w:val="clear" w:color="000000" w:fill="FFFFFF"/>
            <w:vAlign w:val="center"/>
            <w:hideMark/>
          </w:tcPr>
          <w:p w14:paraId="2158D801" w14:textId="77777777" w:rsidR="00E8617E" w:rsidRPr="00BC513A" w:rsidRDefault="00E8617E" w:rsidP="00922731">
            <w:pPr>
              <w:spacing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1 071</w:t>
            </w:r>
          </w:p>
        </w:tc>
        <w:tc>
          <w:tcPr>
            <w:tcW w:w="379" w:type="pct"/>
            <w:shd w:val="clear" w:color="000000" w:fill="FFFFFF"/>
            <w:vAlign w:val="center"/>
            <w:hideMark/>
          </w:tcPr>
          <w:p w14:paraId="68636744" w14:textId="77777777" w:rsidR="00E8617E" w:rsidRPr="00BC513A" w:rsidRDefault="00E8617E" w:rsidP="00922731">
            <w:pPr>
              <w:spacing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82%</w:t>
            </w:r>
          </w:p>
        </w:tc>
      </w:tr>
      <w:tr w:rsidR="00E8617E" w:rsidRPr="00BC513A" w14:paraId="465A6D0D" w14:textId="77777777" w:rsidTr="00922731">
        <w:trPr>
          <w:trHeight w:val="525"/>
          <w:jc w:val="center"/>
        </w:trPr>
        <w:tc>
          <w:tcPr>
            <w:tcW w:w="773" w:type="pct"/>
            <w:vMerge/>
            <w:shd w:val="clear" w:color="auto" w:fill="auto"/>
            <w:vAlign w:val="center"/>
          </w:tcPr>
          <w:p w14:paraId="144ED66A" w14:textId="77777777" w:rsidR="00E8617E" w:rsidRPr="00BC513A" w:rsidRDefault="00E8617E" w:rsidP="00922731">
            <w:pPr>
              <w:spacing w:line="240" w:lineRule="auto"/>
              <w:jc w:val="center"/>
              <w:rPr>
                <w:rFonts w:ascii="Arial" w:eastAsia="Times New Roman" w:hAnsi="Arial" w:cs="Arial"/>
                <w:b/>
                <w:bCs/>
                <w:sz w:val="20"/>
                <w:szCs w:val="20"/>
                <w:lang w:eastAsia="bg-BG"/>
              </w:rPr>
            </w:pPr>
          </w:p>
        </w:tc>
        <w:tc>
          <w:tcPr>
            <w:tcW w:w="2119" w:type="pct"/>
            <w:shd w:val="clear" w:color="auto" w:fill="auto"/>
            <w:vAlign w:val="center"/>
            <w:hideMark/>
          </w:tcPr>
          <w:p w14:paraId="2F8466CB" w14:textId="77777777" w:rsidR="00E8617E" w:rsidRPr="00BC513A" w:rsidRDefault="00E8617E" w:rsidP="00922731">
            <w:pPr>
              <w:spacing w:line="240" w:lineRule="auto"/>
              <w:rPr>
                <w:rFonts w:ascii="Arial" w:eastAsia="Times New Roman" w:hAnsi="Arial" w:cs="Arial"/>
                <w:sz w:val="20"/>
                <w:szCs w:val="20"/>
                <w:lang w:eastAsia="bg-BG"/>
              </w:rPr>
            </w:pPr>
            <w:r w:rsidRPr="00BC513A">
              <w:rPr>
                <w:rFonts w:ascii="Arial" w:eastAsia="Times New Roman" w:hAnsi="Arial" w:cs="Arial"/>
                <w:sz w:val="20"/>
                <w:szCs w:val="20"/>
                <w:lang w:eastAsia="bg-BG"/>
              </w:rPr>
              <w:t>Брой на участниците в дейностите по обучение</w:t>
            </w:r>
          </w:p>
        </w:tc>
        <w:tc>
          <w:tcPr>
            <w:tcW w:w="943" w:type="pct"/>
            <w:shd w:val="clear" w:color="auto" w:fill="auto"/>
            <w:noWrap/>
            <w:vAlign w:val="center"/>
            <w:hideMark/>
          </w:tcPr>
          <w:p w14:paraId="05683BC3" w14:textId="77777777" w:rsidR="00E8617E" w:rsidRPr="00BC513A" w:rsidRDefault="00E8617E" w:rsidP="00922731">
            <w:pPr>
              <w:spacing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26 000</w:t>
            </w:r>
          </w:p>
        </w:tc>
        <w:tc>
          <w:tcPr>
            <w:tcW w:w="786" w:type="pct"/>
            <w:shd w:val="clear" w:color="000000" w:fill="FFFFFF"/>
            <w:vAlign w:val="center"/>
            <w:hideMark/>
          </w:tcPr>
          <w:p w14:paraId="0AC95C4B" w14:textId="77777777" w:rsidR="00E8617E" w:rsidRPr="00BC513A" w:rsidRDefault="00E8617E" w:rsidP="00922731">
            <w:pPr>
              <w:spacing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11 446</w:t>
            </w:r>
          </w:p>
        </w:tc>
        <w:tc>
          <w:tcPr>
            <w:tcW w:w="379" w:type="pct"/>
            <w:shd w:val="clear" w:color="000000" w:fill="FFFFFF"/>
            <w:vAlign w:val="center"/>
            <w:hideMark/>
          </w:tcPr>
          <w:p w14:paraId="69E6626A" w14:textId="77777777" w:rsidR="00E8617E" w:rsidRPr="00BC513A" w:rsidRDefault="00E8617E" w:rsidP="00922731">
            <w:pPr>
              <w:spacing w:line="240" w:lineRule="auto"/>
              <w:jc w:val="center"/>
              <w:rPr>
                <w:rFonts w:ascii="Arial" w:eastAsia="Times New Roman" w:hAnsi="Arial" w:cs="Arial"/>
                <w:sz w:val="20"/>
                <w:szCs w:val="20"/>
                <w:lang w:eastAsia="bg-BG"/>
              </w:rPr>
            </w:pPr>
            <w:r w:rsidRPr="00BC513A">
              <w:rPr>
                <w:rFonts w:ascii="Arial" w:eastAsia="Times New Roman" w:hAnsi="Arial" w:cs="Arial"/>
                <w:sz w:val="20"/>
                <w:szCs w:val="20"/>
                <w:lang w:eastAsia="bg-BG"/>
              </w:rPr>
              <w:t>44%</w:t>
            </w:r>
          </w:p>
        </w:tc>
      </w:tr>
    </w:tbl>
    <w:p w14:paraId="16165ED2" w14:textId="77777777" w:rsidR="00E8617E" w:rsidRPr="00F07F15" w:rsidRDefault="00E8617E" w:rsidP="00E8617E">
      <w:pPr>
        <w:pStyle w:val="ListParagraph"/>
        <w:tabs>
          <w:tab w:val="left" w:pos="993"/>
        </w:tabs>
        <w:autoSpaceDE w:val="0"/>
        <w:autoSpaceDN w:val="0"/>
        <w:ind w:left="0"/>
        <w:jc w:val="both"/>
        <w:rPr>
          <w:rFonts w:ascii="Arial" w:hAnsi="Arial" w:cs="Arial"/>
          <w:sz w:val="18"/>
          <w:szCs w:val="18"/>
        </w:rPr>
      </w:pPr>
      <w:r w:rsidRPr="00F07F15">
        <w:rPr>
          <w:rFonts w:ascii="Arial" w:hAnsi="Arial" w:cs="Arial"/>
          <w:sz w:val="18"/>
          <w:szCs w:val="18"/>
        </w:rPr>
        <w:t>Източник: Годишен доклад на ПРСР 2007-2013 за 2015 г.</w:t>
      </w:r>
    </w:p>
    <w:p w14:paraId="7340629F"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Изграденият капацитет можеше да бъде по-голям, ако бяха финансирани повече МИГ, предвид на големия интерес, като резултат от изпълнението на подготвителната подмярка 431-2.</w:t>
      </w:r>
    </w:p>
    <w:p w14:paraId="081460C8" w14:textId="64C679F6" w:rsidR="00E8617E"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Анализът на напредъка за постигане на целите показва, че поставената цел за брой подпомогнати МИГ е изпълнена на 70% (35 при заложени 50), а по отношение на индикатора, свързан с общата площ</w:t>
      </w:r>
      <w:r w:rsidR="00710FCA">
        <w:rPr>
          <w:rFonts w:cs="Arial"/>
          <w:sz w:val="22"/>
          <w:szCs w:val="22"/>
          <w:lang w:val="bg-BG"/>
        </w:rPr>
        <w:t>,</w:t>
      </w:r>
      <w:r w:rsidRPr="00BC513A">
        <w:rPr>
          <w:rFonts w:cs="Arial"/>
          <w:sz w:val="22"/>
          <w:szCs w:val="22"/>
          <w:lang w:val="bg-BG"/>
        </w:rPr>
        <w:t xml:space="preserve"> обхваната от МИГ</w:t>
      </w:r>
      <w:r w:rsidR="00710FCA">
        <w:rPr>
          <w:rFonts w:cs="Arial"/>
          <w:sz w:val="22"/>
          <w:szCs w:val="22"/>
          <w:lang w:val="bg-BG"/>
        </w:rPr>
        <w:t>,</w:t>
      </w:r>
      <w:r w:rsidRPr="00BC513A">
        <w:rPr>
          <w:rFonts w:cs="Arial"/>
          <w:sz w:val="22"/>
          <w:szCs w:val="22"/>
          <w:lang w:val="bg-BG"/>
        </w:rPr>
        <w:t xml:space="preserve"> изпълнението е 72% (25 800 кв.м. от заложени 36 000 кв.м.). Изпълнението на индикатора</w:t>
      </w:r>
      <w:r w:rsidR="00710FCA">
        <w:rPr>
          <w:rFonts w:cs="Arial"/>
          <w:sz w:val="22"/>
          <w:szCs w:val="22"/>
          <w:lang w:val="bg-BG"/>
        </w:rPr>
        <w:t>,</w:t>
      </w:r>
      <w:r w:rsidRPr="00BC513A">
        <w:rPr>
          <w:rFonts w:cs="Arial"/>
          <w:sz w:val="22"/>
          <w:szCs w:val="22"/>
          <w:lang w:val="bg-BG"/>
        </w:rPr>
        <w:t xml:space="preserve"> свързан с население, обхванато от МИГ</w:t>
      </w:r>
      <w:r w:rsidR="00710FCA">
        <w:rPr>
          <w:rFonts w:cs="Arial"/>
          <w:sz w:val="22"/>
          <w:szCs w:val="22"/>
          <w:lang w:val="bg-BG"/>
        </w:rPr>
        <w:t>,</w:t>
      </w:r>
      <w:r w:rsidRPr="00BC513A">
        <w:rPr>
          <w:rFonts w:cs="Arial"/>
          <w:sz w:val="22"/>
          <w:szCs w:val="22"/>
          <w:lang w:val="bg-BG"/>
        </w:rPr>
        <w:t xml:space="preserve"> е 64% (постигнато 801 688 </w:t>
      </w:r>
      <w:r w:rsidR="00710FCA">
        <w:rPr>
          <w:rFonts w:cs="Arial"/>
          <w:sz w:val="22"/>
          <w:szCs w:val="22"/>
          <w:lang w:val="bg-BG"/>
        </w:rPr>
        <w:t xml:space="preserve">д. </w:t>
      </w:r>
      <w:r w:rsidRPr="00BC513A">
        <w:rPr>
          <w:rFonts w:cs="Arial"/>
          <w:sz w:val="22"/>
          <w:szCs w:val="22"/>
          <w:lang w:val="bg-BG"/>
        </w:rPr>
        <w:t>при индикатор 1 260</w:t>
      </w:r>
      <w:r w:rsidR="00710FCA">
        <w:rPr>
          <w:rFonts w:cs="Arial"/>
          <w:sz w:val="22"/>
          <w:szCs w:val="22"/>
          <w:lang w:val="bg-BG"/>
        </w:rPr>
        <w:t> </w:t>
      </w:r>
      <w:r w:rsidRPr="00BC513A">
        <w:rPr>
          <w:rFonts w:cs="Arial"/>
          <w:sz w:val="22"/>
          <w:szCs w:val="22"/>
          <w:lang w:val="bg-BG"/>
        </w:rPr>
        <w:t>000</w:t>
      </w:r>
      <w:r w:rsidR="00710FCA">
        <w:rPr>
          <w:rFonts w:cs="Arial"/>
          <w:sz w:val="22"/>
          <w:szCs w:val="22"/>
          <w:lang w:val="bg-BG"/>
        </w:rPr>
        <w:t xml:space="preserve"> д.</w:t>
      </w:r>
      <w:r w:rsidRPr="00BC513A">
        <w:rPr>
          <w:rFonts w:cs="Arial"/>
          <w:sz w:val="22"/>
          <w:szCs w:val="22"/>
          <w:lang w:val="bg-BG"/>
        </w:rPr>
        <w:t>).</w:t>
      </w:r>
      <w:r w:rsidRPr="00BC513A">
        <w:rPr>
          <w:rStyle w:val="FootnoteReference"/>
          <w:rFonts w:cs="Arial"/>
          <w:sz w:val="22"/>
          <w:szCs w:val="22"/>
          <w:lang w:val="bg-BG"/>
        </w:rPr>
        <w:footnoteReference w:id="35"/>
      </w:r>
    </w:p>
    <w:p w14:paraId="10D1853E" w14:textId="77777777" w:rsidR="004E22CE" w:rsidRPr="00BC513A" w:rsidRDefault="004E22CE" w:rsidP="00E8617E">
      <w:pPr>
        <w:pStyle w:val="DefaultText"/>
        <w:spacing w:after="120" w:line="300" w:lineRule="atLeast"/>
        <w:ind w:firstLine="709"/>
        <w:rPr>
          <w:rFonts w:cs="Arial"/>
          <w:sz w:val="22"/>
          <w:szCs w:val="22"/>
          <w:lang w:val="bg-BG"/>
        </w:rPr>
      </w:pPr>
      <w:r w:rsidRPr="004E22CE">
        <w:rPr>
          <w:rFonts w:cs="Arial"/>
          <w:sz w:val="22"/>
          <w:szCs w:val="22"/>
          <w:lang w:val="bg-BG"/>
        </w:rPr>
        <w:t>Следва да се има предвид, че индикаторът за брой подпомогнати МИГ е бил заложен съобразно предвиденото финансиране, като се е считало, че не всички стратегии ще бъдат на максималния праг. В последствие</w:t>
      </w:r>
      <w:r w:rsidR="007B0424">
        <w:rPr>
          <w:rFonts w:cs="Arial"/>
          <w:sz w:val="22"/>
          <w:szCs w:val="22"/>
          <w:lang w:val="bg-BG"/>
        </w:rPr>
        <w:t>,</w:t>
      </w:r>
      <w:r w:rsidRPr="004E22CE">
        <w:rPr>
          <w:rFonts w:cs="Arial"/>
          <w:sz w:val="22"/>
          <w:szCs w:val="22"/>
          <w:lang w:val="bg-BG"/>
        </w:rPr>
        <w:t xml:space="preserve"> тази целева стойност става невъзможна за постигане, предвид, че всички одобрени стратегии са били на максималния допустим праг за финансиране. </w:t>
      </w:r>
    </w:p>
    <w:p w14:paraId="50F151EC" w14:textId="3A2585C9" w:rsidR="00E8617E" w:rsidRPr="00BC513A" w:rsidRDefault="007B0424" w:rsidP="00E8617E">
      <w:pPr>
        <w:pStyle w:val="DefaultText"/>
        <w:spacing w:after="120" w:line="300" w:lineRule="atLeast"/>
        <w:ind w:firstLine="708"/>
        <w:rPr>
          <w:rFonts w:cs="Arial"/>
          <w:sz w:val="22"/>
          <w:szCs w:val="22"/>
          <w:lang w:val="bg-BG"/>
        </w:rPr>
      </w:pPr>
      <w:r>
        <w:rPr>
          <w:rFonts w:cs="Arial"/>
          <w:sz w:val="22"/>
          <w:szCs w:val="22"/>
          <w:lang w:val="bg-BG"/>
        </w:rPr>
        <w:t>Н</w:t>
      </w:r>
      <w:r w:rsidR="00E8617E" w:rsidRPr="00BC513A">
        <w:rPr>
          <w:rFonts w:cs="Arial"/>
          <w:sz w:val="22"/>
          <w:szCs w:val="22"/>
          <w:lang w:val="bg-BG"/>
        </w:rPr>
        <w:t>еизпълнението на мярка 341</w:t>
      </w:r>
      <w:r w:rsidR="007E4B3D">
        <w:rPr>
          <w:rFonts w:cs="Arial"/>
          <w:sz w:val="22"/>
          <w:szCs w:val="22"/>
          <w:lang w:val="bg-BG"/>
        </w:rPr>
        <w:t>, чиито цели на практика са постигнати с мярка 431,</w:t>
      </w:r>
      <w:r w:rsidR="00E8617E" w:rsidRPr="00BC513A">
        <w:rPr>
          <w:rFonts w:cs="Arial"/>
          <w:sz w:val="22"/>
          <w:szCs w:val="22"/>
          <w:lang w:val="bg-BG"/>
        </w:rPr>
        <w:t xml:space="preserve"> и прехвърлянето на средствата </w:t>
      </w:r>
      <w:r w:rsidR="00F16816">
        <w:rPr>
          <w:rFonts w:cs="Arial"/>
          <w:sz w:val="22"/>
          <w:szCs w:val="22"/>
          <w:lang w:val="bg-BG"/>
        </w:rPr>
        <w:t xml:space="preserve">по мярката (около </w:t>
      </w:r>
      <w:r w:rsidR="003476D5">
        <w:rPr>
          <w:rFonts w:cs="Arial"/>
          <w:sz w:val="22"/>
          <w:szCs w:val="22"/>
          <w:lang w:val="bg-BG"/>
        </w:rPr>
        <w:t>61</w:t>
      </w:r>
      <w:r w:rsidR="00F16816">
        <w:rPr>
          <w:rFonts w:cs="Arial"/>
          <w:sz w:val="22"/>
          <w:szCs w:val="22"/>
          <w:lang w:val="bg-BG"/>
        </w:rPr>
        <w:t xml:space="preserve"> милиона евро)</w:t>
      </w:r>
      <w:r>
        <w:rPr>
          <w:rFonts w:cs="Arial"/>
          <w:sz w:val="22"/>
          <w:szCs w:val="22"/>
          <w:lang w:val="bg-BG"/>
        </w:rPr>
        <w:t xml:space="preserve"> </w:t>
      </w:r>
      <w:r w:rsidR="00E8617E" w:rsidRPr="00BC513A">
        <w:rPr>
          <w:rFonts w:cs="Arial"/>
          <w:sz w:val="22"/>
          <w:szCs w:val="22"/>
          <w:lang w:val="bg-BG"/>
        </w:rPr>
        <w:t xml:space="preserve">към инвестиционните мерки от ос 3 редуцира финансовите възможности за подкрепа на МИГ и се отразява негативно на постигане на целите за изграждане на местен капацитет. </w:t>
      </w:r>
      <w:r w:rsidR="00F16816">
        <w:rPr>
          <w:rFonts w:cs="Arial"/>
          <w:sz w:val="22"/>
          <w:szCs w:val="22"/>
          <w:lang w:val="bg-BG"/>
        </w:rPr>
        <w:t>Бюджетът на нереализираната мярка 341 е значителен на фона на общо заложените 76 милиона евр</w:t>
      </w:r>
      <w:r w:rsidR="003476D5">
        <w:rPr>
          <w:rFonts w:cs="Arial"/>
          <w:sz w:val="22"/>
          <w:szCs w:val="22"/>
          <w:lang w:val="bg-BG"/>
        </w:rPr>
        <w:t>о</w:t>
      </w:r>
      <w:r w:rsidR="00F16816">
        <w:rPr>
          <w:rFonts w:cs="Arial"/>
          <w:sz w:val="22"/>
          <w:szCs w:val="22"/>
          <w:lang w:val="bg-BG"/>
        </w:rPr>
        <w:t xml:space="preserve"> по ос 4 ЛИДЕР.</w:t>
      </w:r>
    </w:p>
    <w:p w14:paraId="54E09FA1" w14:textId="1C07FBC3" w:rsidR="006256A9"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Другата основна линия за създаване на местен капацитет са изпълнените проекти от представители на местните общности по мярка 41. Това са основно бенефициенти, които изпълняват за първи път проектни дейности с европейско финансиране. Основната причина за това е изграденото доверие към екипите на МИГ, които са постоянно на разположение в етапа на кандидатстване – от консултацията за избор на мярка, през предоставяне на съвети как най-правилно да се формулира и изпълни проект</w:t>
      </w:r>
      <w:r w:rsidR="00710FCA">
        <w:rPr>
          <w:rFonts w:cs="Arial"/>
          <w:sz w:val="22"/>
          <w:szCs w:val="22"/>
          <w:lang w:val="bg-BG"/>
        </w:rPr>
        <w:t>ът</w:t>
      </w:r>
      <w:r w:rsidRPr="00BC513A">
        <w:rPr>
          <w:rFonts w:cs="Arial"/>
          <w:sz w:val="22"/>
          <w:szCs w:val="22"/>
          <w:lang w:val="bg-BG"/>
        </w:rPr>
        <w:t xml:space="preserve"> и накрая градивен мониторинг върху изпълнението. Спецификата на проектите е, че те са по-малки по размер, покриващи местни приоритети, създаващи заетост и основно за разнообразяване на дейността на бенефициента. Тук е и основната разлика в прилагането на мерки 311 и 312 от стратегиите на МИГ в сравнение със същите от ПРСР (подкрепили основно дейности за селски туризъм и ВЕИ). По мерките на МИГ са създадени редица малки и полезни за местните общности бизнес инициативи, като автомонтьорски, фризьорски и туристически услуги, заведения за обществено хранене и др.</w:t>
      </w:r>
      <w:r w:rsidR="00D636A0">
        <w:rPr>
          <w:rFonts w:cs="Arial"/>
          <w:sz w:val="22"/>
          <w:szCs w:val="22"/>
          <w:lang w:val="bg-BG"/>
        </w:rPr>
        <w:t xml:space="preserve"> </w:t>
      </w:r>
    </w:p>
    <w:tbl>
      <w:tblPr>
        <w:tblStyle w:val="TableGrid"/>
        <w:tblW w:w="0" w:type="auto"/>
        <w:tblLook w:val="04A0" w:firstRow="1" w:lastRow="0" w:firstColumn="1" w:lastColumn="0" w:noHBand="0" w:noVBand="1"/>
      </w:tblPr>
      <w:tblGrid>
        <w:gridCol w:w="9061"/>
      </w:tblGrid>
      <w:tr w:rsidR="00D636A0" w14:paraId="062EF7B9" w14:textId="77777777" w:rsidTr="00D636A0">
        <w:tc>
          <w:tcPr>
            <w:tcW w:w="9061" w:type="dxa"/>
          </w:tcPr>
          <w:p w14:paraId="4858B59C" w14:textId="363A960F" w:rsidR="006256A9" w:rsidRPr="006256A9" w:rsidRDefault="00F3142F" w:rsidP="00D636A0">
            <w:pPr>
              <w:pStyle w:val="DefaultText"/>
              <w:spacing w:after="120" w:line="300" w:lineRule="atLeast"/>
              <w:rPr>
                <w:rFonts w:cs="Arial"/>
                <w:b/>
                <w:sz w:val="20"/>
                <w:szCs w:val="20"/>
                <w:lang w:val="ru-RU"/>
              </w:rPr>
            </w:pPr>
            <w:r>
              <w:rPr>
                <w:rFonts w:cs="Arial"/>
                <w:b/>
                <w:sz w:val="20"/>
                <w:szCs w:val="20"/>
                <w:lang w:val="bg-BG"/>
              </w:rPr>
              <w:t>П</w:t>
            </w:r>
            <w:r w:rsidR="006256A9" w:rsidRPr="006256A9">
              <w:rPr>
                <w:rFonts w:cs="Arial"/>
                <w:b/>
                <w:sz w:val="20"/>
                <w:szCs w:val="20"/>
                <w:lang w:val="ru-RU"/>
              </w:rPr>
              <w:t>олзи от изпълнението на местните стратегии за развите</w:t>
            </w:r>
            <w:r w:rsidR="00837873">
              <w:rPr>
                <w:rFonts w:cs="Arial"/>
                <w:b/>
                <w:sz w:val="20"/>
                <w:szCs w:val="20"/>
                <w:lang w:val="ru-RU"/>
              </w:rPr>
              <w:t>:</w:t>
            </w:r>
            <w:r w:rsidR="006256A9" w:rsidRPr="006256A9">
              <w:rPr>
                <w:rFonts w:cs="Arial"/>
                <w:b/>
                <w:sz w:val="20"/>
                <w:szCs w:val="20"/>
                <w:lang w:val="ru-RU"/>
              </w:rPr>
              <w:t xml:space="preserve"> </w:t>
            </w:r>
          </w:p>
          <w:p w14:paraId="0E3BFE83" w14:textId="77777777" w:rsidR="00D636A0" w:rsidRDefault="00D636A0" w:rsidP="00D636A0">
            <w:pPr>
              <w:pStyle w:val="DefaultText"/>
              <w:numPr>
                <w:ilvl w:val="0"/>
                <w:numId w:val="55"/>
              </w:numPr>
              <w:spacing w:line="300" w:lineRule="atLeast"/>
              <w:ind w:left="714" w:hanging="357"/>
              <w:rPr>
                <w:rFonts w:cs="Arial"/>
                <w:sz w:val="20"/>
                <w:szCs w:val="20"/>
                <w:lang w:val="ru-RU"/>
              </w:rPr>
            </w:pPr>
            <w:r w:rsidRPr="00D636A0">
              <w:rPr>
                <w:rFonts w:cs="Arial"/>
                <w:sz w:val="20"/>
                <w:szCs w:val="20"/>
                <w:lang w:val="ru-RU"/>
              </w:rPr>
              <w:t xml:space="preserve">Закупуване на оборудване за </w:t>
            </w:r>
            <w:r>
              <w:rPr>
                <w:rFonts w:cs="Arial"/>
                <w:sz w:val="20"/>
                <w:szCs w:val="20"/>
                <w:lang w:val="ru-RU"/>
              </w:rPr>
              <w:t>подпомагане на местния бизнес и земеделските сторанства;</w:t>
            </w:r>
          </w:p>
          <w:p w14:paraId="2E9F9D17" w14:textId="77777777" w:rsidR="00D636A0" w:rsidRDefault="00D636A0" w:rsidP="00D636A0">
            <w:pPr>
              <w:pStyle w:val="DefaultText"/>
              <w:numPr>
                <w:ilvl w:val="0"/>
                <w:numId w:val="55"/>
              </w:numPr>
              <w:spacing w:line="300" w:lineRule="atLeast"/>
              <w:ind w:left="714" w:hanging="357"/>
              <w:rPr>
                <w:rFonts w:cs="Arial"/>
                <w:sz w:val="20"/>
                <w:szCs w:val="20"/>
                <w:lang w:val="ru-RU"/>
              </w:rPr>
            </w:pPr>
            <w:r>
              <w:rPr>
                <w:rFonts w:cs="Arial"/>
                <w:sz w:val="20"/>
                <w:szCs w:val="20"/>
                <w:lang w:val="ru-RU"/>
              </w:rPr>
              <w:t>О</w:t>
            </w:r>
            <w:r w:rsidR="00F3142F">
              <w:rPr>
                <w:rFonts w:cs="Arial"/>
                <w:sz w:val="20"/>
                <w:szCs w:val="20"/>
                <w:lang w:val="ru-RU"/>
              </w:rPr>
              <w:t>п</w:t>
            </w:r>
            <w:r>
              <w:rPr>
                <w:rFonts w:cs="Arial"/>
                <w:sz w:val="20"/>
                <w:szCs w:val="20"/>
                <w:lang w:val="ru-RU"/>
              </w:rPr>
              <w:t>азване и възстановяване на природното наследство;</w:t>
            </w:r>
          </w:p>
          <w:p w14:paraId="3C5A495B" w14:textId="77777777" w:rsidR="00D636A0" w:rsidRDefault="00D636A0" w:rsidP="00D636A0">
            <w:pPr>
              <w:pStyle w:val="DefaultText"/>
              <w:numPr>
                <w:ilvl w:val="0"/>
                <w:numId w:val="55"/>
              </w:numPr>
              <w:spacing w:line="300" w:lineRule="atLeast"/>
              <w:ind w:left="714" w:hanging="357"/>
              <w:rPr>
                <w:rFonts w:cs="Arial"/>
                <w:sz w:val="20"/>
                <w:szCs w:val="20"/>
                <w:lang w:val="ru-RU"/>
              </w:rPr>
            </w:pPr>
            <w:r>
              <w:rPr>
                <w:rFonts w:cs="Arial"/>
                <w:sz w:val="20"/>
                <w:szCs w:val="20"/>
                <w:lang w:val="ru-RU"/>
              </w:rPr>
              <w:t>Опазване на културното наследство;</w:t>
            </w:r>
          </w:p>
          <w:p w14:paraId="6EBD0544" w14:textId="77777777" w:rsidR="00D636A0" w:rsidRDefault="00D636A0" w:rsidP="00D636A0">
            <w:pPr>
              <w:pStyle w:val="DefaultText"/>
              <w:numPr>
                <w:ilvl w:val="0"/>
                <w:numId w:val="55"/>
              </w:numPr>
              <w:spacing w:line="300" w:lineRule="atLeast"/>
              <w:ind w:left="714" w:hanging="357"/>
              <w:rPr>
                <w:rFonts w:cs="Arial"/>
                <w:sz w:val="20"/>
                <w:szCs w:val="20"/>
                <w:lang w:val="ru-RU"/>
              </w:rPr>
            </w:pPr>
            <w:r>
              <w:rPr>
                <w:rFonts w:cs="Arial"/>
                <w:sz w:val="20"/>
                <w:szCs w:val="20"/>
                <w:lang w:val="ru-RU"/>
              </w:rPr>
              <w:t>Насърчаване на туристическите дейности;</w:t>
            </w:r>
          </w:p>
          <w:p w14:paraId="64800068" w14:textId="77777777" w:rsidR="00D636A0" w:rsidRDefault="006256A9" w:rsidP="00D636A0">
            <w:pPr>
              <w:pStyle w:val="DefaultText"/>
              <w:numPr>
                <w:ilvl w:val="0"/>
                <w:numId w:val="55"/>
              </w:numPr>
              <w:spacing w:line="300" w:lineRule="atLeast"/>
              <w:ind w:left="714" w:hanging="357"/>
              <w:rPr>
                <w:rFonts w:cs="Arial"/>
                <w:sz w:val="20"/>
                <w:szCs w:val="20"/>
                <w:lang w:val="ru-RU"/>
              </w:rPr>
            </w:pPr>
            <w:r>
              <w:rPr>
                <w:rFonts w:cs="Arial"/>
                <w:sz w:val="20"/>
                <w:szCs w:val="20"/>
                <w:lang w:val="ru-RU"/>
              </w:rPr>
              <w:t xml:space="preserve">Рехабилитация на обществени </w:t>
            </w:r>
            <w:r>
              <w:rPr>
                <w:rFonts w:cs="Arial"/>
                <w:sz w:val="20"/>
                <w:szCs w:val="20"/>
                <w:lang w:val="bg-BG"/>
              </w:rPr>
              <w:t xml:space="preserve">сгради и </w:t>
            </w:r>
            <w:r w:rsidR="00D636A0" w:rsidRPr="00D636A0">
              <w:rPr>
                <w:rFonts w:cs="Arial"/>
                <w:sz w:val="20"/>
                <w:szCs w:val="20"/>
                <w:lang w:val="ru-RU"/>
              </w:rPr>
              <w:t>площи</w:t>
            </w:r>
            <w:r w:rsidR="00D636A0">
              <w:rPr>
                <w:rFonts w:cs="Arial"/>
                <w:sz w:val="20"/>
                <w:szCs w:val="20"/>
                <w:lang w:val="ru-RU"/>
              </w:rPr>
              <w:t>;</w:t>
            </w:r>
          </w:p>
          <w:p w14:paraId="1D9C759E" w14:textId="77777777" w:rsidR="00D636A0" w:rsidRDefault="00D636A0" w:rsidP="00D636A0">
            <w:pPr>
              <w:pStyle w:val="DefaultText"/>
              <w:numPr>
                <w:ilvl w:val="0"/>
                <w:numId w:val="55"/>
              </w:numPr>
              <w:spacing w:line="300" w:lineRule="atLeast"/>
              <w:ind w:left="714" w:hanging="357"/>
              <w:rPr>
                <w:rFonts w:cs="Arial"/>
                <w:sz w:val="20"/>
                <w:szCs w:val="20"/>
                <w:lang w:val="ru-RU"/>
              </w:rPr>
            </w:pPr>
            <w:r>
              <w:rPr>
                <w:rFonts w:cs="Arial"/>
                <w:sz w:val="20"/>
                <w:szCs w:val="20"/>
                <w:lang w:val="ru-RU"/>
              </w:rPr>
              <w:t>Изграждане на спортни площадки.</w:t>
            </w:r>
          </w:p>
          <w:p w14:paraId="1658EE17" w14:textId="77777777" w:rsidR="00D636A0" w:rsidRDefault="00D636A0" w:rsidP="00D636A0">
            <w:pPr>
              <w:pStyle w:val="DefaultText"/>
              <w:spacing w:after="120" w:line="300" w:lineRule="atLeast"/>
              <w:rPr>
                <w:rFonts w:cs="Arial"/>
                <w:sz w:val="20"/>
                <w:szCs w:val="20"/>
                <w:lang w:val="ru-RU"/>
              </w:rPr>
            </w:pPr>
          </w:p>
          <w:p w14:paraId="6CB2AAF7" w14:textId="77777777" w:rsidR="00D636A0" w:rsidRDefault="00D636A0" w:rsidP="00D636A0">
            <w:pPr>
              <w:pStyle w:val="DefaultText"/>
              <w:spacing w:after="120" w:line="300" w:lineRule="atLeast"/>
              <w:rPr>
                <w:rFonts w:cs="Arial"/>
                <w:sz w:val="20"/>
                <w:szCs w:val="20"/>
                <w:lang w:val="ru-RU"/>
              </w:rPr>
            </w:pPr>
            <w:r w:rsidRPr="00D636A0">
              <w:rPr>
                <w:rFonts w:cs="Arial"/>
                <w:noProof/>
                <w:sz w:val="20"/>
                <w:szCs w:val="20"/>
                <w:lang w:val="en-US" w:eastAsia="en-US"/>
              </w:rPr>
              <w:drawing>
                <wp:inline distT="0" distB="0" distL="0" distR="0" wp14:anchorId="5B2116D2" wp14:editId="1F755CDE">
                  <wp:extent cx="1679171" cy="1470379"/>
                  <wp:effectExtent l="0" t="0" r="0" b="0"/>
                  <wp:docPr id="6150" name="Picture 1" descr="12032867_869470826423543_8226050461896222569_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0" name="Picture 1" descr="12032867_869470826423543_8226050461896222569_o"/>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686346" cy="1476662"/>
                          </a:xfrm>
                          <a:prstGeom prst="rect">
                            <a:avLst/>
                          </a:prstGeom>
                          <a:noFill/>
                          <a:ln>
                            <a:noFill/>
                          </a:ln>
                          <a:effectLst/>
                          <a:extLst/>
                        </pic:spPr>
                      </pic:pic>
                    </a:graphicData>
                  </a:graphic>
                </wp:inline>
              </w:drawing>
            </w:r>
            <w:r w:rsidRPr="00D636A0">
              <w:rPr>
                <w:rFonts w:cs="Arial"/>
                <w:noProof/>
                <w:sz w:val="20"/>
                <w:szCs w:val="20"/>
                <w:lang w:val="en-US" w:eastAsia="en-US"/>
              </w:rPr>
              <w:drawing>
                <wp:inline distT="0" distB="0" distL="0" distR="0" wp14:anchorId="74787DAC" wp14:editId="4D7A2532">
                  <wp:extent cx="1801204" cy="1465637"/>
                  <wp:effectExtent l="0" t="0" r="8890" b="1270"/>
                  <wp:docPr id="9222"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2" name="Картина 4"/>
                          <pic:cNvPicPr>
                            <a:picLocks noChangeAspect="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820881" cy="1481648"/>
                          </a:xfrm>
                          <a:prstGeom prst="rect">
                            <a:avLst/>
                          </a:prstGeom>
                          <a:noFill/>
                          <a:ln>
                            <a:noFill/>
                          </a:ln>
                          <a:extLst/>
                        </pic:spPr>
                      </pic:pic>
                    </a:graphicData>
                  </a:graphic>
                </wp:inline>
              </w:drawing>
            </w:r>
            <w:r w:rsidRPr="00D636A0">
              <w:rPr>
                <w:rFonts w:cs="Arial"/>
                <w:noProof/>
                <w:sz w:val="20"/>
                <w:szCs w:val="20"/>
                <w:lang w:val="en-US" w:eastAsia="en-US"/>
              </w:rPr>
              <w:drawing>
                <wp:inline distT="0" distB="0" distL="0" distR="0" wp14:anchorId="61F1D6CA" wp14:editId="15C9E53E">
                  <wp:extent cx="1657290" cy="1435908"/>
                  <wp:effectExtent l="0" t="0" r="635" b="0"/>
                  <wp:docPr id="11270"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 name="Картина 4"/>
                          <pic:cNvPicPr>
                            <a:picLocks noChangeAspect="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72567" cy="1449145"/>
                          </a:xfrm>
                          <a:prstGeom prst="rect">
                            <a:avLst/>
                          </a:prstGeom>
                          <a:noFill/>
                          <a:ln>
                            <a:noFill/>
                          </a:ln>
                          <a:extLst/>
                        </pic:spPr>
                      </pic:pic>
                    </a:graphicData>
                  </a:graphic>
                </wp:inline>
              </w:drawing>
            </w:r>
          </w:p>
          <w:p w14:paraId="1D55B1EE" w14:textId="77777777" w:rsidR="00D636A0" w:rsidRDefault="006256A9" w:rsidP="006256A9">
            <w:pPr>
              <w:pStyle w:val="DefaultText"/>
              <w:spacing w:after="120" w:line="300" w:lineRule="atLeast"/>
              <w:jc w:val="center"/>
              <w:rPr>
                <w:rFonts w:cs="Arial"/>
                <w:sz w:val="20"/>
                <w:szCs w:val="20"/>
                <w:lang w:val="ru-RU"/>
              </w:rPr>
            </w:pPr>
            <w:r w:rsidRPr="006256A9">
              <w:rPr>
                <w:rFonts w:cs="Arial"/>
                <w:noProof/>
                <w:sz w:val="20"/>
                <w:szCs w:val="20"/>
                <w:lang w:val="en-US" w:eastAsia="en-US"/>
              </w:rPr>
              <w:drawing>
                <wp:inline distT="0" distB="0" distL="0" distR="0" wp14:anchorId="7D6C378A" wp14:editId="3B9B95EE">
                  <wp:extent cx="2036891" cy="1317740"/>
                  <wp:effectExtent l="0" t="0" r="1905" b="0"/>
                  <wp:docPr id="14342"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42" name="Картина 4"/>
                          <pic:cNvPicPr>
                            <a:picLocks noChangeAspect="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078254" cy="1344499"/>
                          </a:xfrm>
                          <a:prstGeom prst="rect">
                            <a:avLst/>
                          </a:prstGeom>
                          <a:noFill/>
                          <a:ln>
                            <a:noFill/>
                          </a:ln>
                          <a:extLst/>
                        </pic:spPr>
                      </pic:pic>
                    </a:graphicData>
                  </a:graphic>
                </wp:inline>
              </w:drawing>
            </w:r>
            <w:r w:rsidRPr="006256A9">
              <w:rPr>
                <w:rFonts w:cs="Arial"/>
                <w:noProof/>
                <w:sz w:val="20"/>
                <w:szCs w:val="20"/>
                <w:lang w:val="en-US" w:eastAsia="en-US"/>
              </w:rPr>
              <w:drawing>
                <wp:inline distT="0" distB="0" distL="0" distR="0" wp14:anchorId="5AD39B68" wp14:editId="02FDDDB8">
                  <wp:extent cx="2027444" cy="1319270"/>
                  <wp:effectExtent l="0" t="0" r="0" b="0"/>
                  <wp:docPr id="18438" name="Картина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8" name="Картина 4"/>
                          <pic:cNvPicPr>
                            <a:picLocks noChangeAspect="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094101" cy="1362644"/>
                          </a:xfrm>
                          <a:prstGeom prst="rect">
                            <a:avLst/>
                          </a:prstGeom>
                          <a:noFill/>
                          <a:ln>
                            <a:noFill/>
                          </a:ln>
                          <a:extLst/>
                        </pic:spPr>
                      </pic:pic>
                    </a:graphicData>
                  </a:graphic>
                </wp:inline>
              </w:drawing>
            </w:r>
          </w:p>
          <w:p w14:paraId="7B97B606" w14:textId="77777777" w:rsidR="00D636A0" w:rsidRPr="00D636A0" w:rsidRDefault="006256A9" w:rsidP="006256A9">
            <w:pPr>
              <w:pStyle w:val="DefaultText"/>
              <w:spacing w:after="120" w:line="300" w:lineRule="atLeast"/>
              <w:rPr>
                <w:rFonts w:cs="Arial"/>
                <w:sz w:val="20"/>
                <w:szCs w:val="20"/>
                <w:lang w:val="bg-BG"/>
              </w:rPr>
            </w:pPr>
            <w:r w:rsidRPr="006256A9">
              <w:rPr>
                <w:rFonts w:cs="Arial"/>
                <w:i/>
                <w:sz w:val="20"/>
                <w:szCs w:val="20"/>
                <w:lang w:val="ru-RU"/>
              </w:rPr>
              <w:t>Информация</w:t>
            </w:r>
            <w:r w:rsidR="00E66815">
              <w:rPr>
                <w:rFonts w:cs="Arial"/>
                <w:i/>
                <w:sz w:val="20"/>
                <w:szCs w:val="20"/>
                <w:lang w:val="bg-BG"/>
              </w:rPr>
              <w:t>,</w:t>
            </w:r>
            <w:r w:rsidRPr="006256A9">
              <w:rPr>
                <w:rFonts w:cs="Arial"/>
                <w:i/>
                <w:sz w:val="20"/>
                <w:szCs w:val="20"/>
                <w:lang w:val="ru-RU"/>
              </w:rPr>
              <w:t xml:space="preserve"> предоставена от МИГ Лясковец – Стражица</w:t>
            </w:r>
          </w:p>
        </w:tc>
      </w:tr>
    </w:tbl>
    <w:p w14:paraId="52E22B47" w14:textId="77777777" w:rsidR="00077260" w:rsidRPr="00BC513A" w:rsidRDefault="00077260" w:rsidP="00E8617E">
      <w:pPr>
        <w:pStyle w:val="DefaultText"/>
        <w:spacing w:after="120" w:line="300" w:lineRule="atLeast"/>
        <w:ind w:firstLine="708"/>
        <w:rPr>
          <w:rFonts w:cs="Arial"/>
          <w:sz w:val="22"/>
          <w:szCs w:val="22"/>
          <w:lang w:val="bg-BG"/>
        </w:rPr>
      </w:pPr>
    </w:p>
    <w:p w14:paraId="49A3300A" w14:textId="77777777" w:rsidR="00E8617E" w:rsidRPr="00BC513A" w:rsidRDefault="009E0222" w:rsidP="00E8617E">
      <w:pPr>
        <w:pStyle w:val="DefaultText"/>
        <w:spacing w:after="120" w:line="300" w:lineRule="atLeast"/>
        <w:ind w:firstLine="708"/>
        <w:rPr>
          <w:rFonts w:cs="Arial"/>
          <w:lang w:val="bg-BG"/>
        </w:rPr>
      </w:pPr>
      <w:r>
        <w:rPr>
          <w:rFonts w:cs="Arial"/>
          <w:sz w:val="22"/>
          <w:szCs w:val="22"/>
          <w:lang w:val="bg-BG"/>
        </w:rPr>
        <w:t>М</w:t>
      </w:r>
      <w:r w:rsidR="00E8617E" w:rsidRPr="00BC513A">
        <w:rPr>
          <w:rFonts w:cs="Arial"/>
          <w:sz w:val="22"/>
          <w:szCs w:val="22"/>
          <w:lang w:val="bg-BG"/>
        </w:rPr>
        <w:t>акар и съпроводено с трудности, в периода 2007 – 2013 г. са поставени основите на изграждане на местен капацитет за прилагане на стратегии за развитие с подход „отдолу-нагоре“ в 35 МИГ, разположени на територията на 57 общини. Този капацитет дава добра основа за надграждане при прилагането на подхода ЛИДЕР в ПРСР 2014-2020.</w:t>
      </w:r>
    </w:p>
    <w:p w14:paraId="1476C308" w14:textId="77777777" w:rsidR="00E8617E" w:rsidRPr="00BC513A" w:rsidRDefault="00E8617E" w:rsidP="00E8617E">
      <w:pPr>
        <w:keepNext/>
        <w:numPr>
          <w:ilvl w:val="0"/>
          <w:numId w:val="20"/>
        </w:numPr>
        <w:spacing w:before="240" w:after="120" w:line="300" w:lineRule="exact"/>
        <w:ind w:left="714" w:hanging="357"/>
        <w:jc w:val="both"/>
        <w:rPr>
          <w:rFonts w:ascii="Arial" w:hAnsi="Arial" w:cs="Arial"/>
          <w:color w:val="0070C0"/>
        </w:rPr>
      </w:pPr>
      <w:r w:rsidRPr="00BC513A">
        <w:rPr>
          <w:rFonts w:ascii="Arial" w:hAnsi="Arial" w:cs="Arial"/>
          <w:color w:val="0070C0"/>
        </w:rPr>
        <w:t>До каква степен МИГ допринасят за постигане на целите от местната стратегия за развитие и ПРСР?</w:t>
      </w:r>
    </w:p>
    <w:p w14:paraId="2B24C3C1" w14:textId="0AA323FD"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Подходът ЛИДЕР, като част от политиката за развитие на селските райони на Общността в периода 2007 </w:t>
      </w:r>
      <w:r w:rsidR="00710FCA">
        <w:rPr>
          <w:rFonts w:cs="Arial"/>
          <w:sz w:val="22"/>
          <w:szCs w:val="22"/>
          <w:lang w:val="bg-BG"/>
        </w:rPr>
        <w:t>–</w:t>
      </w:r>
      <w:r w:rsidRPr="00BC513A">
        <w:rPr>
          <w:rFonts w:cs="Arial"/>
          <w:sz w:val="22"/>
          <w:szCs w:val="22"/>
          <w:lang w:val="bg-BG"/>
        </w:rPr>
        <w:t xml:space="preserve"> 2013</w:t>
      </w:r>
      <w:r w:rsidR="00710FCA">
        <w:rPr>
          <w:rFonts w:cs="Arial"/>
          <w:sz w:val="22"/>
          <w:szCs w:val="22"/>
          <w:lang w:val="bg-BG"/>
        </w:rPr>
        <w:t xml:space="preserve"> </w:t>
      </w:r>
      <w:r w:rsidRPr="00BC513A">
        <w:rPr>
          <w:rFonts w:cs="Arial"/>
          <w:sz w:val="22"/>
          <w:szCs w:val="22"/>
          <w:lang w:val="bg-BG"/>
        </w:rPr>
        <w:t>г., се използва като инструмент за децентрализирано управление и интегрирано местно развитие в селските райони.</w:t>
      </w:r>
    </w:p>
    <w:p w14:paraId="3C767F48"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Стратегиите за местно развитие на МИГ отговарят на общите стратегически цели на ПРСР, отчитайки потребностите на местните общности. </w:t>
      </w:r>
    </w:p>
    <w:p w14:paraId="28FDC187" w14:textId="67F0C92D"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При осъществяването на стратегиите за местно развитие МИГ прилагат мерки по Регламент </w:t>
      </w:r>
      <w:r w:rsidR="00710FCA">
        <w:rPr>
          <w:rFonts w:cs="Arial"/>
          <w:sz w:val="22"/>
          <w:szCs w:val="22"/>
          <w:lang w:val="bg-BG"/>
        </w:rPr>
        <w:t>(ЕО)</w:t>
      </w:r>
      <w:r w:rsidRPr="00BC513A">
        <w:rPr>
          <w:rFonts w:cs="Arial"/>
          <w:sz w:val="22"/>
          <w:szCs w:val="22"/>
          <w:lang w:val="bg-BG"/>
        </w:rPr>
        <w:t xml:space="preserve"> 1698/2005, указани в ос 1 (с изключение на фиксирани годишни плащания), ос 2 (с изключение на плащането на площ) и ос 3. Други дейности извън мерките, упоменати в ПРСР, но включени в Регламент </w:t>
      </w:r>
      <w:r w:rsidR="00D57404">
        <w:rPr>
          <w:rFonts w:cs="Arial"/>
          <w:sz w:val="22"/>
          <w:szCs w:val="22"/>
          <w:lang w:val="bg-BG"/>
        </w:rPr>
        <w:t>(ЕО) №</w:t>
      </w:r>
      <w:r w:rsidRPr="00BC513A">
        <w:rPr>
          <w:rFonts w:cs="Arial"/>
          <w:sz w:val="22"/>
          <w:szCs w:val="22"/>
          <w:lang w:val="bg-BG"/>
        </w:rPr>
        <w:t xml:space="preserve"> 1698/2005, биват подпомогнати, ако те допринасят за осъществяването на конкретните цели на стратегиите за местно развитие и за общите цели на ПРСР. Подкрепени са също така и проекти за сътрудничество между групи по ЛИДЕР. </w:t>
      </w:r>
    </w:p>
    <w:p w14:paraId="29F61FC0"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В местните стратегии за развитие са включени 13 мерки от трите оси на ПРСР 2007-2013 г., както следва:</w:t>
      </w:r>
    </w:p>
    <w:p w14:paraId="622CDC12"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Ос 1 „Подобряване на  в земеделския и горския сектор“: </w:t>
      </w:r>
    </w:p>
    <w:p w14:paraId="6E0377C7"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 xml:space="preserve">Мярка 111 „Обучение, информационни дейности и разпространяване на научни знания“, </w:t>
      </w:r>
    </w:p>
    <w:p w14:paraId="1616F3F3"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 xml:space="preserve">Мярка 121 “Модернизиране на земеделските стопанства“, </w:t>
      </w:r>
    </w:p>
    <w:p w14:paraId="09995F10"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Мярка 123 „Добавяне на стойност към земеделски и горски продукти“.</w:t>
      </w:r>
    </w:p>
    <w:p w14:paraId="5BE09B9D"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Ос 2 „Подобряване на околната среда и природата“:</w:t>
      </w:r>
    </w:p>
    <w:p w14:paraId="52BEB5B8"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 xml:space="preserve">Мярка 223 „Първоначално залесяване на неземеделски земи“ и </w:t>
      </w:r>
    </w:p>
    <w:p w14:paraId="794E2BF5"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Мярка 226 „Възстановяване на горския потенциал и въвеждане на превантивни дейности“.</w:t>
      </w:r>
    </w:p>
    <w:p w14:paraId="46F94738"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Ос 3 „Качество на живот в селските райони и разнообразяване на селската икономика“:</w:t>
      </w:r>
    </w:p>
    <w:p w14:paraId="642E1ADD"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 xml:space="preserve">Мярка 311 „Разнообразяване към неземеделски дейности“, </w:t>
      </w:r>
    </w:p>
    <w:p w14:paraId="57C98339"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Мярка 312 „Подкрепа за създаване и развитие на микропредприятия“,</w:t>
      </w:r>
    </w:p>
    <w:p w14:paraId="68BC13F8"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 xml:space="preserve">Мярка 313 „Насърчаване на туристическите дейности“, </w:t>
      </w:r>
    </w:p>
    <w:p w14:paraId="12571160"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 xml:space="preserve">Мярка 321 „Основни услуги за населението и икономиката в селските райони“, </w:t>
      </w:r>
    </w:p>
    <w:p w14:paraId="31424227"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 xml:space="preserve">Мярка 322 „Обновяване и развитие на населените места“, </w:t>
      </w:r>
    </w:p>
    <w:p w14:paraId="55F0A76F"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 xml:space="preserve">Мярка 323 „Опазване и подобряване на селското наследство“, </w:t>
      </w:r>
    </w:p>
    <w:p w14:paraId="0C54424A"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 xml:space="preserve">- Мярка 331 „Професионално обучение и предоставяне информация за икономическите субекти, които работят в областите обхванати от ос 3“, </w:t>
      </w:r>
    </w:p>
    <w:p w14:paraId="177FD91E" w14:textId="77777777" w:rsidR="00E8617E" w:rsidRPr="00BC513A" w:rsidRDefault="00E8617E" w:rsidP="00E8617E">
      <w:pPr>
        <w:pStyle w:val="DefaultText"/>
        <w:numPr>
          <w:ilvl w:val="1"/>
          <w:numId w:val="16"/>
        </w:numPr>
        <w:spacing w:after="120" w:line="300" w:lineRule="atLeast"/>
        <w:rPr>
          <w:rFonts w:cs="Arial"/>
          <w:sz w:val="22"/>
          <w:szCs w:val="22"/>
          <w:lang w:val="bg-BG"/>
        </w:rPr>
      </w:pPr>
      <w:r w:rsidRPr="00BC513A">
        <w:rPr>
          <w:rFonts w:cs="Arial"/>
          <w:sz w:val="22"/>
          <w:szCs w:val="22"/>
          <w:lang w:val="bg-BG"/>
        </w:rPr>
        <w:t>- Мярка 7.1 „Напред към наследството – територията Исперих ни обединява“.</w:t>
      </w:r>
    </w:p>
    <w:p w14:paraId="1EB90B46" w14:textId="1B62C188"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Прави впечатление, че за да отговорят на местните потребности, няколко МИГ са прилагали мерки, които не са заложени в ПРСР, но са включени в Регламент на ЕС 1698/2005 </w:t>
      </w:r>
      <w:r w:rsidR="001A2CC9">
        <w:rPr>
          <w:rFonts w:cs="Arial"/>
          <w:sz w:val="22"/>
          <w:szCs w:val="22"/>
          <w:lang w:val="bg-BG"/>
        </w:rPr>
        <w:t>–</w:t>
      </w:r>
      <w:r w:rsidRPr="00BC513A">
        <w:rPr>
          <w:rFonts w:cs="Arial"/>
          <w:sz w:val="22"/>
          <w:szCs w:val="22"/>
          <w:lang w:val="bg-BG"/>
        </w:rPr>
        <w:t xml:space="preserve"> Мярка 323 „Опазване и подобряване на селското наследство“, Мярка 331 „Професионално обучение и предоставяне информация за икономическите субекти, които работят в областите обхванати от ос 3“, а МИГ „Исперих“ дори е създала собствена „дизайнерска“ мярка. </w:t>
      </w:r>
    </w:p>
    <w:p w14:paraId="3BF238D3" w14:textId="46E15840"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Възможността МИГ да прилагат мерки, извън обхвата на ПРСР 2007-2013, но важни за местната общност  позволява стратегиите за местно развитие да бъдат по-добре адаптирани към изискванията на територията. МИГ трябва да бъдат насърчавани в стратегиите за местно развитие да планират важните за общността мерки, тъй като това увеличава добавената стойност на стратегиите. От друга страна</w:t>
      </w:r>
      <w:r w:rsidR="001A2CC9">
        <w:rPr>
          <w:rFonts w:cs="Arial"/>
          <w:sz w:val="22"/>
          <w:szCs w:val="22"/>
          <w:lang w:val="bg-BG"/>
        </w:rPr>
        <w:t>,</w:t>
      </w:r>
      <w:r w:rsidRPr="00BC513A">
        <w:rPr>
          <w:rFonts w:cs="Arial"/>
          <w:sz w:val="22"/>
          <w:szCs w:val="22"/>
          <w:lang w:val="bg-BG"/>
        </w:rPr>
        <w:t xml:space="preserve"> прилагането на тези мерки затруднява до известна степен Разплащателна агенция, тъй като изискват разработване на нови методики за оценка на проектите, което от своя страна води до забавяне на оценката им.</w:t>
      </w:r>
    </w:p>
    <w:p w14:paraId="567AB990" w14:textId="4AD7CEB4"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В програмния период 2007-2013 като част от изпълнението на местните стратегии за развитие са подписани договори по 1</w:t>
      </w:r>
      <w:r w:rsidR="001A2CC9">
        <w:rPr>
          <w:rFonts w:cs="Arial"/>
          <w:sz w:val="22"/>
          <w:szCs w:val="22"/>
          <w:lang w:val="bg-BG"/>
        </w:rPr>
        <w:t> </w:t>
      </w:r>
      <w:r w:rsidRPr="00BC513A">
        <w:rPr>
          <w:rFonts w:cs="Arial"/>
          <w:sz w:val="22"/>
          <w:szCs w:val="22"/>
          <w:lang w:val="bg-BG"/>
        </w:rPr>
        <w:t>221 проектни предложения.  Самия</w:t>
      </w:r>
      <w:r w:rsidR="001A2CC9">
        <w:rPr>
          <w:rFonts w:cs="Arial"/>
          <w:sz w:val="22"/>
          <w:szCs w:val="22"/>
          <w:lang w:val="bg-BG"/>
        </w:rPr>
        <w:t>т</w:t>
      </w:r>
      <w:r w:rsidRPr="00BC513A">
        <w:rPr>
          <w:rFonts w:cs="Arial"/>
          <w:sz w:val="22"/>
          <w:szCs w:val="22"/>
          <w:lang w:val="bg-BG"/>
        </w:rPr>
        <w:t xml:space="preserve"> процес на подаване на проекти стартира колебливо, тъй-като е на лице голям времеви интервал между създадения интерес по подмярка 431-2 и реалното изпълнение на одобрените стратегии. В последствие се налага по подмярка 431-1 отново да се мобилизира местната общност. В резултат на това интересът по първите покани на МИГ е значително по-малък от този в края на периода. До голяма степен негативно отражение върху този процес създава и забавянето в разглеждането и одобрението на проекти от РА на ДФЗ, което по мерките извън ПРСР 2007-2013 достига до 18 месеца.  Това забавяне е следствие от новите процедури за оценка, които трябва да бъдат разработени специално за проектите на МИГ. От друга страна,  голяма част от проектите са с малък размер и съответно не са приоритетни за РА, тъй като за неголям финансов ресурс от ПРСР се ангажира голям човешки ресурс от структурата на РА. Забавянето в одобрението на проектите обезкуражава потенциалните бенефициенти. Това в комбинация с приключващия програмен период не позволява на МИГ да разпределят освободените финансови средства от редукция в общите допустими разходи, непризнати разходи по заявки за плащане и намалени общи допустими разходи след проведени процедури по ЗОП към други одобрени (резервни) проекти, за които не е стигнал финансов ресурс. </w:t>
      </w:r>
    </w:p>
    <w:p w14:paraId="3D2DAB05" w14:textId="46850488"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От таблицата в Приложение 3 се вижда, че въпреки краткото време за изпълнение на мярка 41 МИГ успяват да мобилизират местните общности да подадат проекти, като в някои от случаите общия</w:t>
      </w:r>
      <w:r w:rsidR="001A2CC9">
        <w:rPr>
          <w:rFonts w:cs="Arial"/>
          <w:sz w:val="22"/>
          <w:szCs w:val="22"/>
          <w:lang w:val="bg-BG"/>
        </w:rPr>
        <w:t>т</w:t>
      </w:r>
      <w:r w:rsidRPr="00BC513A">
        <w:rPr>
          <w:rFonts w:cs="Arial"/>
          <w:sz w:val="22"/>
          <w:szCs w:val="22"/>
          <w:lang w:val="bg-BG"/>
        </w:rPr>
        <w:t xml:space="preserve"> размер на подадените проекти надвишава с 208,96 % (МИГ Брезник-Трън) разполагаемия бюджет за проекти. По информация от МЗХГ общия</w:t>
      </w:r>
      <w:r w:rsidR="001A2CC9">
        <w:rPr>
          <w:rFonts w:cs="Arial"/>
          <w:sz w:val="22"/>
          <w:szCs w:val="22"/>
          <w:lang w:val="bg-BG"/>
        </w:rPr>
        <w:t>т</w:t>
      </w:r>
      <w:r w:rsidRPr="00BC513A">
        <w:rPr>
          <w:rFonts w:cs="Arial"/>
          <w:sz w:val="22"/>
          <w:szCs w:val="22"/>
          <w:lang w:val="bg-BG"/>
        </w:rPr>
        <w:t xml:space="preserve"> брой на подадените към МИГ проекти е 1</w:t>
      </w:r>
      <w:r w:rsidR="001A2CC9">
        <w:rPr>
          <w:rFonts w:cs="Arial"/>
          <w:sz w:val="22"/>
          <w:szCs w:val="22"/>
          <w:lang w:val="bg-BG"/>
        </w:rPr>
        <w:t> </w:t>
      </w:r>
      <w:r w:rsidRPr="00BC513A">
        <w:rPr>
          <w:rFonts w:cs="Arial"/>
          <w:sz w:val="22"/>
          <w:szCs w:val="22"/>
          <w:lang w:val="bg-BG"/>
        </w:rPr>
        <w:t>908 бр. или 140 % от одобрения бюджет по мярка 41. След приключване на оценителните комисии към ДФЗ – РА одобрените проекти са 1</w:t>
      </w:r>
      <w:r w:rsidR="001A2CC9">
        <w:rPr>
          <w:rFonts w:cs="Arial"/>
          <w:sz w:val="22"/>
          <w:szCs w:val="22"/>
          <w:lang w:val="bg-BG"/>
        </w:rPr>
        <w:t> </w:t>
      </w:r>
      <w:r w:rsidRPr="00BC513A">
        <w:rPr>
          <w:rFonts w:cs="Arial"/>
          <w:sz w:val="22"/>
          <w:szCs w:val="22"/>
          <w:lang w:val="bg-BG"/>
        </w:rPr>
        <w:t>588 бр. До подписване на договор достигат 1</w:t>
      </w:r>
      <w:r w:rsidR="001A2CC9">
        <w:rPr>
          <w:rFonts w:cs="Arial"/>
          <w:sz w:val="22"/>
          <w:szCs w:val="22"/>
          <w:lang w:val="bg-BG"/>
        </w:rPr>
        <w:t> </w:t>
      </w:r>
      <w:r w:rsidRPr="00BC513A">
        <w:rPr>
          <w:rFonts w:cs="Arial"/>
          <w:sz w:val="22"/>
          <w:szCs w:val="22"/>
          <w:lang w:val="bg-BG"/>
        </w:rPr>
        <w:t>221 бенефициенти. Общо изплатената субсидия по реализираните проекти е в размер на 76</w:t>
      </w:r>
      <w:r w:rsidR="001A2CC9">
        <w:rPr>
          <w:rFonts w:cs="Arial"/>
          <w:sz w:val="22"/>
          <w:szCs w:val="22"/>
          <w:lang w:val="bg-BG"/>
        </w:rPr>
        <w:t> </w:t>
      </w:r>
      <w:r w:rsidRPr="00BC513A">
        <w:rPr>
          <w:rFonts w:cs="Arial"/>
          <w:sz w:val="22"/>
          <w:szCs w:val="22"/>
          <w:lang w:val="bg-BG"/>
        </w:rPr>
        <w:t>741</w:t>
      </w:r>
      <w:r w:rsidR="001A2CC9">
        <w:rPr>
          <w:rFonts w:cs="Arial"/>
          <w:sz w:val="22"/>
          <w:szCs w:val="22"/>
          <w:lang w:val="bg-BG"/>
        </w:rPr>
        <w:t> </w:t>
      </w:r>
      <w:r w:rsidRPr="00BC513A">
        <w:rPr>
          <w:rFonts w:cs="Arial"/>
          <w:sz w:val="22"/>
          <w:szCs w:val="22"/>
          <w:lang w:val="bg-BG"/>
        </w:rPr>
        <w:t>501,69 лв. което е  99 % от актуализирания бюджет по мярка 41, а броя изпълнени проекти са 1</w:t>
      </w:r>
      <w:r w:rsidR="001A2CC9">
        <w:rPr>
          <w:rFonts w:cs="Arial"/>
          <w:sz w:val="22"/>
          <w:szCs w:val="22"/>
          <w:lang w:val="bg-BG"/>
        </w:rPr>
        <w:t> </w:t>
      </w:r>
      <w:r w:rsidRPr="00BC513A">
        <w:rPr>
          <w:rFonts w:cs="Arial"/>
          <w:sz w:val="22"/>
          <w:szCs w:val="22"/>
          <w:lang w:val="bg-BG"/>
        </w:rPr>
        <w:t>170.</w:t>
      </w:r>
    </w:p>
    <w:p w14:paraId="1C06B343" w14:textId="32F0D52A" w:rsidR="00E8617E" w:rsidRPr="00BC513A" w:rsidRDefault="00E8617E" w:rsidP="00E8617E">
      <w:pPr>
        <w:pStyle w:val="DefaultText"/>
        <w:spacing w:after="120" w:line="300" w:lineRule="atLeast"/>
        <w:ind w:firstLine="708"/>
        <w:rPr>
          <w:rFonts w:eastAsia="Meiryo" w:cs="Arial"/>
          <w:sz w:val="22"/>
          <w:szCs w:val="22"/>
          <w:lang w:val="bg-BG"/>
        </w:rPr>
      </w:pPr>
      <w:r w:rsidRPr="00BC513A">
        <w:rPr>
          <w:rFonts w:cs="Arial"/>
          <w:sz w:val="22"/>
          <w:szCs w:val="22"/>
          <w:lang w:val="bg-BG"/>
        </w:rPr>
        <w:t xml:space="preserve">Основните </w:t>
      </w:r>
      <w:r w:rsidRPr="00BC513A">
        <w:rPr>
          <w:rFonts w:eastAsia="Meiryo" w:cs="Arial"/>
          <w:sz w:val="22"/>
          <w:szCs w:val="22"/>
          <w:lang w:val="bg-BG"/>
        </w:rPr>
        <w:t>проблемите и предизвикателства по отношение на изпълнението на стратегиите за местно развитие, които МИГ са срещнали</w:t>
      </w:r>
      <w:r w:rsidR="001A2CC9">
        <w:rPr>
          <w:rFonts w:eastAsia="Meiryo" w:cs="Arial"/>
          <w:sz w:val="22"/>
          <w:szCs w:val="22"/>
          <w:lang w:val="bg-BG"/>
        </w:rPr>
        <w:t>,</w:t>
      </w:r>
      <w:r w:rsidRPr="00BC513A">
        <w:rPr>
          <w:rFonts w:eastAsia="Meiryo" w:cs="Arial"/>
          <w:sz w:val="22"/>
          <w:szCs w:val="22"/>
          <w:lang w:val="bg-BG"/>
        </w:rPr>
        <w:t xml:space="preserve"> са:</w:t>
      </w:r>
    </w:p>
    <w:p w14:paraId="4817E004" w14:textId="77777777" w:rsidR="00E8617E" w:rsidRPr="00BC513A" w:rsidRDefault="00E8617E" w:rsidP="00E8617E">
      <w:pPr>
        <w:pStyle w:val="ListParagraph"/>
        <w:numPr>
          <w:ilvl w:val="0"/>
          <w:numId w:val="36"/>
        </w:numPr>
        <w:shd w:val="clear" w:color="auto" w:fill="FFFFFF"/>
        <w:spacing w:after="0" w:line="360" w:lineRule="auto"/>
        <w:jc w:val="both"/>
        <w:rPr>
          <w:rFonts w:ascii="Arial" w:eastAsia="Calibri" w:hAnsi="Arial" w:cs="Arial"/>
        </w:rPr>
      </w:pPr>
      <w:r w:rsidRPr="00BC513A">
        <w:rPr>
          <w:rFonts w:ascii="Arial" w:eastAsia="Calibri" w:hAnsi="Arial" w:cs="Arial"/>
        </w:rPr>
        <w:t>Забавяне на одобрението на договорите за финансиране на стратегиите, което е причина за скъсяване на срока на тяхното изпълнение;</w:t>
      </w:r>
    </w:p>
    <w:p w14:paraId="56F9C8A7" w14:textId="77777777" w:rsidR="00E8617E" w:rsidRPr="00BC513A" w:rsidRDefault="00E8617E" w:rsidP="00E8617E">
      <w:pPr>
        <w:pStyle w:val="ListParagraph"/>
        <w:numPr>
          <w:ilvl w:val="0"/>
          <w:numId w:val="36"/>
        </w:numPr>
        <w:shd w:val="clear" w:color="auto" w:fill="FFFFFF"/>
        <w:spacing w:after="0" w:line="360" w:lineRule="auto"/>
        <w:jc w:val="both"/>
        <w:rPr>
          <w:rFonts w:ascii="Arial" w:eastAsia="Calibri" w:hAnsi="Arial" w:cs="Arial"/>
        </w:rPr>
      </w:pPr>
      <w:r w:rsidRPr="00BC513A">
        <w:rPr>
          <w:rFonts w:ascii="Arial" w:eastAsia="Calibri" w:hAnsi="Arial" w:cs="Arial"/>
        </w:rPr>
        <w:t>Забавяне на процеса на договаряне на проектите на кандидатите, водещо до демотивиране на потенциалните бенефициенти и отказ от изпълнение на инвестиционните намерения;</w:t>
      </w:r>
    </w:p>
    <w:p w14:paraId="47938848" w14:textId="77777777" w:rsidR="00E8617E" w:rsidRPr="00BC513A" w:rsidRDefault="00E8617E" w:rsidP="00E8617E">
      <w:pPr>
        <w:pStyle w:val="ListParagraph"/>
        <w:numPr>
          <w:ilvl w:val="0"/>
          <w:numId w:val="36"/>
        </w:numPr>
        <w:shd w:val="clear" w:color="auto" w:fill="FFFFFF"/>
        <w:spacing w:after="0" w:line="360" w:lineRule="auto"/>
        <w:jc w:val="both"/>
        <w:rPr>
          <w:rFonts w:ascii="Arial" w:eastAsia="Calibri" w:hAnsi="Arial" w:cs="Arial"/>
        </w:rPr>
      </w:pPr>
      <w:r w:rsidRPr="00BC513A">
        <w:rPr>
          <w:rFonts w:ascii="Arial" w:eastAsia="Calibri" w:hAnsi="Arial" w:cs="Arial"/>
        </w:rPr>
        <w:t>Забавяне на одобрението на планирани разходи и дейности (годишния бюджет на МИГ), което от своя страна скъсява периода за изпълнение на заложените дейности. Това води и до влошаване на финансовата стабилност на МИГ;</w:t>
      </w:r>
    </w:p>
    <w:p w14:paraId="01E0154A" w14:textId="77777777" w:rsidR="00E8617E" w:rsidRPr="00BC513A" w:rsidRDefault="00E8617E" w:rsidP="00E8617E">
      <w:pPr>
        <w:pStyle w:val="ListParagraph"/>
        <w:numPr>
          <w:ilvl w:val="0"/>
          <w:numId w:val="36"/>
        </w:numPr>
        <w:shd w:val="clear" w:color="auto" w:fill="FFFFFF"/>
        <w:spacing w:after="0" w:line="360" w:lineRule="auto"/>
        <w:jc w:val="both"/>
        <w:rPr>
          <w:rFonts w:ascii="Arial" w:hAnsi="Arial" w:cs="Arial"/>
        </w:rPr>
      </w:pPr>
      <w:r w:rsidRPr="00BC513A">
        <w:rPr>
          <w:rFonts w:ascii="Arial" w:eastAsia="Calibri" w:hAnsi="Arial" w:cs="Arial"/>
        </w:rPr>
        <w:t>Забавяне на подписването на анекси за трансфер на финансови средства от мярка в мярка в стратегиите за местно развитие, за</w:t>
      </w:r>
      <w:r w:rsidRPr="00BC513A">
        <w:rPr>
          <w:rFonts w:ascii="Arial" w:hAnsi="Arial" w:cs="Arial"/>
        </w:rPr>
        <w:t xml:space="preserve"> смяна на членове от екипите, смяна индикатори, промени в бюджета;</w:t>
      </w:r>
    </w:p>
    <w:p w14:paraId="0C9D7747" w14:textId="77777777" w:rsidR="00E8617E" w:rsidRPr="00BC513A" w:rsidRDefault="00E8617E" w:rsidP="00E8617E">
      <w:pPr>
        <w:pStyle w:val="ListParagraph"/>
        <w:numPr>
          <w:ilvl w:val="0"/>
          <w:numId w:val="36"/>
        </w:numPr>
        <w:shd w:val="clear" w:color="auto" w:fill="FFFFFF"/>
        <w:spacing w:after="0" w:line="360" w:lineRule="auto"/>
        <w:jc w:val="both"/>
        <w:rPr>
          <w:rFonts w:ascii="Arial" w:eastAsia="Calibri" w:hAnsi="Arial" w:cs="Arial"/>
        </w:rPr>
      </w:pPr>
      <w:r w:rsidRPr="00BC513A">
        <w:rPr>
          <w:rFonts w:ascii="Arial" w:eastAsia="Calibri" w:hAnsi="Arial" w:cs="Arial"/>
        </w:rPr>
        <w:t>Забавяне на одобрението на доклади за отчитане на дейностите и исканията за плащане.</w:t>
      </w:r>
    </w:p>
    <w:p w14:paraId="0FF58589" w14:textId="77777777"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Спад на ентусиазъм и интереса на одобрените 90 МИГ по подмярка 431-2 в следствие на това, че по мярка 41 са одобрени само 35 МИГ</w:t>
      </w:r>
    </w:p>
    <w:p w14:paraId="59109FB7" w14:textId="33613807"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Голям времеви интервал (1</w:t>
      </w:r>
      <w:r w:rsidR="001A2CC9">
        <w:rPr>
          <w:rFonts w:ascii="Arial" w:hAnsi="Arial" w:cs="Arial"/>
        </w:rPr>
        <w:t xml:space="preserve"> </w:t>
      </w:r>
      <w:r w:rsidRPr="00BC513A">
        <w:rPr>
          <w:rFonts w:ascii="Arial" w:hAnsi="Arial" w:cs="Arial"/>
        </w:rPr>
        <w:t xml:space="preserve">година и 6 месеца) между подаване на стратегиите и тяхното финансиране. </w:t>
      </w:r>
    </w:p>
    <w:p w14:paraId="6DCC20F5" w14:textId="77777777"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 xml:space="preserve">Невъзможност за пълно усвояване на бюджета по мярка 41, поради липса на време освободените средства от неизпълнените проекти да се прехвърлят към одобрени проекти, включени в резервен списък, за които не е наличен свободен финансов ресурс;  </w:t>
      </w:r>
    </w:p>
    <w:p w14:paraId="4B1947B2" w14:textId="77777777"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 xml:space="preserve">Липса на авансово финансиране на проекти от НПО сектора, които се изпълняват към стратегия на МИГ; </w:t>
      </w:r>
    </w:p>
    <w:p w14:paraId="23E058B3" w14:textId="646F333A"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 xml:space="preserve">Липса на разграничаване при изискванията към малки и големи проекти </w:t>
      </w:r>
      <w:r w:rsidR="001A2CC9">
        <w:rPr>
          <w:rFonts w:ascii="Arial" w:hAnsi="Arial" w:cs="Arial"/>
        </w:rPr>
        <w:t>–</w:t>
      </w:r>
      <w:r w:rsidRPr="00BC513A">
        <w:rPr>
          <w:rFonts w:ascii="Arial" w:hAnsi="Arial" w:cs="Arial"/>
        </w:rPr>
        <w:t xml:space="preserve"> една и съща административна тежест, време за оценка и проверки;</w:t>
      </w:r>
    </w:p>
    <w:p w14:paraId="70B7871E" w14:textId="1536F450"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Липса на достатъчно публичност в началото на прилагане на мерките към МИГ и от там липса на интерес от потенциални бенефициенти. Това изоставане в последствие е наваксано и в последните години на прилагане на мярката се наблюдава висока усвояемост. Добре би било да се популяризират реализирани към МИГ проекти и добри практики</w:t>
      </w:r>
      <w:r w:rsidR="001A2CC9">
        <w:rPr>
          <w:rFonts w:ascii="Arial" w:hAnsi="Arial" w:cs="Arial"/>
        </w:rPr>
        <w:t>,</w:t>
      </w:r>
      <w:r w:rsidRPr="00BC513A">
        <w:rPr>
          <w:rFonts w:ascii="Arial" w:hAnsi="Arial" w:cs="Arial"/>
        </w:rPr>
        <w:t xml:space="preserve"> с което допълнително да се стимулира местната инициатива.</w:t>
      </w:r>
    </w:p>
    <w:p w14:paraId="4BC77DAA" w14:textId="190D155C"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 xml:space="preserve">Липса на децентрализация при оценката на проекти и извършване на една и съща оценка от МИГ и ДФЗ. Това води до забавяне на оценката на проекти на МИГ и разход на публични средства. МИГ би трябвало да имат по-голяма самостоятелност за извършване на оценка </w:t>
      </w:r>
      <w:r w:rsidR="001A2CC9">
        <w:rPr>
          <w:rFonts w:ascii="Arial" w:hAnsi="Arial" w:cs="Arial"/>
        </w:rPr>
        <w:t>н</w:t>
      </w:r>
      <w:r w:rsidRPr="00BC513A">
        <w:rPr>
          <w:rFonts w:ascii="Arial" w:hAnsi="Arial" w:cs="Arial"/>
        </w:rPr>
        <w:t>а малки проекти, като последните се проверяват от ДФЗ на база на анализ на риска;</w:t>
      </w:r>
    </w:p>
    <w:p w14:paraId="3F2CAEA9" w14:textId="77777777"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Системно изоставане във възстановяване на средства по заявки на МИГ;</w:t>
      </w:r>
    </w:p>
    <w:p w14:paraId="3035634F" w14:textId="77777777"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 xml:space="preserve">Финансов дефицит – невъзможност за планиране на разходите в следствие на постоянен финансов дефицит в МИГ. </w:t>
      </w:r>
    </w:p>
    <w:p w14:paraId="0B2FA658" w14:textId="25F9235F"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Негативно влияние на икономическата криза и политическ</w:t>
      </w:r>
      <w:r w:rsidR="001A2CC9">
        <w:rPr>
          <w:rFonts w:ascii="Arial" w:hAnsi="Arial" w:cs="Arial"/>
        </w:rPr>
        <w:t>ите</w:t>
      </w:r>
      <w:r w:rsidRPr="00BC513A">
        <w:rPr>
          <w:rFonts w:ascii="Arial" w:hAnsi="Arial" w:cs="Arial"/>
        </w:rPr>
        <w:t xml:space="preserve"> промени в държавата;</w:t>
      </w:r>
    </w:p>
    <w:p w14:paraId="3E0D2CE0" w14:textId="77777777"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Чести промени в наредбата, регламентираща прилагането на подхода ЛИДЕР;</w:t>
      </w:r>
    </w:p>
    <w:p w14:paraId="1A7F5BFA" w14:textId="77777777" w:rsidR="00E8617E" w:rsidRPr="00BC513A" w:rsidRDefault="00E8617E" w:rsidP="00E8617E">
      <w:pPr>
        <w:pStyle w:val="ListParagraph"/>
        <w:numPr>
          <w:ilvl w:val="0"/>
          <w:numId w:val="37"/>
        </w:numPr>
        <w:spacing w:after="0" w:line="360" w:lineRule="auto"/>
        <w:jc w:val="both"/>
        <w:rPr>
          <w:rFonts w:ascii="Arial" w:hAnsi="Arial" w:cs="Arial"/>
        </w:rPr>
      </w:pPr>
      <w:r w:rsidRPr="00BC513A">
        <w:rPr>
          <w:rFonts w:ascii="Arial" w:hAnsi="Arial" w:cs="Arial"/>
        </w:rPr>
        <w:t>Липса на ефикасно финансиране, което може да се осигури с въвеждане на авансово финансиране на 2-годишна база и създаване на подходяща кредитна линия.</w:t>
      </w:r>
    </w:p>
    <w:p w14:paraId="22F84E0E" w14:textId="6898D707" w:rsidR="00E8617E" w:rsidRPr="00BC513A" w:rsidRDefault="00E8617E" w:rsidP="00E8617E">
      <w:pPr>
        <w:spacing w:before="120" w:after="120" w:line="300" w:lineRule="atLeast"/>
        <w:ind w:firstLine="567"/>
        <w:jc w:val="both"/>
        <w:rPr>
          <w:rFonts w:ascii="Arial" w:eastAsia="Times New Roman" w:hAnsi="Arial" w:cs="Arial"/>
          <w:lang w:eastAsia="nl-NL"/>
        </w:rPr>
      </w:pPr>
      <w:r w:rsidRPr="00BC513A">
        <w:rPr>
          <w:rFonts w:ascii="Arial" w:eastAsia="Times New Roman" w:hAnsi="Arial" w:cs="Arial"/>
          <w:lang w:eastAsia="nl-NL"/>
        </w:rPr>
        <w:t>Първоначално предвиденото разпределение при програмирането на ПРСР по осите в мярка 41 се разминава с действителното желание на потенциалните бенефициенти, но все пак очакването, че голяма част от мерките в стратегиите ще бъдат насочени към общинските мерки от ос 3</w:t>
      </w:r>
      <w:r w:rsidR="001A2CC9">
        <w:rPr>
          <w:rFonts w:ascii="Arial" w:eastAsia="Times New Roman" w:hAnsi="Arial" w:cs="Arial"/>
          <w:lang w:eastAsia="nl-NL"/>
        </w:rPr>
        <w:t>,</w:t>
      </w:r>
      <w:r w:rsidRPr="00BC513A">
        <w:rPr>
          <w:rFonts w:ascii="Arial" w:eastAsia="Times New Roman" w:hAnsi="Arial" w:cs="Arial"/>
          <w:lang w:eastAsia="nl-NL"/>
        </w:rPr>
        <w:t xml:space="preserve"> се запазва. </w:t>
      </w:r>
    </w:p>
    <w:p w14:paraId="6B887BFE" w14:textId="1A172F4E" w:rsidR="001A2CC9" w:rsidRPr="00BC513A" w:rsidRDefault="00E8617E" w:rsidP="00E8617E">
      <w:pPr>
        <w:keepNext/>
        <w:spacing w:before="240" w:after="0" w:line="360" w:lineRule="auto"/>
        <w:jc w:val="both"/>
        <w:rPr>
          <w:rFonts w:ascii="Arial" w:hAnsi="Arial" w:cs="Arial"/>
          <w:b/>
          <w:iCs/>
          <w:color w:val="0070C0"/>
          <w:sz w:val="20"/>
          <w:szCs w:val="20"/>
        </w:rPr>
      </w:pPr>
      <w:r w:rsidRPr="00BC513A">
        <w:rPr>
          <w:rFonts w:ascii="Arial" w:hAnsi="Arial" w:cs="Arial"/>
          <w:b/>
          <w:iCs/>
          <w:color w:val="0070C0"/>
          <w:sz w:val="20"/>
          <w:szCs w:val="20"/>
        </w:rPr>
        <w:t xml:space="preserve">Таблица </w:t>
      </w:r>
      <w:r w:rsidR="001A2CC9" w:rsidRPr="00BC513A">
        <w:rPr>
          <w:rFonts w:ascii="Arial" w:hAnsi="Arial" w:cs="Arial"/>
          <w:b/>
          <w:iCs/>
          <w:color w:val="0070C0"/>
          <w:sz w:val="20"/>
          <w:szCs w:val="20"/>
        </w:rPr>
        <w:fldChar w:fldCharType="begin"/>
      </w:r>
      <w:r w:rsidR="001A2CC9" w:rsidRPr="00BC513A">
        <w:rPr>
          <w:rFonts w:ascii="Arial" w:hAnsi="Arial" w:cs="Arial"/>
          <w:b/>
          <w:iCs/>
          <w:color w:val="0070C0"/>
          <w:sz w:val="20"/>
          <w:szCs w:val="20"/>
        </w:rPr>
        <w:instrText xml:space="preserve"> SEQ Таблица \* ARABIC </w:instrText>
      </w:r>
      <w:r w:rsidR="001A2CC9" w:rsidRPr="00BC513A">
        <w:rPr>
          <w:rFonts w:ascii="Arial" w:hAnsi="Arial" w:cs="Arial"/>
          <w:b/>
          <w:iCs/>
          <w:color w:val="0070C0"/>
          <w:sz w:val="20"/>
          <w:szCs w:val="20"/>
        </w:rPr>
        <w:fldChar w:fldCharType="separate"/>
      </w:r>
      <w:r w:rsidR="0023010D">
        <w:rPr>
          <w:rFonts w:ascii="Arial" w:hAnsi="Arial" w:cs="Arial"/>
          <w:b/>
          <w:iCs/>
          <w:noProof/>
          <w:color w:val="0070C0"/>
          <w:sz w:val="20"/>
          <w:szCs w:val="20"/>
        </w:rPr>
        <w:t>82</w:t>
      </w:r>
      <w:r w:rsidR="001A2CC9" w:rsidRPr="00BC513A">
        <w:rPr>
          <w:rFonts w:ascii="Arial" w:hAnsi="Arial" w:cs="Arial"/>
          <w:b/>
          <w:iCs/>
          <w:color w:val="0070C0"/>
          <w:sz w:val="20"/>
          <w:szCs w:val="20"/>
        </w:rPr>
        <w:fldChar w:fldCharType="end"/>
      </w:r>
      <w:r w:rsidR="001A2CC9" w:rsidRPr="00BC513A">
        <w:rPr>
          <w:rFonts w:ascii="Arial" w:hAnsi="Arial" w:cs="Arial"/>
          <w:b/>
          <w:iCs/>
          <w:color w:val="0070C0"/>
          <w:sz w:val="20"/>
          <w:szCs w:val="20"/>
        </w:rPr>
        <w:t>.</w:t>
      </w:r>
      <w:r w:rsidR="001A2CC9">
        <w:rPr>
          <w:rFonts w:ascii="Arial" w:hAnsi="Arial" w:cs="Arial"/>
          <w:b/>
          <w:iCs/>
          <w:color w:val="0070C0"/>
          <w:sz w:val="20"/>
          <w:szCs w:val="20"/>
        </w:rPr>
        <w:t xml:space="preserve"> </w:t>
      </w:r>
      <w:r w:rsidRPr="00BC513A">
        <w:rPr>
          <w:rFonts w:ascii="Arial" w:hAnsi="Arial" w:cs="Arial"/>
          <w:b/>
          <w:iCs/>
          <w:color w:val="0070C0"/>
          <w:sz w:val="20"/>
          <w:szCs w:val="20"/>
        </w:rPr>
        <w:t>Планирани и договорени бюджети по мярка 41</w:t>
      </w:r>
    </w:p>
    <w:tbl>
      <w:tblPr>
        <w:tblStyle w:val="TableGrid"/>
        <w:tblW w:w="0" w:type="auto"/>
        <w:tblInd w:w="250" w:type="dxa"/>
        <w:tblLook w:val="04A0" w:firstRow="1" w:lastRow="0" w:firstColumn="1" w:lastColumn="0" w:noHBand="0" w:noVBand="1"/>
      </w:tblPr>
      <w:tblGrid>
        <w:gridCol w:w="1985"/>
        <w:gridCol w:w="3260"/>
        <w:gridCol w:w="2977"/>
      </w:tblGrid>
      <w:tr w:rsidR="00E8617E" w:rsidRPr="00BC513A" w14:paraId="1B8B3573" w14:textId="77777777" w:rsidTr="00922731">
        <w:tc>
          <w:tcPr>
            <w:tcW w:w="1985" w:type="dxa"/>
            <w:shd w:val="clear" w:color="auto" w:fill="1F4E79" w:themeFill="accent1" w:themeFillShade="80"/>
          </w:tcPr>
          <w:p w14:paraId="1AEB3943" w14:textId="77777777" w:rsidR="00E8617E" w:rsidRPr="00BC513A" w:rsidRDefault="00E8617E" w:rsidP="00922731">
            <w:pPr>
              <w:pStyle w:val="DefaultText"/>
              <w:spacing w:after="120" w:line="300" w:lineRule="atLeast"/>
              <w:rPr>
                <w:rFonts w:cs="Arial"/>
                <w:b/>
                <w:color w:val="FFFFFF" w:themeColor="background1"/>
                <w:sz w:val="20"/>
                <w:szCs w:val="20"/>
                <w:lang w:val="bg-BG"/>
              </w:rPr>
            </w:pPr>
            <w:r w:rsidRPr="00BC513A">
              <w:rPr>
                <w:rFonts w:cs="Arial"/>
                <w:b/>
                <w:color w:val="FFFFFF" w:themeColor="background1"/>
                <w:sz w:val="20"/>
                <w:szCs w:val="20"/>
                <w:lang w:val="bg-BG"/>
              </w:rPr>
              <w:t>Ос</w:t>
            </w:r>
          </w:p>
        </w:tc>
        <w:tc>
          <w:tcPr>
            <w:tcW w:w="3260" w:type="dxa"/>
            <w:shd w:val="clear" w:color="auto" w:fill="1F4E79" w:themeFill="accent1" w:themeFillShade="80"/>
          </w:tcPr>
          <w:p w14:paraId="4D008240" w14:textId="77777777" w:rsidR="00E8617E" w:rsidRPr="00BC513A" w:rsidRDefault="00E8617E" w:rsidP="00922731">
            <w:pPr>
              <w:pStyle w:val="DefaultText"/>
              <w:spacing w:after="120" w:line="300" w:lineRule="atLeast"/>
              <w:ind w:firstLine="34"/>
              <w:rPr>
                <w:rFonts w:cs="Arial"/>
                <w:b/>
                <w:color w:val="FFFFFF" w:themeColor="background1"/>
                <w:sz w:val="20"/>
                <w:szCs w:val="20"/>
                <w:lang w:val="bg-BG"/>
              </w:rPr>
            </w:pPr>
            <w:r w:rsidRPr="00BC513A">
              <w:rPr>
                <w:rFonts w:cs="Arial"/>
                <w:b/>
                <w:color w:val="FFFFFF" w:themeColor="background1"/>
                <w:sz w:val="20"/>
                <w:szCs w:val="20"/>
                <w:lang w:val="bg-BG"/>
              </w:rPr>
              <w:t xml:space="preserve">Планирани бюджети </w:t>
            </w:r>
          </w:p>
        </w:tc>
        <w:tc>
          <w:tcPr>
            <w:tcW w:w="2977" w:type="dxa"/>
            <w:shd w:val="clear" w:color="auto" w:fill="1F4E79" w:themeFill="accent1" w:themeFillShade="80"/>
          </w:tcPr>
          <w:p w14:paraId="2791B2F5" w14:textId="77777777" w:rsidR="00E8617E" w:rsidRPr="00BC513A" w:rsidRDefault="00E8617E" w:rsidP="00922731">
            <w:pPr>
              <w:pStyle w:val="DefaultText"/>
              <w:spacing w:after="120" w:line="300" w:lineRule="atLeast"/>
              <w:rPr>
                <w:rFonts w:cs="Arial"/>
                <w:b/>
                <w:color w:val="FFFFFF" w:themeColor="background1"/>
                <w:sz w:val="20"/>
                <w:szCs w:val="20"/>
                <w:lang w:val="bg-BG"/>
              </w:rPr>
            </w:pPr>
            <w:r w:rsidRPr="00BC513A">
              <w:rPr>
                <w:rFonts w:cs="Arial"/>
                <w:b/>
                <w:color w:val="FFFFFF" w:themeColor="background1"/>
                <w:sz w:val="20"/>
                <w:szCs w:val="20"/>
                <w:lang w:val="bg-BG"/>
              </w:rPr>
              <w:t xml:space="preserve">Договорени бюджети </w:t>
            </w:r>
          </w:p>
        </w:tc>
      </w:tr>
      <w:tr w:rsidR="00E8617E" w:rsidRPr="00BC513A" w14:paraId="4B6FAE79" w14:textId="77777777" w:rsidTr="00922731">
        <w:tc>
          <w:tcPr>
            <w:tcW w:w="1985" w:type="dxa"/>
          </w:tcPr>
          <w:p w14:paraId="468E4B74" w14:textId="77777777" w:rsidR="00E8617E" w:rsidRPr="00BC513A" w:rsidRDefault="00E8617E" w:rsidP="00922731">
            <w:pPr>
              <w:pStyle w:val="DefaultText"/>
              <w:spacing w:after="120" w:line="300" w:lineRule="atLeast"/>
              <w:jc w:val="left"/>
              <w:rPr>
                <w:rFonts w:cs="Arial"/>
                <w:sz w:val="20"/>
                <w:szCs w:val="20"/>
                <w:lang w:val="bg-BG"/>
              </w:rPr>
            </w:pPr>
            <w:r w:rsidRPr="00BC513A">
              <w:rPr>
                <w:rFonts w:cs="Arial"/>
                <w:sz w:val="20"/>
                <w:szCs w:val="20"/>
                <w:lang w:val="bg-BG"/>
              </w:rPr>
              <w:t>Ос1</w:t>
            </w:r>
          </w:p>
        </w:tc>
        <w:tc>
          <w:tcPr>
            <w:tcW w:w="3260" w:type="dxa"/>
          </w:tcPr>
          <w:p w14:paraId="5BF17057" w14:textId="77777777" w:rsidR="00E8617E" w:rsidRPr="00BC513A" w:rsidRDefault="00E8617E" w:rsidP="00922731">
            <w:pPr>
              <w:pStyle w:val="DefaultText"/>
              <w:spacing w:after="120" w:line="300" w:lineRule="atLeast"/>
              <w:ind w:firstLine="34"/>
              <w:jc w:val="center"/>
              <w:rPr>
                <w:rFonts w:cs="Arial"/>
                <w:sz w:val="20"/>
                <w:szCs w:val="20"/>
                <w:lang w:val="bg-BG"/>
              </w:rPr>
            </w:pPr>
            <w:r w:rsidRPr="00BC513A">
              <w:rPr>
                <w:rFonts w:cs="Arial"/>
                <w:sz w:val="20"/>
                <w:szCs w:val="20"/>
                <w:lang w:val="bg-BG"/>
              </w:rPr>
              <w:t>35%</w:t>
            </w:r>
          </w:p>
        </w:tc>
        <w:tc>
          <w:tcPr>
            <w:tcW w:w="2977" w:type="dxa"/>
          </w:tcPr>
          <w:p w14:paraId="586F9338" w14:textId="77777777" w:rsidR="00E8617E" w:rsidRPr="00BC513A" w:rsidRDefault="00E8617E" w:rsidP="00922731">
            <w:pPr>
              <w:pStyle w:val="DefaultText"/>
              <w:spacing w:after="120" w:line="300" w:lineRule="atLeast"/>
              <w:ind w:firstLine="34"/>
              <w:jc w:val="center"/>
              <w:rPr>
                <w:rFonts w:cs="Arial"/>
                <w:sz w:val="20"/>
                <w:szCs w:val="20"/>
                <w:lang w:val="bg-BG"/>
              </w:rPr>
            </w:pPr>
            <w:r w:rsidRPr="00BC513A">
              <w:rPr>
                <w:rFonts w:cs="Arial"/>
                <w:sz w:val="20"/>
                <w:szCs w:val="20"/>
                <w:lang w:val="bg-BG"/>
              </w:rPr>
              <w:t>27%</w:t>
            </w:r>
          </w:p>
        </w:tc>
      </w:tr>
      <w:tr w:rsidR="00E8617E" w:rsidRPr="00BC513A" w14:paraId="7D3864D2" w14:textId="77777777" w:rsidTr="00922731">
        <w:tc>
          <w:tcPr>
            <w:tcW w:w="1985" w:type="dxa"/>
          </w:tcPr>
          <w:p w14:paraId="16853DB6" w14:textId="77777777" w:rsidR="00E8617E" w:rsidRPr="00BC513A" w:rsidRDefault="00E8617E" w:rsidP="00922731">
            <w:pPr>
              <w:pStyle w:val="DefaultText"/>
              <w:spacing w:after="120" w:line="300" w:lineRule="atLeast"/>
              <w:jc w:val="left"/>
              <w:rPr>
                <w:rFonts w:cs="Arial"/>
                <w:sz w:val="20"/>
                <w:szCs w:val="20"/>
                <w:lang w:val="bg-BG"/>
              </w:rPr>
            </w:pPr>
            <w:r w:rsidRPr="00BC513A">
              <w:rPr>
                <w:rFonts w:cs="Arial"/>
                <w:sz w:val="20"/>
                <w:szCs w:val="20"/>
                <w:lang w:val="bg-BG"/>
              </w:rPr>
              <w:t>Ос2</w:t>
            </w:r>
          </w:p>
        </w:tc>
        <w:tc>
          <w:tcPr>
            <w:tcW w:w="3260" w:type="dxa"/>
          </w:tcPr>
          <w:p w14:paraId="109D3C39" w14:textId="77777777" w:rsidR="00E8617E" w:rsidRPr="00BC513A" w:rsidRDefault="00E8617E" w:rsidP="00922731">
            <w:pPr>
              <w:pStyle w:val="DefaultText"/>
              <w:spacing w:after="120" w:line="300" w:lineRule="atLeast"/>
              <w:ind w:firstLine="34"/>
              <w:jc w:val="center"/>
              <w:rPr>
                <w:rFonts w:cs="Arial"/>
                <w:sz w:val="20"/>
                <w:szCs w:val="20"/>
                <w:lang w:val="bg-BG"/>
              </w:rPr>
            </w:pPr>
            <w:r w:rsidRPr="00BC513A">
              <w:rPr>
                <w:rFonts w:cs="Arial"/>
                <w:sz w:val="20"/>
                <w:szCs w:val="20"/>
                <w:lang w:val="bg-BG"/>
              </w:rPr>
              <w:t>5%</w:t>
            </w:r>
          </w:p>
        </w:tc>
        <w:tc>
          <w:tcPr>
            <w:tcW w:w="2977" w:type="dxa"/>
          </w:tcPr>
          <w:p w14:paraId="7B1C06A8" w14:textId="77777777" w:rsidR="00E8617E" w:rsidRPr="00BC513A" w:rsidRDefault="00E8617E" w:rsidP="00922731">
            <w:pPr>
              <w:pStyle w:val="DefaultText"/>
              <w:spacing w:after="120" w:line="300" w:lineRule="atLeast"/>
              <w:ind w:firstLine="34"/>
              <w:jc w:val="center"/>
              <w:rPr>
                <w:rFonts w:cs="Arial"/>
                <w:sz w:val="20"/>
                <w:szCs w:val="20"/>
                <w:lang w:val="bg-BG"/>
              </w:rPr>
            </w:pPr>
            <w:r w:rsidRPr="00BC513A">
              <w:rPr>
                <w:rFonts w:cs="Arial"/>
                <w:sz w:val="20"/>
                <w:szCs w:val="20"/>
                <w:lang w:val="bg-BG"/>
              </w:rPr>
              <w:t>1%</w:t>
            </w:r>
          </w:p>
        </w:tc>
      </w:tr>
      <w:tr w:rsidR="00E8617E" w:rsidRPr="00BC513A" w14:paraId="6F8D37E0" w14:textId="77777777" w:rsidTr="00922731">
        <w:tc>
          <w:tcPr>
            <w:tcW w:w="1985" w:type="dxa"/>
          </w:tcPr>
          <w:p w14:paraId="7780CDFD" w14:textId="77777777" w:rsidR="00E8617E" w:rsidRPr="00BC513A" w:rsidRDefault="00E8617E" w:rsidP="00922731">
            <w:pPr>
              <w:pStyle w:val="DefaultText"/>
              <w:spacing w:after="120" w:line="300" w:lineRule="atLeast"/>
              <w:jc w:val="left"/>
              <w:rPr>
                <w:rFonts w:cs="Arial"/>
                <w:sz w:val="20"/>
                <w:szCs w:val="20"/>
                <w:lang w:val="bg-BG"/>
              </w:rPr>
            </w:pPr>
            <w:r w:rsidRPr="00BC513A">
              <w:rPr>
                <w:rFonts w:cs="Arial"/>
                <w:sz w:val="20"/>
                <w:szCs w:val="20"/>
                <w:lang w:val="bg-BG"/>
              </w:rPr>
              <w:t>Ос3</w:t>
            </w:r>
          </w:p>
        </w:tc>
        <w:tc>
          <w:tcPr>
            <w:tcW w:w="3260" w:type="dxa"/>
          </w:tcPr>
          <w:p w14:paraId="236B4CF0" w14:textId="77777777" w:rsidR="00E8617E" w:rsidRPr="00BC513A" w:rsidRDefault="00E8617E" w:rsidP="00922731">
            <w:pPr>
              <w:pStyle w:val="DefaultText"/>
              <w:spacing w:after="120" w:line="300" w:lineRule="atLeast"/>
              <w:ind w:firstLine="34"/>
              <w:jc w:val="center"/>
              <w:rPr>
                <w:rFonts w:cs="Arial"/>
                <w:sz w:val="20"/>
                <w:szCs w:val="20"/>
                <w:lang w:val="bg-BG"/>
              </w:rPr>
            </w:pPr>
            <w:r w:rsidRPr="00BC513A">
              <w:rPr>
                <w:rFonts w:cs="Arial"/>
                <w:sz w:val="20"/>
                <w:szCs w:val="20"/>
                <w:lang w:val="bg-BG"/>
              </w:rPr>
              <w:t>60%</w:t>
            </w:r>
          </w:p>
        </w:tc>
        <w:tc>
          <w:tcPr>
            <w:tcW w:w="2977" w:type="dxa"/>
          </w:tcPr>
          <w:p w14:paraId="6673478F" w14:textId="77777777" w:rsidR="00E8617E" w:rsidRPr="00BC513A" w:rsidRDefault="00E8617E" w:rsidP="00922731">
            <w:pPr>
              <w:pStyle w:val="DefaultText"/>
              <w:spacing w:after="120" w:line="300" w:lineRule="atLeast"/>
              <w:ind w:firstLine="34"/>
              <w:jc w:val="center"/>
              <w:rPr>
                <w:rFonts w:cs="Arial"/>
                <w:sz w:val="20"/>
                <w:szCs w:val="20"/>
                <w:lang w:val="bg-BG"/>
              </w:rPr>
            </w:pPr>
            <w:r w:rsidRPr="00BC513A">
              <w:rPr>
                <w:rFonts w:cs="Arial"/>
                <w:sz w:val="20"/>
                <w:szCs w:val="20"/>
                <w:lang w:val="bg-BG"/>
              </w:rPr>
              <w:t>72%</w:t>
            </w:r>
          </w:p>
        </w:tc>
      </w:tr>
      <w:tr w:rsidR="00E8617E" w:rsidRPr="00BC513A" w14:paraId="6296C527" w14:textId="77777777" w:rsidTr="00922731">
        <w:tc>
          <w:tcPr>
            <w:tcW w:w="1985" w:type="dxa"/>
            <w:shd w:val="clear" w:color="auto" w:fill="DEEAF6" w:themeFill="accent1" w:themeFillTint="33"/>
          </w:tcPr>
          <w:p w14:paraId="17A5810B" w14:textId="77777777" w:rsidR="00E8617E" w:rsidRPr="00BC513A" w:rsidRDefault="00E8617E" w:rsidP="00922731">
            <w:pPr>
              <w:pStyle w:val="DefaultText"/>
              <w:spacing w:after="120" w:line="300" w:lineRule="atLeast"/>
              <w:jc w:val="left"/>
              <w:rPr>
                <w:rFonts w:cs="Arial"/>
                <w:sz w:val="20"/>
                <w:szCs w:val="20"/>
                <w:lang w:val="bg-BG"/>
              </w:rPr>
            </w:pPr>
            <w:r w:rsidRPr="00BC513A">
              <w:rPr>
                <w:rFonts w:cs="Arial"/>
                <w:sz w:val="20"/>
                <w:szCs w:val="20"/>
                <w:lang w:val="bg-BG"/>
              </w:rPr>
              <w:t>Общо мярка 41</w:t>
            </w:r>
          </w:p>
        </w:tc>
        <w:tc>
          <w:tcPr>
            <w:tcW w:w="3260" w:type="dxa"/>
            <w:shd w:val="clear" w:color="auto" w:fill="DEEAF6" w:themeFill="accent1" w:themeFillTint="33"/>
          </w:tcPr>
          <w:p w14:paraId="43542F6E" w14:textId="77777777" w:rsidR="00E8617E" w:rsidRPr="00BC513A" w:rsidRDefault="00E8617E" w:rsidP="00922731">
            <w:pPr>
              <w:pStyle w:val="DefaultText"/>
              <w:spacing w:after="120" w:line="300" w:lineRule="atLeast"/>
              <w:ind w:firstLine="34"/>
              <w:jc w:val="center"/>
              <w:rPr>
                <w:rFonts w:cs="Arial"/>
                <w:sz w:val="20"/>
                <w:szCs w:val="20"/>
                <w:lang w:val="bg-BG"/>
              </w:rPr>
            </w:pPr>
            <w:r w:rsidRPr="00BC513A">
              <w:rPr>
                <w:rFonts w:cs="Arial"/>
                <w:sz w:val="20"/>
                <w:szCs w:val="20"/>
                <w:lang w:val="bg-BG"/>
              </w:rPr>
              <w:t>100%</w:t>
            </w:r>
          </w:p>
        </w:tc>
        <w:tc>
          <w:tcPr>
            <w:tcW w:w="2977" w:type="dxa"/>
            <w:shd w:val="clear" w:color="auto" w:fill="DEEAF6" w:themeFill="accent1" w:themeFillTint="33"/>
          </w:tcPr>
          <w:p w14:paraId="0FAC5DCA" w14:textId="77777777" w:rsidR="00E8617E" w:rsidRPr="00BC513A" w:rsidRDefault="00E8617E" w:rsidP="00922731">
            <w:pPr>
              <w:pStyle w:val="DefaultText"/>
              <w:spacing w:after="120" w:line="300" w:lineRule="atLeast"/>
              <w:ind w:firstLine="34"/>
              <w:jc w:val="center"/>
              <w:rPr>
                <w:rFonts w:cs="Arial"/>
                <w:sz w:val="20"/>
                <w:szCs w:val="20"/>
                <w:lang w:val="bg-BG"/>
              </w:rPr>
            </w:pPr>
            <w:r w:rsidRPr="00BC513A">
              <w:rPr>
                <w:rFonts w:cs="Arial"/>
                <w:sz w:val="20"/>
                <w:szCs w:val="20"/>
                <w:lang w:val="bg-BG"/>
              </w:rPr>
              <w:t>100%</w:t>
            </w:r>
          </w:p>
        </w:tc>
      </w:tr>
    </w:tbl>
    <w:p w14:paraId="4D1660E7" w14:textId="77777777" w:rsidR="00E8617E" w:rsidRPr="00F07F15" w:rsidRDefault="00E8617E" w:rsidP="00E8617E">
      <w:pPr>
        <w:spacing w:after="120"/>
        <w:ind w:firstLine="142"/>
        <w:jc w:val="both"/>
        <w:rPr>
          <w:rFonts w:ascii="Arial" w:hAnsi="Arial" w:cs="Arial"/>
          <w:color w:val="000000"/>
          <w:sz w:val="18"/>
          <w:szCs w:val="18"/>
          <w:lang w:eastAsia="bg-BG"/>
        </w:rPr>
      </w:pPr>
      <w:r w:rsidRPr="00F07F15">
        <w:rPr>
          <w:rFonts w:ascii="Arial" w:hAnsi="Arial" w:cs="Arial"/>
          <w:color w:val="000000"/>
          <w:sz w:val="18"/>
          <w:szCs w:val="18"/>
          <w:lang w:eastAsia="bg-BG"/>
        </w:rPr>
        <w:t>Източник: По данни от Доклад за текуща оценка 2013</w:t>
      </w:r>
    </w:p>
    <w:p w14:paraId="6E9061CB" w14:textId="77777777" w:rsidR="00E8617E" w:rsidRPr="00BC513A" w:rsidRDefault="00E8617E" w:rsidP="00E8617E">
      <w:pPr>
        <w:spacing w:after="120" w:line="300" w:lineRule="atLeast"/>
        <w:ind w:firstLine="567"/>
        <w:jc w:val="both"/>
        <w:rPr>
          <w:rFonts w:ascii="Arial" w:eastAsia="Times New Roman" w:hAnsi="Arial" w:cs="Arial"/>
          <w:lang w:eastAsia="nl-NL"/>
        </w:rPr>
      </w:pPr>
      <w:r w:rsidRPr="00BC513A">
        <w:rPr>
          <w:rFonts w:ascii="Arial" w:eastAsia="Times New Roman" w:hAnsi="Arial" w:cs="Arial"/>
          <w:lang w:eastAsia="nl-NL"/>
        </w:rPr>
        <w:t>Преобладаващата част от одобрените проекти по мярка 421 „</w:t>
      </w:r>
      <w:r w:rsidRPr="00BC513A">
        <w:rPr>
          <w:rFonts w:ascii="Arial" w:eastAsia="Times New Roman" w:hAnsi="Arial" w:cs="Arial"/>
          <w:i/>
          <w:lang w:eastAsia="nl-NL"/>
        </w:rPr>
        <w:t>Вътрешнотериториално и транснационално сътрудничество</w:t>
      </w:r>
      <w:r w:rsidRPr="00BC513A">
        <w:rPr>
          <w:rFonts w:ascii="Arial" w:eastAsia="Times New Roman" w:hAnsi="Arial" w:cs="Arial"/>
          <w:lang w:eastAsia="nl-NL"/>
        </w:rPr>
        <w:t xml:space="preserve">“ също </w:t>
      </w:r>
      <w:r w:rsidR="003476D5">
        <w:rPr>
          <w:rFonts w:ascii="Arial" w:eastAsia="Times New Roman" w:hAnsi="Arial" w:cs="Arial"/>
          <w:lang w:eastAsia="nl-NL"/>
        </w:rPr>
        <w:t xml:space="preserve">подкрепят инициативи подпомагащи постигането на целите на </w:t>
      </w:r>
      <w:r w:rsidRPr="00BC513A">
        <w:rPr>
          <w:rFonts w:ascii="Arial" w:eastAsia="Times New Roman" w:hAnsi="Arial" w:cs="Arial"/>
          <w:lang w:eastAsia="nl-NL"/>
        </w:rPr>
        <w:t>ос 3 „Качество на живот в селските райони и разнообразяване на селската икономика“  на ПРСР 2007 – 2013 г. – 93 % (13 бр)., като само 1 проект попада в ос 1 „Подобряване на  земеделския и горския сектор“ по данни за договорирани средства от ДФЗ-РА.</w:t>
      </w:r>
    </w:p>
    <w:p w14:paraId="3404ADD2"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Може да се заключи, че чрез изпълнението на местните стратегии за развитие МИГ са допринесли най-вече за постигане на целите на ос 3 на ПРСР, свързани с подобряване на услугите за местните общности и качеството на живот в селските райони на територията на 57 общини  в страната. </w:t>
      </w:r>
    </w:p>
    <w:p w14:paraId="328D1B8B" w14:textId="6C7F165F" w:rsidR="00E8617E" w:rsidRPr="00BC513A" w:rsidRDefault="001D482F" w:rsidP="00E8617E">
      <w:pPr>
        <w:pStyle w:val="DefaultText"/>
        <w:spacing w:after="120" w:line="300" w:lineRule="atLeast"/>
        <w:ind w:firstLine="709"/>
        <w:rPr>
          <w:rFonts w:cs="Arial"/>
          <w:sz w:val="22"/>
          <w:szCs w:val="22"/>
          <w:lang w:val="bg-BG"/>
        </w:rPr>
      </w:pPr>
      <w:r>
        <w:rPr>
          <w:rFonts w:cs="Arial"/>
          <w:sz w:val="22"/>
          <w:szCs w:val="22"/>
          <w:lang w:val="bg-BG"/>
        </w:rPr>
        <w:t>Това, че голяма част от проектите по</w:t>
      </w:r>
      <w:r w:rsidR="00E8617E" w:rsidRPr="00BC513A">
        <w:rPr>
          <w:rFonts w:cs="Arial"/>
          <w:sz w:val="22"/>
          <w:szCs w:val="22"/>
          <w:lang w:val="bg-BG"/>
        </w:rPr>
        <w:t xml:space="preserve"> мярка 41 </w:t>
      </w:r>
      <w:r>
        <w:rPr>
          <w:rFonts w:cs="Arial"/>
          <w:sz w:val="22"/>
          <w:szCs w:val="22"/>
          <w:lang w:val="bg-BG"/>
        </w:rPr>
        <w:t xml:space="preserve">са насочени към интервенции в обхвата на ос </w:t>
      </w:r>
      <w:r w:rsidR="00E8617E" w:rsidRPr="00BC513A">
        <w:rPr>
          <w:rFonts w:cs="Arial"/>
          <w:sz w:val="22"/>
          <w:szCs w:val="22"/>
          <w:lang w:val="bg-BG"/>
        </w:rPr>
        <w:t xml:space="preserve">3 се дължи както на явната необходимост от подобряване на общинската инфраструктура, в която не са правени инвестиции в последните 20 години, така и от факта, че МИГ са силно зависими, включително финансово от общините, на чиито територии работят. </w:t>
      </w:r>
    </w:p>
    <w:p w14:paraId="6A667D8F" w14:textId="59FF6580"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Мерките за разнообразяване (311 и 312) са желани и необходими за общините от селски тип. Голяма част от услугите за населението и бизнеса в тези общини се предлагат от икономически субекти</w:t>
      </w:r>
      <w:r w:rsidR="00B577C5">
        <w:rPr>
          <w:rFonts w:cs="Arial"/>
          <w:sz w:val="22"/>
          <w:szCs w:val="22"/>
          <w:lang w:val="bg-BG"/>
        </w:rPr>
        <w:t>,</w:t>
      </w:r>
      <w:r w:rsidRPr="00BC513A">
        <w:rPr>
          <w:rFonts w:cs="Arial"/>
          <w:sz w:val="22"/>
          <w:szCs w:val="22"/>
          <w:lang w:val="bg-BG"/>
        </w:rPr>
        <w:t xml:space="preserve"> работещи в близките областни градове поради по-големия брой население и по-добрата бизнес среда. Точно чрез изпълнените по ЛИДЕР проекти се подобрява икономическа среда за развитие на бизнес в селските общини с увеличаване на предлаганите услуги и се създават предпоставки за забавяне на процеса по обезлюдяване на селските райони.</w:t>
      </w:r>
    </w:p>
    <w:p w14:paraId="78EBBD86" w14:textId="71C6A8ED"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Въпреки че за мярка 323 е отделен не голям бюджет</w:t>
      </w:r>
      <w:r w:rsidR="00B577C5">
        <w:rPr>
          <w:rFonts w:cs="Arial"/>
          <w:sz w:val="22"/>
          <w:szCs w:val="22"/>
          <w:lang w:val="bg-BG"/>
        </w:rPr>
        <w:t>,</w:t>
      </w:r>
      <w:r w:rsidRPr="00BC513A">
        <w:rPr>
          <w:rFonts w:cs="Arial"/>
          <w:sz w:val="22"/>
          <w:szCs w:val="22"/>
          <w:lang w:val="bg-BG"/>
        </w:rPr>
        <w:t xml:space="preserve"> тя е изключително важна, тъй-като не се прилага в ПРСР, но е насочена към подпомагане на проекти за селско и природно наследство. По нея се реализират дейности за популяризиране на културното материално и нематериално наследство – изработване на филми с културна насоченост, закупуване на носии за самодейни състави, отпечатване на книги, организиране на фестивали и други подпомагащи културната идентичност и самодейност на селските райони дейности. </w:t>
      </w:r>
    </w:p>
    <w:p w14:paraId="06D2B113" w14:textId="6D4B6FD3"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Спецификата на ЛИДЕР позволява на местните общности да изградят стратегия за местно развитие на база потребностите на територията, която все пак е обвързана с ограниченията, които поставят регламентите относно предоставяната подкрепа. Поради това, макар и базирани на местните нужди, стратегиите за местно развитие са насочени основно към подкрепа за приоритетите на ПРСР 2007-2013. В новия програмен период за подхода ЛИДЕР е осигурено многофондово финансиране, което гарантира много по-големи възможности за адресиране на местните нужди.</w:t>
      </w:r>
    </w:p>
    <w:p w14:paraId="5BDFCEE3" w14:textId="020DE8DE" w:rsidR="00E8617E"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По отношение на създаване на заетост проектите на МИГ  създават общо 2</w:t>
      </w:r>
      <w:r w:rsidR="00B577C5">
        <w:rPr>
          <w:rFonts w:cs="Arial"/>
          <w:sz w:val="22"/>
          <w:szCs w:val="22"/>
          <w:lang w:val="bg-BG"/>
        </w:rPr>
        <w:t> </w:t>
      </w:r>
      <w:r w:rsidRPr="00BC513A">
        <w:rPr>
          <w:rFonts w:cs="Arial"/>
          <w:sz w:val="22"/>
          <w:szCs w:val="22"/>
          <w:lang w:val="bg-BG"/>
        </w:rPr>
        <w:t>609 нови работни места, както е посочено в таблицата по-долу.</w:t>
      </w:r>
    </w:p>
    <w:p w14:paraId="3410C204" w14:textId="77777777" w:rsidR="00077260" w:rsidRPr="0049526E" w:rsidRDefault="00077260" w:rsidP="0049526E">
      <w:pPr>
        <w:pStyle w:val="DefaultText"/>
        <w:spacing w:line="240" w:lineRule="auto"/>
        <w:ind w:firstLine="709"/>
        <w:rPr>
          <w:rFonts w:cs="Arial"/>
          <w:szCs w:val="22"/>
          <w:lang w:val="bg-BG"/>
        </w:rPr>
      </w:pPr>
    </w:p>
    <w:p w14:paraId="01EFEE58" w14:textId="69A8F540" w:rsidR="00E8617E" w:rsidRPr="00BC513A" w:rsidRDefault="00E8617E" w:rsidP="0049526E">
      <w:pPr>
        <w:keepNext/>
        <w:spacing w:after="0" w:line="240" w:lineRule="auto"/>
        <w:jc w:val="both"/>
        <w:rPr>
          <w:rFonts w:ascii="Arial" w:hAnsi="Arial" w:cs="Arial"/>
          <w:b/>
          <w:iCs/>
          <w:color w:val="0070C0"/>
          <w:sz w:val="20"/>
          <w:szCs w:val="20"/>
        </w:rPr>
      </w:pPr>
      <w:bookmarkStart w:id="190" w:name="_Toc504136254"/>
      <w:r w:rsidRPr="00BC513A">
        <w:rPr>
          <w:rFonts w:ascii="Arial" w:hAnsi="Arial" w:cs="Arial"/>
          <w:b/>
          <w:iCs/>
          <w:color w:val="0070C0"/>
          <w:sz w:val="20"/>
          <w:szCs w:val="20"/>
        </w:rPr>
        <w:t xml:space="preserve">Таблица </w:t>
      </w:r>
      <w:r w:rsidRPr="00BC513A">
        <w:rPr>
          <w:rFonts w:ascii="Arial" w:hAnsi="Arial" w:cs="Arial"/>
          <w:b/>
          <w:iCs/>
          <w:color w:val="0070C0"/>
          <w:sz w:val="20"/>
          <w:szCs w:val="20"/>
        </w:rPr>
        <w:fldChar w:fldCharType="begin"/>
      </w:r>
      <w:r w:rsidRPr="00BC513A">
        <w:rPr>
          <w:rFonts w:ascii="Arial" w:hAnsi="Arial" w:cs="Arial"/>
          <w:b/>
          <w:iCs/>
          <w:color w:val="0070C0"/>
          <w:sz w:val="20"/>
          <w:szCs w:val="20"/>
        </w:rPr>
        <w:instrText xml:space="preserve"> SEQ Таблица \* ARABIC </w:instrText>
      </w:r>
      <w:r w:rsidRPr="00BC513A">
        <w:rPr>
          <w:rFonts w:ascii="Arial" w:hAnsi="Arial" w:cs="Arial"/>
          <w:b/>
          <w:iCs/>
          <w:color w:val="0070C0"/>
          <w:sz w:val="20"/>
          <w:szCs w:val="20"/>
        </w:rPr>
        <w:fldChar w:fldCharType="separate"/>
      </w:r>
      <w:r w:rsidR="0023010D">
        <w:rPr>
          <w:rFonts w:ascii="Arial" w:hAnsi="Arial" w:cs="Arial"/>
          <w:b/>
          <w:iCs/>
          <w:noProof/>
          <w:color w:val="0070C0"/>
          <w:sz w:val="20"/>
          <w:szCs w:val="20"/>
        </w:rPr>
        <w:t>83</w:t>
      </w:r>
      <w:r w:rsidRPr="00BC513A">
        <w:rPr>
          <w:rFonts w:ascii="Arial" w:hAnsi="Arial" w:cs="Arial"/>
          <w:b/>
          <w:iCs/>
          <w:color w:val="0070C0"/>
          <w:sz w:val="20"/>
          <w:szCs w:val="20"/>
        </w:rPr>
        <w:fldChar w:fldCharType="end"/>
      </w:r>
      <w:r w:rsidRPr="00BC513A">
        <w:rPr>
          <w:rFonts w:ascii="Arial" w:hAnsi="Arial" w:cs="Arial"/>
          <w:b/>
          <w:iCs/>
          <w:color w:val="0070C0"/>
          <w:sz w:val="20"/>
          <w:szCs w:val="20"/>
        </w:rPr>
        <w:t>. Създадени работни места по проекти на МИГ</w:t>
      </w:r>
      <w:bookmarkEnd w:id="190"/>
    </w:p>
    <w:tbl>
      <w:tblPr>
        <w:tblW w:w="9166"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597"/>
        <w:gridCol w:w="2605"/>
        <w:gridCol w:w="916"/>
        <w:gridCol w:w="1082"/>
        <w:gridCol w:w="903"/>
        <w:gridCol w:w="1213"/>
        <w:gridCol w:w="850"/>
      </w:tblGrid>
      <w:tr w:rsidR="00E8617E" w:rsidRPr="00BC513A" w14:paraId="74CC7563" w14:textId="77777777" w:rsidTr="00922731">
        <w:trPr>
          <w:trHeight w:val="315"/>
        </w:trPr>
        <w:tc>
          <w:tcPr>
            <w:tcW w:w="1597" w:type="dxa"/>
            <w:vMerge w:val="restart"/>
            <w:shd w:val="clear" w:color="auto" w:fill="1F4E79" w:themeFill="accent1" w:themeFillShade="80"/>
            <w:vAlign w:val="center"/>
            <w:hideMark/>
          </w:tcPr>
          <w:p w14:paraId="6C97661B" w14:textId="77777777" w:rsidR="00E8617E" w:rsidRPr="00BC513A" w:rsidRDefault="00E8617E" w:rsidP="00922731">
            <w:pPr>
              <w:spacing w:after="0" w:line="240" w:lineRule="auto"/>
              <w:jc w:val="both"/>
              <w:rPr>
                <w:rFonts w:ascii="Arial" w:eastAsia="Times New Roman" w:hAnsi="Arial" w:cs="Arial"/>
                <w:b/>
                <w:bCs/>
                <w:iCs/>
                <w:color w:val="FFFFFF" w:themeColor="background1"/>
                <w:sz w:val="20"/>
                <w:szCs w:val="20"/>
                <w:lang w:eastAsia="bg-BG"/>
              </w:rPr>
            </w:pPr>
            <w:r w:rsidRPr="00BC513A">
              <w:rPr>
                <w:rFonts w:ascii="Arial" w:eastAsia="Times New Roman" w:hAnsi="Arial" w:cs="Arial"/>
                <w:b/>
                <w:bCs/>
                <w:iCs/>
                <w:color w:val="FFFFFF" w:themeColor="background1"/>
                <w:sz w:val="20"/>
                <w:szCs w:val="20"/>
                <w:lang w:eastAsia="bg-BG"/>
              </w:rPr>
              <w:t>Работни места в/извън земеделието</w:t>
            </w:r>
          </w:p>
        </w:tc>
        <w:tc>
          <w:tcPr>
            <w:tcW w:w="2605" w:type="dxa"/>
            <w:vMerge w:val="restart"/>
            <w:shd w:val="clear" w:color="auto" w:fill="1F4E79" w:themeFill="accent1" w:themeFillShade="80"/>
            <w:vAlign w:val="center"/>
            <w:hideMark/>
          </w:tcPr>
          <w:p w14:paraId="0735063C" w14:textId="77777777" w:rsidR="00E8617E" w:rsidRPr="00BC513A" w:rsidRDefault="00E8617E" w:rsidP="00922731">
            <w:pPr>
              <w:tabs>
                <w:tab w:val="left" w:pos="7042"/>
              </w:tabs>
              <w:spacing w:after="0" w:line="240" w:lineRule="auto"/>
              <w:ind w:right="223"/>
              <w:jc w:val="both"/>
              <w:rPr>
                <w:rFonts w:ascii="Arial" w:eastAsia="Times New Roman" w:hAnsi="Arial" w:cs="Arial"/>
                <w:b/>
                <w:bCs/>
                <w:iCs/>
                <w:color w:val="FFFFFF" w:themeColor="background1"/>
                <w:sz w:val="20"/>
                <w:szCs w:val="20"/>
                <w:lang w:eastAsia="bg-BG"/>
              </w:rPr>
            </w:pPr>
            <w:r w:rsidRPr="00BC513A">
              <w:rPr>
                <w:rFonts w:ascii="Arial" w:eastAsia="Times New Roman" w:hAnsi="Arial" w:cs="Arial"/>
                <w:b/>
                <w:bCs/>
                <w:iCs/>
                <w:color w:val="FFFFFF" w:themeColor="background1"/>
                <w:sz w:val="20"/>
                <w:szCs w:val="20"/>
                <w:lang w:eastAsia="bg-BG"/>
              </w:rPr>
              <w:t>Сфера на дейност</w:t>
            </w:r>
          </w:p>
        </w:tc>
        <w:tc>
          <w:tcPr>
            <w:tcW w:w="4964" w:type="dxa"/>
            <w:gridSpan w:val="5"/>
            <w:shd w:val="clear" w:color="auto" w:fill="1F4E79" w:themeFill="accent1" w:themeFillShade="80"/>
            <w:vAlign w:val="center"/>
            <w:hideMark/>
          </w:tcPr>
          <w:p w14:paraId="183CEFE9" w14:textId="77777777" w:rsidR="00E8617E" w:rsidRPr="00BC513A" w:rsidRDefault="00E8617E" w:rsidP="00922731">
            <w:pPr>
              <w:spacing w:after="0" w:line="240" w:lineRule="auto"/>
              <w:jc w:val="both"/>
              <w:rPr>
                <w:rFonts w:ascii="Arial" w:eastAsia="Times New Roman" w:hAnsi="Arial" w:cs="Arial"/>
                <w:b/>
                <w:bCs/>
                <w:color w:val="000000"/>
                <w:sz w:val="20"/>
                <w:szCs w:val="20"/>
                <w:lang w:eastAsia="bg-BG"/>
              </w:rPr>
            </w:pPr>
            <w:r w:rsidRPr="00BC513A">
              <w:rPr>
                <w:rFonts w:ascii="Arial" w:eastAsia="Times New Roman" w:hAnsi="Arial" w:cs="Arial"/>
                <w:b/>
                <w:bCs/>
                <w:color w:val="FFFFFF" w:themeColor="background1"/>
                <w:sz w:val="20"/>
                <w:szCs w:val="20"/>
                <w:lang w:eastAsia="bg-BG"/>
              </w:rPr>
              <w:t>Общ брой създадени работни места</w:t>
            </w:r>
          </w:p>
        </w:tc>
      </w:tr>
      <w:tr w:rsidR="00E8617E" w:rsidRPr="00BC513A" w14:paraId="170DE473" w14:textId="77777777" w:rsidTr="00922731">
        <w:trPr>
          <w:trHeight w:val="315"/>
        </w:trPr>
        <w:tc>
          <w:tcPr>
            <w:tcW w:w="1597" w:type="dxa"/>
            <w:vMerge/>
            <w:vAlign w:val="center"/>
            <w:hideMark/>
          </w:tcPr>
          <w:p w14:paraId="62C05C8F" w14:textId="77777777" w:rsidR="00E8617E" w:rsidRPr="00BC513A" w:rsidRDefault="00E8617E" w:rsidP="00922731">
            <w:pPr>
              <w:spacing w:after="0" w:line="240" w:lineRule="auto"/>
              <w:jc w:val="both"/>
              <w:rPr>
                <w:rFonts w:ascii="Arial" w:eastAsia="Times New Roman" w:hAnsi="Arial" w:cs="Arial"/>
                <w:b/>
                <w:bCs/>
                <w:i/>
                <w:iCs/>
                <w:color w:val="000000"/>
                <w:sz w:val="20"/>
                <w:szCs w:val="20"/>
                <w:lang w:eastAsia="bg-BG"/>
              </w:rPr>
            </w:pPr>
          </w:p>
        </w:tc>
        <w:tc>
          <w:tcPr>
            <w:tcW w:w="2605" w:type="dxa"/>
            <w:vMerge/>
            <w:vAlign w:val="center"/>
            <w:hideMark/>
          </w:tcPr>
          <w:p w14:paraId="08ABD50F" w14:textId="77777777" w:rsidR="00E8617E" w:rsidRPr="00BC513A" w:rsidRDefault="00E8617E" w:rsidP="00922731">
            <w:pPr>
              <w:spacing w:after="0" w:line="240" w:lineRule="auto"/>
              <w:jc w:val="both"/>
              <w:rPr>
                <w:rFonts w:ascii="Arial" w:eastAsia="Times New Roman" w:hAnsi="Arial" w:cs="Arial"/>
                <w:b/>
                <w:bCs/>
                <w:i/>
                <w:iCs/>
                <w:color w:val="000000"/>
                <w:sz w:val="20"/>
                <w:szCs w:val="20"/>
                <w:lang w:eastAsia="bg-BG"/>
              </w:rPr>
            </w:pPr>
          </w:p>
        </w:tc>
        <w:tc>
          <w:tcPr>
            <w:tcW w:w="1998" w:type="dxa"/>
            <w:gridSpan w:val="2"/>
            <w:shd w:val="clear" w:color="auto" w:fill="DEEAF6" w:themeFill="accent1" w:themeFillTint="33"/>
            <w:vAlign w:val="center"/>
            <w:hideMark/>
          </w:tcPr>
          <w:p w14:paraId="431964A2" w14:textId="77777777" w:rsidR="00E8617E" w:rsidRPr="00BC513A" w:rsidRDefault="00E8617E" w:rsidP="00922731">
            <w:pPr>
              <w:spacing w:after="0" w:line="240" w:lineRule="auto"/>
              <w:jc w:val="both"/>
              <w:rPr>
                <w:rFonts w:ascii="Arial" w:eastAsia="Times New Roman" w:hAnsi="Arial" w:cs="Arial"/>
                <w:b/>
                <w:bCs/>
                <w:color w:val="000000"/>
                <w:sz w:val="20"/>
                <w:szCs w:val="20"/>
                <w:lang w:eastAsia="bg-BG"/>
              </w:rPr>
            </w:pPr>
            <w:r w:rsidRPr="00BC513A">
              <w:rPr>
                <w:rFonts w:ascii="Arial" w:eastAsia="Times New Roman" w:hAnsi="Arial" w:cs="Arial"/>
                <w:b/>
                <w:bCs/>
                <w:color w:val="000000"/>
                <w:sz w:val="20"/>
                <w:szCs w:val="20"/>
                <w:lang w:eastAsia="bg-BG"/>
              </w:rPr>
              <w:t xml:space="preserve">Мъже </w:t>
            </w:r>
          </w:p>
        </w:tc>
        <w:tc>
          <w:tcPr>
            <w:tcW w:w="2116" w:type="dxa"/>
            <w:gridSpan w:val="2"/>
            <w:shd w:val="clear" w:color="auto" w:fill="DEEAF6" w:themeFill="accent1" w:themeFillTint="33"/>
            <w:vAlign w:val="center"/>
            <w:hideMark/>
          </w:tcPr>
          <w:p w14:paraId="40367FEE" w14:textId="77777777" w:rsidR="00E8617E" w:rsidRPr="00BC513A" w:rsidRDefault="00E8617E" w:rsidP="00922731">
            <w:pPr>
              <w:spacing w:after="0" w:line="240" w:lineRule="auto"/>
              <w:jc w:val="both"/>
              <w:rPr>
                <w:rFonts w:ascii="Arial" w:eastAsia="Times New Roman" w:hAnsi="Arial" w:cs="Arial"/>
                <w:b/>
                <w:bCs/>
                <w:color w:val="000000"/>
                <w:sz w:val="20"/>
                <w:szCs w:val="20"/>
                <w:lang w:eastAsia="bg-BG"/>
              </w:rPr>
            </w:pPr>
            <w:r w:rsidRPr="00BC513A">
              <w:rPr>
                <w:rFonts w:ascii="Arial" w:eastAsia="Times New Roman" w:hAnsi="Arial" w:cs="Arial"/>
                <w:b/>
                <w:bCs/>
                <w:color w:val="000000"/>
                <w:sz w:val="20"/>
                <w:szCs w:val="20"/>
                <w:lang w:eastAsia="bg-BG"/>
              </w:rPr>
              <w:t xml:space="preserve">Жени </w:t>
            </w:r>
          </w:p>
        </w:tc>
        <w:tc>
          <w:tcPr>
            <w:tcW w:w="850" w:type="dxa"/>
            <w:vMerge w:val="restart"/>
            <w:shd w:val="clear" w:color="auto" w:fill="DEEAF6" w:themeFill="accent1" w:themeFillTint="33"/>
            <w:vAlign w:val="center"/>
            <w:hideMark/>
          </w:tcPr>
          <w:p w14:paraId="05D6A894" w14:textId="77777777" w:rsidR="00E8617E" w:rsidRPr="00BC513A" w:rsidRDefault="00E8617E" w:rsidP="00922731">
            <w:pPr>
              <w:spacing w:after="0" w:line="240" w:lineRule="auto"/>
              <w:jc w:val="both"/>
              <w:rPr>
                <w:rFonts w:ascii="Arial" w:eastAsia="Times New Roman" w:hAnsi="Arial" w:cs="Arial"/>
                <w:b/>
                <w:bCs/>
                <w:color w:val="000000"/>
                <w:sz w:val="20"/>
                <w:szCs w:val="20"/>
                <w:lang w:eastAsia="bg-BG"/>
              </w:rPr>
            </w:pPr>
            <w:r w:rsidRPr="00BC513A">
              <w:rPr>
                <w:rFonts w:ascii="Arial" w:eastAsia="Times New Roman" w:hAnsi="Arial" w:cs="Arial"/>
                <w:b/>
                <w:bCs/>
                <w:color w:val="000000"/>
                <w:sz w:val="20"/>
                <w:szCs w:val="20"/>
                <w:lang w:eastAsia="bg-BG"/>
              </w:rPr>
              <w:t>Общо</w:t>
            </w:r>
          </w:p>
        </w:tc>
      </w:tr>
      <w:tr w:rsidR="00E8617E" w:rsidRPr="00BC513A" w14:paraId="1D7E0B74" w14:textId="77777777" w:rsidTr="00922731">
        <w:trPr>
          <w:trHeight w:val="192"/>
        </w:trPr>
        <w:tc>
          <w:tcPr>
            <w:tcW w:w="1597" w:type="dxa"/>
            <w:vMerge/>
            <w:vAlign w:val="center"/>
            <w:hideMark/>
          </w:tcPr>
          <w:p w14:paraId="0B01C97A" w14:textId="77777777" w:rsidR="00E8617E" w:rsidRPr="00BC513A" w:rsidRDefault="00E8617E" w:rsidP="00922731">
            <w:pPr>
              <w:spacing w:after="0" w:line="240" w:lineRule="auto"/>
              <w:jc w:val="both"/>
              <w:rPr>
                <w:rFonts w:ascii="Arial" w:eastAsia="Times New Roman" w:hAnsi="Arial" w:cs="Arial"/>
                <w:b/>
                <w:bCs/>
                <w:i/>
                <w:iCs/>
                <w:color w:val="000000"/>
                <w:sz w:val="20"/>
                <w:szCs w:val="20"/>
                <w:lang w:eastAsia="bg-BG"/>
              </w:rPr>
            </w:pPr>
          </w:p>
        </w:tc>
        <w:tc>
          <w:tcPr>
            <w:tcW w:w="2605" w:type="dxa"/>
            <w:vMerge/>
            <w:vAlign w:val="center"/>
            <w:hideMark/>
          </w:tcPr>
          <w:p w14:paraId="5E9AFB8D" w14:textId="77777777" w:rsidR="00E8617E" w:rsidRPr="00BC513A" w:rsidRDefault="00E8617E" w:rsidP="00922731">
            <w:pPr>
              <w:spacing w:after="0" w:line="240" w:lineRule="auto"/>
              <w:jc w:val="both"/>
              <w:rPr>
                <w:rFonts w:ascii="Arial" w:eastAsia="Times New Roman" w:hAnsi="Arial" w:cs="Arial"/>
                <w:b/>
                <w:bCs/>
                <w:i/>
                <w:iCs/>
                <w:color w:val="000000"/>
                <w:sz w:val="20"/>
                <w:szCs w:val="20"/>
                <w:lang w:eastAsia="bg-BG"/>
              </w:rPr>
            </w:pPr>
          </w:p>
        </w:tc>
        <w:tc>
          <w:tcPr>
            <w:tcW w:w="916" w:type="dxa"/>
            <w:shd w:val="clear" w:color="auto" w:fill="DEEAF6" w:themeFill="accent1" w:themeFillTint="33"/>
            <w:vAlign w:val="center"/>
            <w:hideMark/>
          </w:tcPr>
          <w:p w14:paraId="7AB12CD5" w14:textId="77777777" w:rsidR="00E8617E" w:rsidRPr="00BC513A" w:rsidRDefault="00E8617E" w:rsidP="00922731">
            <w:pPr>
              <w:spacing w:after="0" w:line="240" w:lineRule="auto"/>
              <w:jc w:val="both"/>
              <w:rPr>
                <w:rFonts w:ascii="Arial" w:eastAsia="Times New Roman" w:hAnsi="Arial" w:cs="Arial"/>
                <w:b/>
                <w:bCs/>
                <w:color w:val="000000"/>
                <w:sz w:val="20"/>
                <w:szCs w:val="20"/>
                <w:lang w:eastAsia="bg-BG"/>
              </w:rPr>
            </w:pPr>
            <w:r w:rsidRPr="00BC513A">
              <w:rPr>
                <w:rFonts w:ascii="Arial" w:eastAsia="Times New Roman" w:hAnsi="Arial" w:cs="Arial"/>
                <w:b/>
                <w:bCs/>
                <w:color w:val="000000"/>
                <w:sz w:val="20"/>
                <w:szCs w:val="20"/>
                <w:lang w:eastAsia="bg-BG"/>
              </w:rPr>
              <w:t>&lt; 25</w:t>
            </w:r>
          </w:p>
        </w:tc>
        <w:tc>
          <w:tcPr>
            <w:tcW w:w="1082" w:type="dxa"/>
            <w:shd w:val="clear" w:color="auto" w:fill="DEEAF6" w:themeFill="accent1" w:themeFillTint="33"/>
            <w:vAlign w:val="center"/>
            <w:hideMark/>
          </w:tcPr>
          <w:p w14:paraId="7A11D4B2" w14:textId="77777777" w:rsidR="00E8617E" w:rsidRPr="00BC513A" w:rsidRDefault="00E8617E" w:rsidP="00922731">
            <w:pPr>
              <w:spacing w:after="0" w:line="240" w:lineRule="auto"/>
              <w:jc w:val="both"/>
              <w:rPr>
                <w:rFonts w:ascii="Arial" w:eastAsia="Times New Roman" w:hAnsi="Arial" w:cs="Arial"/>
                <w:b/>
                <w:bCs/>
                <w:color w:val="000000"/>
                <w:sz w:val="20"/>
                <w:szCs w:val="20"/>
                <w:lang w:eastAsia="bg-BG"/>
              </w:rPr>
            </w:pPr>
            <w:r w:rsidRPr="00BC513A">
              <w:rPr>
                <w:rFonts w:ascii="Arial" w:eastAsia="Times New Roman" w:hAnsi="Arial" w:cs="Arial"/>
                <w:b/>
                <w:bCs/>
                <w:color w:val="000000"/>
                <w:sz w:val="20"/>
                <w:szCs w:val="20"/>
                <w:lang w:eastAsia="bg-BG"/>
              </w:rPr>
              <w:t>над 25 години</w:t>
            </w:r>
          </w:p>
        </w:tc>
        <w:tc>
          <w:tcPr>
            <w:tcW w:w="903" w:type="dxa"/>
            <w:shd w:val="clear" w:color="auto" w:fill="DEEAF6" w:themeFill="accent1" w:themeFillTint="33"/>
            <w:vAlign w:val="center"/>
            <w:hideMark/>
          </w:tcPr>
          <w:p w14:paraId="1919B178" w14:textId="77777777" w:rsidR="00E8617E" w:rsidRPr="00BC513A" w:rsidRDefault="00E8617E" w:rsidP="00922731">
            <w:pPr>
              <w:tabs>
                <w:tab w:val="left" w:pos="923"/>
              </w:tabs>
              <w:spacing w:after="0" w:line="240" w:lineRule="auto"/>
              <w:jc w:val="both"/>
              <w:rPr>
                <w:rFonts w:ascii="Arial" w:eastAsia="Times New Roman" w:hAnsi="Arial" w:cs="Arial"/>
                <w:b/>
                <w:bCs/>
                <w:color w:val="000000"/>
                <w:sz w:val="20"/>
                <w:szCs w:val="20"/>
                <w:lang w:eastAsia="bg-BG"/>
              </w:rPr>
            </w:pPr>
            <w:r w:rsidRPr="00BC513A">
              <w:rPr>
                <w:rFonts w:ascii="Arial" w:eastAsia="Times New Roman" w:hAnsi="Arial" w:cs="Arial"/>
                <w:b/>
                <w:bCs/>
                <w:color w:val="000000"/>
                <w:sz w:val="20"/>
                <w:szCs w:val="20"/>
                <w:lang w:eastAsia="bg-BG"/>
              </w:rPr>
              <w:t>&lt; 25</w:t>
            </w:r>
          </w:p>
        </w:tc>
        <w:tc>
          <w:tcPr>
            <w:tcW w:w="1213" w:type="dxa"/>
            <w:shd w:val="clear" w:color="auto" w:fill="DEEAF6" w:themeFill="accent1" w:themeFillTint="33"/>
            <w:vAlign w:val="center"/>
            <w:hideMark/>
          </w:tcPr>
          <w:p w14:paraId="09BA055D" w14:textId="77777777" w:rsidR="00E8617E" w:rsidRPr="00BC513A" w:rsidRDefault="00E8617E" w:rsidP="00922731">
            <w:pPr>
              <w:spacing w:after="0" w:line="240" w:lineRule="auto"/>
              <w:jc w:val="both"/>
              <w:rPr>
                <w:rFonts w:ascii="Arial" w:eastAsia="Times New Roman" w:hAnsi="Arial" w:cs="Arial"/>
                <w:b/>
                <w:bCs/>
                <w:color w:val="000000"/>
                <w:sz w:val="20"/>
                <w:szCs w:val="20"/>
                <w:lang w:eastAsia="bg-BG"/>
              </w:rPr>
            </w:pPr>
            <w:r w:rsidRPr="00BC513A">
              <w:rPr>
                <w:rFonts w:ascii="Arial" w:eastAsia="Times New Roman" w:hAnsi="Arial" w:cs="Arial"/>
                <w:b/>
                <w:bCs/>
                <w:color w:val="000000"/>
                <w:sz w:val="20"/>
                <w:szCs w:val="20"/>
                <w:lang w:eastAsia="bg-BG"/>
              </w:rPr>
              <w:t>над 25 години</w:t>
            </w:r>
          </w:p>
        </w:tc>
        <w:tc>
          <w:tcPr>
            <w:tcW w:w="850" w:type="dxa"/>
            <w:vMerge/>
            <w:shd w:val="clear" w:color="auto" w:fill="DEEAF6" w:themeFill="accent1" w:themeFillTint="33"/>
            <w:vAlign w:val="center"/>
            <w:hideMark/>
          </w:tcPr>
          <w:p w14:paraId="406C802D" w14:textId="77777777" w:rsidR="00E8617E" w:rsidRPr="00BC513A" w:rsidRDefault="00E8617E" w:rsidP="00922731">
            <w:pPr>
              <w:spacing w:after="0" w:line="240" w:lineRule="auto"/>
              <w:jc w:val="both"/>
              <w:rPr>
                <w:rFonts w:ascii="Arial" w:eastAsia="Times New Roman" w:hAnsi="Arial" w:cs="Arial"/>
                <w:b/>
                <w:bCs/>
                <w:color w:val="000000"/>
                <w:sz w:val="20"/>
                <w:szCs w:val="20"/>
                <w:lang w:eastAsia="bg-BG"/>
              </w:rPr>
            </w:pPr>
          </w:p>
        </w:tc>
      </w:tr>
      <w:tr w:rsidR="00E8617E" w:rsidRPr="00BC513A" w14:paraId="07C7B2AB" w14:textId="77777777" w:rsidTr="00922731">
        <w:trPr>
          <w:trHeight w:val="315"/>
        </w:trPr>
        <w:tc>
          <w:tcPr>
            <w:tcW w:w="1597" w:type="dxa"/>
            <w:vMerge w:val="restart"/>
            <w:shd w:val="clear" w:color="000000" w:fill="FFFFFF"/>
            <w:vAlign w:val="center"/>
            <w:hideMark/>
          </w:tcPr>
          <w:p w14:paraId="078A1119"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Работни места в рамките на земеделското стопанство:</w:t>
            </w:r>
          </w:p>
          <w:p w14:paraId="56BEA926" w14:textId="77777777" w:rsidR="00E8617E" w:rsidRPr="00BC513A" w:rsidRDefault="00E8617E" w:rsidP="00922731">
            <w:pPr>
              <w:spacing w:after="0" w:line="240" w:lineRule="auto"/>
              <w:rPr>
                <w:rFonts w:ascii="Arial" w:eastAsia="Times New Roman" w:hAnsi="Arial" w:cs="Arial"/>
                <w:color w:val="000000"/>
                <w:sz w:val="20"/>
                <w:szCs w:val="20"/>
                <w:lang w:eastAsia="bg-BG"/>
              </w:rPr>
            </w:pPr>
          </w:p>
        </w:tc>
        <w:tc>
          <w:tcPr>
            <w:tcW w:w="2605" w:type="dxa"/>
            <w:shd w:val="clear" w:color="000000" w:fill="FFFFFF"/>
            <w:vAlign w:val="center"/>
            <w:hideMark/>
          </w:tcPr>
          <w:p w14:paraId="6B6BF211"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Селски туризъм</w:t>
            </w:r>
          </w:p>
        </w:tc>
        <w:tc>
          <w:tcPr>
            <w:tcW w:w="916" w:type="dxa"/>
            <w:shd w:val="clear" w:color="auto" w:fill="auto"/>
            <w:noWrap/>
            <w:vAlign w:val="center"/>
            <w:hideMark/>
          </w:tcPr>
          <w:p w14:paraId="27325928"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082" w:type="dxa"/>
            <w:shd w:val="clear" w:color="auto" w:fill="auto"/>
            <w:noWrap/>
            <w:vAlign w:val="center"/>
            <w:hideMark/>
          </w:tcPr>
          <w:p w14:paraId="51932B6C"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903" w:type="dxa"/>
            <w:shd w:val="clear" w:color="auto" w:fill="auto"/>
            <w:noWrap/>
            <w:vAlign w:val="center"/>
            <w:hideMark/>
          </w:tcPr>
          <w:p w14:paraId="15F5AA8D"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213" w:type="dxa"/>
            <w:shd w:val="clear" w:color="auto" w:fill="auto"/>
            <w:noWrap/>
            <w:vAlign w:val="center"/>
            <w:hideMark/>
          </w:tcPr>
          <w:p w14:paraId="0C9C8E4F"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850" w:type="dxa"/>
            <w:shd w:val="clear" w:color="auto" w:fill="auto"/>
            <w:noWrap/>
            <w:vAlign w:val="center"/>
            <w:hideMark/>
          </w:tcPr>
          <w:p w14:paraId="6D0C312E"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r>
      <w:tr w:rsidR="00E8617E" w:rsidRPr="00BC513A" w14:paraId="466A96DC" w14:textId="77777777" w:rsidTr="00922731">
        <w:trPr>
          <w:trHeight w:val="315"/>
        </w:trPr>
        <w:tc>
          <w:tcPr>
            <w:tcW w:w="1597" w:type="dxa"/>
            <w:vMerge/>
            <w:vAlign w:val="center"/>
            <w:hideMark/>
          </w:tcPr>
          <w:p w14:paraId="131DEE77" w14:textId="77777777" w:rsidR="00E8617E" w:rsidRPr="00BC513A" w:rsidRDefault="00E8617E" w:rsidP="00922731">
            <w:pPr>
              <w:spacing w:after="0" w:line="240" w:lineRule="auto"/>
              <w:rPr>
                <w:rFonts w:ascii="Arial" w:eastAsia="Times New Roman" w:hAnsi="Arial" w:cs="Arial"/>
                <w:color w:val="000000"/>
                <w:sz w:val="20"/>
                <w:szCs w:val="20"/>
                <w:lang w:eastAsia="bg-BG"/>
              </w:rPr>
            </w:pPr>
          </w:p>
        </w:tc>
        <w:tc>
          <w:tcPr>
            <w:tcW w:w="2605" w:type="dxa"/>
            <w:shd w:val="clear" w:color="000000" w:fill="FFFFFF"/>
            <w:vAlign w:val="center"/>
            <w:hideMark/>
          </w:tcPr>
          <w:p w14:paraId="7E520260"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Занаяти</w:t>
            </w:r>
          </w:p>
        </w:tc>
        <w:tc>
          <w:tcPr>
            <w:tcW w:w="916" w:type="dxa"/>
            <w:shd w:val="clear" w:color="auto" w:fill="auto"/>
            <w:noWrap/>
            <w:vAlign w:val="center"/>
            <w:hideMark/>
          </w:tcPr>
          <w:p w14:paraId="2B321117"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082" w:type="dxa"/>
            <w:shd w:val="clear" w:color="auto" w:fill="auto"/>
            <w:noWrap/>
            <w:vAlign w:val="center"/>
            <w:hideMark/>
          </w:tcPr>
          <w:p w14:paraId="3AC66EB5"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903" w:type="dxa"/>
            <w:shd w:val="clear" w:color="auto" w:fill="auto"/>
            <w:noWrap/>
            <w:vAlign w:val="center"/>
            <w:hideMark/>
          </w:tcPr>
          <w:p w14:paraId="6991D6F0"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213" w:type="dxa"/>
            <w:shd w:val="clear" w:color="auto" w:fill="auto"/>
            <w:noWrap/>
            <w:vAlign w:val="center"/>
            <w:hideMark/>
          </w:tcPr>
          <w:p w14:paraId="1AEFB671"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850" w:type="dxa"/>
            <w:shd w:val="clear" w:color="auto" w:fill="auto"/>
            <w:noWrap/>
            <w:vAlign w:val="center"/>
            <w:hideMark/>
          </w:tcPr>
          <w:p w14:paraId="7936CD30"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r>
      <w:tr w:rsidR="00E8617E" w:rsidRPr="00BC513A" w14:paraId="04436E26" w14:textId="77777777" w:rsidTr="00922731">
        <w:trPr>
          <w:trHeight w:val="315"/>
        </w:trPr>
        <w:tc>
          <w:tcPr>
            <w:tcW w:w="1597" w:type="dxa"/>
            <w:vMerge/>
            <w:vAlign w:val="center"/>
            <w:hideMark/>
          </w:tcPr>
          <w:p w14:paraId="022A4979" w14:textId="77777777" w:rsidR="00E8617E" w:rsidRPr="00BC513A" w:rsidRDefault="00E8617E" w:rsidP="00922731">
            <w:pPr>
              <w:spacing w:after="0" w:line="240" w:lineRule="auto"/>
              <w:rPr>
                <w:rFonts w:ascii="Arial" w:eastAsia="Times New Roman" w:hAnsi="Arial" w:cs="Arial"/>
                <w:color w:val="000000"/>
                <w:sz w:val="20"/>
                <w:szCs w:val="20"/>
                <w:lang w:eastAsia="bg-BG"/>
              </w:rPr>
            </w:pPr>
          </w:p>
        </w:tc>
        <w:tc>
          <w:tcPr>
            <w:tcW w:w="2605" w:type="dxa"/>
            <w:shd w:val="clear" w:color="000000" w:fill="FFFFFF"/>
            <w:vAlign w:val="center"/>
            <w:hideMark/>
          </w:tcPr>
          <w:p w14:paraId="2B514860"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Продажба на дребно</w:t>
            </w:r>
          </w:p>
        </w:tc>
        <w:tc>
          <w:tcPr>
            <w:tcW w:w="916" w:type="dxa"/>
            <w:shd w:val="clear" w:color="auto" w:fill="auto"/>
            <w:noWrap/>
            <w:vAlign w:val="center"/>
            <w:hideMark/>
          </w:tcPr>
          <w:p w14:paraId="6852652A"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082" w:type="dxa"/>
            <w:shd w:val="clear" w:color="auto" w:fill="auto"/>
            <w:noWrap/>
            <w:vAlign w:val="center"/>
            <w:hideMark/>
          </w:tcPr>
          <w:p w14:paraId="3BFFE861"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903" w:type="dxa"/>
            <w:shd w:val="clear" w:color="auto" w:fill="auto"/>
            <w:noWrap/>
            <w:vAlign w:val="center"/>
            <w:hideMark/>
          </w:tcPr>
          <w:p w14:paraId="6382AF32"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213" w:type="dxa"/>
            <w:shd w:val="clear" w:color="auto" w:fill="auto"/>
            <w:noWrap/>
            <w:vAlign w:val="center"/>
            <w:hideMark/>
          </w:tcPr>
          <w:p w14:paraId="278808D4"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850" w:type="dxa"/>
            <w:shd w:val="clear" w:color="auto" w:fill="auto"/>
            <w:noWrap/>
            <w:vAlign w:val="center"/>
            <w:hideMark/>
          </w:tcPr>
          <w:p w14:paraId="28C76391"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r>
      <w:tr w:rsidR="00E8617E" w:rsidRPr="00BC513A" w14:paraId="48E101B1" w14:textId="77777777" w:rsidTr="00922731">
        <w:trPr>
          <w:trHeight w:val="749"/>
        </w:trPr>
        <w:tc>
          <w:tcPr>
            <w:tcW w:w="1597" w:type="dxa"/>
            <w:vMerge/>
            <w:vAlign w:val="center"/>
            <w:hideMark/>
          </w:tcPr>
          <w:p w14:paraId="29E54B53" w14:textId="77777777" w:rsidR="00E8617E" w:rsidRPr="00BC513A" w:rsidRDefault="00E8617E" w:rsidP="00922731">
            <w:pPr>
              <w:spacing w:after="0" w:line="240" w:lineRule="auto"/>
              <w:rPr>
                <w:rFonts w:ascii="Arial" w:eastAsia="Times New Roman" w:hAnsi="Arial" w:cs="Arial"/>
                <w:color w:val="000000"/>
                <w:sz w:val="20"/>
                <w:szCs w:val="20"/>
                <w:lang w:eastAsia="bg-BG"/>
              </w:rPr>
            </w:pPr>
          </w:p>
        </w:tc>
        <w:tc>
          <w:tcPr>
            <w:tcW w:w="2605" w:type="dxa"/>
            <w:shd w:val="clear" w:color="000000" w:fill="FFFFFF"/>
            <w:vAlign w:val="center"/>
            <w:hideMark/>
          </w:tcPr>
          <w:p w14:paraId="5C876660"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Производство на енергия от възобновяеми енергийни източници</w:t>
            </w:r>
          </w:p>
        </w:tc>
        <w:tc>
          <w:tcPr>
            <w:tcW w:w="916" w:type="dxa"/>
            <w:shd w:val="clear" w:color="auto" w:fill="auto"/>
            <w:noWrap/>
            <w:vAlign w:val="center"/>
            <w:hideMark/>
          </w:tcPr>
          <w:p w14:paraId="516F45B1"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082" w:type="dxa"/>
            <w:shd w:val="clear" w:color="auto" w:fill="auto"/>
            <w:noWrap/>
            <w:vAlign w:val="center"/>
            <w:hideMark/>
          </w:tcPr>
          <w:p w14:paraId="34D188D1"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903" w:type="dxa"/>
            <w:shd w:val="clear" w:color="auto" w:fill="auto"/>
            <w:noWrap/>
            <w:vAlign w:val="center"/>
            <w:hideMark/>
          </w:tcPr>
          <w:p w14:paraId="657A9AE2"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213" w:type="dxa"/>
            <w:shd w:val="clear" w:color="auto" w:fill="auto"/>
            <w:noWrap/>
            <w:vAlign w:val="center"/>
            <w:hideMark/>
          </w:tcPr>
          <w:p w14:paraId="2B94AB97"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850" w:type="dxa"/>
            <w:shd w:val="clear" w:color="auto" w:fill="auto"/>
            <w:noWrap/>
            <w:vAlign w:val="center"/>
            <w:hideMark/>
          </w:tcPr>
          <w:p w14:paraId="01879162"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r>
      <w:tr w:rsidR="00E8617E" w:rsidRPr="00BC513A" w14:paraId="06A1C545" w14:textId="77777777" w:rsidTr="00922731">
        <w:trPr>
          <w:trHeight w:val="315"/>
        </w:trPr>
        <w:tc>
          <w:tcPr>
            <w:tcW w:w="1597" w:type="dxa"/>
            <w:vMerge/>
            <w:vAlign w:val="center"/>
            <w:hideMark/>
          </w:tcPr>
          <w:p w14:paraId="7B0AB9C4" w14:textId="77777777" w:rsidR="00E8617E" w:rsidRPr="00BC513A" w:rsidRDefault="00E8617E" w:rsidP="00922731">
            <w:pPr>
              <w:spacing w:after="0" w:line="240" w:lineRule="auto"/>
              <w:rPr>
                <w:rFonts w:ascii="Arial" w:eastAsia="Times New Roman" w:hAnsi="Arial" w:cs="Arial"/>
                <w:color w:val="000000"/>
                <w:sz w:val="20"/>
                <w:szCs w:val="20"/>
                <w:lang w:eastAsia="bg-BG"/>
              </w:rPr>
            </w:pPr>
          </w:p>
        </w:tc>
        <w:tc>
          <w:tcPr>
            <w:tcW w:w="2605" w:type="dxa"/>
            <w:shd w:val="clear" w:color="000000" w:fill="FFFFFF"/>
            <w:vAlign w:val="center"/>
            <w:hideMark/>
          </w:tcPr>
          <w:p w14:paraId="65859108"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Други</w:t>
            </w:r>
          </w:p>
        </w:tc>
        <w:tc>
          <w:tcPr>
            <w:tcW w:w="916" w:type="dxa"/>
            <w:shd w:val="clear" w:color="auto" w:fill="auto"/>
            <w:noWrap/>
            <w:vAlign w:val="center"/>
            <w:hideMark/>
          </w:tcPr>
          <w:p w14:paraId="5019D16C"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344</w:t>
            </w:r>
          </w:p>
        </w:tc>
        <w:tc>
          <w:tcPr>
            <w:tcW w:w="1082" w:type="dxa"/>
            <w:shd w:val="clear" w:color="auto" w:fill="auto"/>
            <w:noWrap/>
            <w:vAlign w:val="center"/>
            <w:hideMark/>
          </w:tcPr>
          <w:p w14:paraId="0983FD32"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413</w:t>
            </w:r>
          </w:p>
        </w:tc>
        <w:tc>
          <w:tcPr>
            <w:tcW w:w="903" w:type="dxa"/>
            <w:shd w:val="clear" w:color="auto" w:fill="auto"/>
            <w:noWrap/>
            <w:vAlign w:val="center"/>
            <w:hideMark/>
          </w:tcPr>
          <w:p w14:paraId="27951C4A"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126</w:t>
            </w:r>
          </w:p>
        </w:tc>
        <w:tc>
          <w:tcPr>
            <w:tcW w:w="1213" w:type="dxa"/>
            <w:shd w:val="clear" w:color="auto" w:fill="auto"/>
            <w:noWrap/>
            <w:vAlign w:val="center"/>
            <w:hideMark/>
          </w:tcPr>
          <w:p w14:paraId="1E6B1468"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115</w:t>
            </w:r>
          </w:p>
        </w:tc>
        <w:tc>
          <w:tcPr>
            <w:tcW w:w="850" w:type="dxa"/>
            <w:shd w:val="clear" w:color="auto" w:fill="auto"/>
            <w:noWrap/>
            <w:vAlign w:val="center"/>
            <w:hideMark/>
          </w:tcPr>
          <w:p w14:paraId="0CFAA53D"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998</w:t>
            </w:r>
          </w:p>
        </w:tc>
      </w:tr>
      <w:tr w:rsidR="00E8617E" w:rsidRPr="00BC513A" w14:paraId="594265C7" w14:textId="77777777" w:rsidTr="00922731">
        <w:trPr>
          <w:trHeight w:val="315"/>
        </w:trPr>
        <w:tc>
          <w:tcPr>
            <w:tcW w:w="1597" w:type="dxa"/>
            <w:vMerge w:val="restart"/>
            <w:shd w:val="clear" w:color="auto" w:fill="F2F2F2" w:themeFill="background1" w:themeFillShade="F2"/>
            <w:vAlign w:val="center"/>
            <w:hideMark/>
          </w:tcPr>
          <w:p w14:paraId="07198CB6"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Работни места извън земеделското стопанство:</w:t>
            </w:r>
          </w:p>
          <w:p w14:paraId="7A37CEC5" w14:textId="77777777" w:rsidR="00E8617E" w:rsidRPr="00BC513A" w:rsidRDefault="00E8617E" w:rsidP="00922731">
            <w:pPr>
              <w:spacing w:after="0" w:line="240" w:lineRule="auto"/>
              <w:rPr>
                <w:rFonts w:ascii="Arial" w:eastAsia="Times New Roman" w:hAnsi="Arial" w:cs="Arial"/>
                <w:color w:val="000000"/>
                <w:sz w:val="20"/>
                <w:szCs w:val="20"/>
                <w:lang w:eastAsia="bg-BG"/>
              </w:rPr>
            </w:pPr>
          </w:p>
        </w:tc>
        <w:tc>
          <w:tcPr>
            <w:tcW w:w="2605" w:type="dxa"/>
            <w:shd w:val="clear" w:color="auto" w:fill="F2F2F2" w:themeFill="background1" w:themeFillShade="F2"/>
            <w:vAlign w:val="center"/>
            <w:hideMark/>
          </w:tcPr>
          <w:p w14:paraId="4A0465A9"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Туризъм</w:t>
            </w:r>
          </w:p>
        </w:tc>
        <w:tc>
          <w:tcPr>
            <w:tcW w:w="916" w:type="dxa"/>
            <w:shd w:val="clear" w:color="auto" w:fill="F2F2F2" w:themeFill="background1" w:themeFillShade="F2"/>
            <w:noWrap/>
            <w:vAlign w:val="center"/>
            <w:hideMark/>
          </w:tcPr>
          <w:p w14:paraId="25BCD53E"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7</w:t>
            </w:r>
          </w:p>
        </w:tc>
        <w:tc>
          <w:tcPr>
            <w:tcW w:w="1082" w:type="dxa"/>
            <w:shd w:val="clear" w:color="auto" w:fill="F2F2F2" w:themeFill="background1" w:themeFillShade="F2"/>
            <w:noWrap/>
            <w:vAlign w:val="center"/>
            <w:hideMark/>
          </w:tcPr>
          <w:p w14:paraId="584D84FD"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11</w:t>
            </w:r>
          </w:p>
        </w:tc>
        <w:tc>
          <w:tcPr>
            <w:tcW w:w="903" w:type="dxa"/>
            <w:shd w:val="clear" w:color="auto" w:fill="F2F2F2" w:themeFill="background1" w:themeFillShade="F2"/>
            <w:noWrap/>
            <w:vAlign w:val="center"/>
            <w:hideMark/>
          </w:tcPr>
          <w:p w14:paraId="30F3B31B"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10</w:t>
            </w:r>
          </w:p>
        </w:tc>
        <w:tc>
          <w:tcPr>
            <w:tcW w:w="1213" w:type="dxa"/>
            <w:shd w:val="clear" w:color="auto" w:fill="F2F2F2" w:themeFill="background1" w:themeFillShade="F2"/>
            <w:noWrap/>
            <w:vAlign w:val="center"/>
            <w:hideMark/>
          </w:tcPr>
          <w:p w14:paraId="102ADA71"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16</w:t>
            </w:r>
          </w:p>
        </w:tc>
        <w:tc>
          <w:tcPr>
            <w:tcW w:w="850" w:type="dxa"/>
            <w:shd w:val="clear" w:color="auto" w:fill="F2F2F2" w:themeFill="background1" w:themeFillShade="F2"/>
            <w:noWrap/>
            <w:vAlign w:val="center"/>
            <w:hideMark/>
          </w:tcPr>
          <w:p w14:paraId="570AED67"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44</w:t>
            </w:r>
          </w:p>
        </w:tc>
      </w:tr>
      <w:tr w:rsidR="00E8617E" w:rsidRPr="00BC513A" w14:paraId="33B2706E" w14:textId="77777777" w:rsidTr="00922731">
        <w:trPr>
          <w:trHeight w:val="315"/>
        </w:trPr>
        <w:tc>
          <w:tcPr>
            <w:tcW w:w="1597" w:type="dxa"/>
            <w:vMerge/>
            <w:shd w:val="clear" w:color="auto" w:fill="F2F2F2" w:themeFill="background1" w:themeFillShade="F2"/>
            <w:vAlign w:val="center"/>
            <w:hideMark/>
          </w:tcPr>
          <w:p w14:paraId="63476991" w14:textId="77777777" w:rsidR="00E8617E" w:rsidRPr="00BC513A" w:rsidRDefault="00E8617E" w:rsidP="00922731">
            <w:pPr>
              <w:spacing w:after="0" w:line="240" w:lineRule="auto"/>
              <w:rPr>
                <w:rFonts w:ascii="Arial" w:eastAsia="Times New Roman" w:hAnsi="Arial" w:cs="Arial"/>
                <w:color w:val="000000"/>
                <w:sz w:val="20"/>
                <w:szCs w:val="20"/>
                <w:lang w:eastAsia="bg-BG"/>
              </w:rPr>
            </w:pPr>
          </w:p>
        </w:tc>
        <w:tc>
          <w:tcPr>
            <w:tcW w:w="2605" w:type="dxa"/>
            <w:shd w:val="clear" w:color="auto" w:fill="F2F2F2" w:themeFill="background1" w:themeFillShade="F2"/>
            <w:vAlign w:val="center"/>
            <w:hideMark/>
          </w:tcPr>
          <w:p w14:paraId="45A9DD8E"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Занаяти</w:t>
            </w:r>
          </w:p>
        </w:tc>
        <w:tc>
          <w:tcPr>
            <w:tcW w:w="916" w:type="dxa"/>
            <w:shd w:val="clear" w:color="auto" w:fill="F2F2F2" w:themeFill="background1" w:themeFillShade="F2"/>
            <w:noWrap/>
            <w:vAlign w:val="center"/>
            <w:hideMark/>
          </w:tcPr>
          <w:p w14:paraId="20A5706C"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6</w:t>
            </w:r>
          </w:p>
        </w:tc>
        <w:tc>
          <w:tcPr>
            <w:tcW w:w="1082" w:type="dxa"/>
            <w:shd w:val="clear" w:color="auto" w:fill="F2F2F2" w:themeFill="background1" w:themeFillShade="F2"/>
            <w:noWrap/>
            <w:vAlign w:val="center"/>
            <w:hideMark/>
          </w:tcPr>
          <w:p w14:paraId="05D69EED"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18</w:t>
            </w:r>
          </w:p>
        </w:tc>
        <w:tc>
          <w:tcPr>
            <w:tcW w:w="903" w:type="dxa"/>
            <w:shd w:val="clear" w:color="auto" w:fill="F2F2F2" w:themeFill="background1" w:themeFillShade="F2"/>
            <w:noWrap/>
            <w:vAlign w:val="center"/>
            <w:hideMark/>
          </w:tcPr>
          <w:p w14:paraId="159BACB6"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5</w:t>
            </w:r>
          </w:p>
        </w:tc>
        <w:tc>
          <w:tcPr>
            <w:tcW w:w="1213" w:type="dxa"/>
            <w:shd w:val="clear" w:color="auto" w:fill="F2F2F2" w:themeFill="background1" w:themeFillShade="F2"/>
            <w:noWrap/>
            <w:vAlign w:val="center"/>
            <w:hideMark/>
          </w:tcPr>
          <w:p w14:paraId="103D87F4"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16</w:t>
            </w:r>
          </w:p>
        </w:tc>
        <w:tc>
          <w:tcPr>
            <w:tcW w:w="850" w:type="dxa"/>
            <w:shd w:val="clear" w:color="auto" w:fill="F2F2F2" w:themeFill="background1" w:themeFillShade="F2"/>
            <w:noWrap/>
            <w:vAlign w:val="center"/>
            <w:hideMark/>
          </w:tcPr>
          <w:p w14:paraId="23955A35"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45</w:t>
            </w:r>
          </w:p>
        </w:tc>
      </w:tr>
      <w:tr w:rsidR="00E8617E" w:rsidRPr="00BC513A" w14:paraId="5ADBFCAF" w14:textId="77777777" w:rsidTr="00922731">
        <w:trPr>
          <w:trHeight w:val="315"/>
        </w:trPr>
        <w:tc>
          <w:tcPr>
            <w:tcW w:w="1597" w:type="dxa"/>
            <w:vMerge/>
            <w:shd w:val="clear" w:color="auto" w:fill="F2F2F2" w:themeFill="background1" w:themeFillShade="F2"/>
            <w:vAlign w:val="center"/>
            <w:hideMark/>
          </w:tcPr>
          <w:p w14:paraId="5F90093F" w14:textId="77777777" w:rsidR="00E8617E" w:rsidRPr="00BC513A" w:rsidRDefault="00E8617E" w:rsidP="00922731">
            <w:pPr>
              <w:spacing w:after="0" w:line="240" w:lineRule="auto"/>
              <w:rPr>
                <w:rFonts w:ascii="Arial" w:eastAsia="Times New Roman" w:hAnsi="Arial" w:cs="Arial"/>
                <w:color w:val="000000"/>
                <w:sz w:val="20"/>
                <w:szCs w:val="20"/>
                <w:lang w:eastAsia="bg-BG"/>
              </w:rPr>
            </w:pPr>
          </w:p>
        </w:tc>
        <w:tc>
          <w:tcPr>
            <w:tcW w:w="2605" w:type="dxa"/>
            <w:shd w:val="clear" w:color="auto" w:fill="F2F2F2" w:themeFill="background1" w:themeFillShade="F2"/>
            <w:vAlign w:val="center"/>
            <w:hideMark/>
          </w:tcPr>
          <w:p w14:paraId="33BF9532"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Продажба на дребно</w:t>
            </w:r>
          </w:p>
        </w:tc>
        <w:tc>
          <w:tcPr>
            <w:tcW w:w="916" w:type="dxa"/>
            <w:shd w:val="clear" w:color="auto" w:fill="F2F2F2" w:themeFill="background1" w:themeFillShade="F2"/>
            <w:noWrap/>
            <w:vAlign w:val="center"/>
            <w:hideMark/>
          </w:tcPr>
          <w:p w14:paraId="57CB7ACD"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082" w:type="dxa"/>
            <w:shd w:val="clear" w:color="auto" w:fill="F2F2F2" w:themeFill="background1" w:themeFillShade="F2"/>
            <w:noWrap/>
            <w:vAlign w:val="center"/>
            <w:hideMark/>
          </w:tcPr>
          <w:p w14:paraId="3432E9EF"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1</w:t>
            </w:r>
          </w:p>
        </w:tc>
        <w:tc>
          <w:tcPr>
            <w:tcW w:w="903" w:type="dxa"/>
            <w:shd w:val="clear" w:color="auto" w:fill="F2F2F2" w:themeFill="background1" w:themeFillShade="F2"/>
            <w:noWrap/>
            <w:vAlign w:val="center"/>
            <w:hideMark/>
          </w:tcPr>
          <w:p w14:paraId="2045390A"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213" w:type="dxa"/>
            <w:shd w:val="clear" w:color="auto" w:fill="F2F2F2" w:themeFill="background1" w:themeFillShade="F2"/>
            <w:noWrap/>
            <w:vAlign w:val="center"/>
            <w:hideMark/>
          </w:tcPr>
          <w:p w14:paraId="1AA9E57D"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2</w:t>
            </w:r>
          </w:p>
        </w:tc>
        <w:tc>
          <w:tcPr>
            <w:tcW w:w="850" w:type="dxa"/>
            <w:shd w:val="clear" w:color="auto" w:fill="F2F2F2" w:themeFill="background1" w:themeFillShade="F2"/>
            <w:noWrap/>
            <w:vAlign w:val="center"/>
            <w:hideMark/>
          </w:tcPr>
          <w:p w14:paraId="02D5B060"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3</w:t>
            </w:r>
          </w:p>
        </w:tc>
      </w:tr>
      <w:tr w:rsidR="00E8617E" w:rsidRPr="00BC513A" w14:paraId="26235687" w14:textId="77777777" w:rsidTr="00922731">
        <w:trPr>
          <w:trHeight w:val="729"/>
        </w:trPr>
        <w:tc>
          <w:tcPr>
            <w:tcW w:w="1597" w:type="dxa"/>
            <w:vMerge/>
            <w:shd w:val="clear" w:color="auto" w:fill="F2F2F2" w:themeFill="background1" w:themeFillShade="F2"/>
            <w:vAlign w:val="center"/>
            <w:hideMark/>
          </w:tcPr>
          <w:p w14:paraId="4479AD0D" w14:textId="77777777" w:rsidR="00E8617E" w:rsidRPr="00BC513A" w:rsidRDefault="00E8617E" w:rsidP="00922731">
            <w:pPr>
              <w:spacing w:after="0" w:line="240" w:lineRule="auto"/>
              <w:rPr>
                <w:rFonts w:ascii="Arial" w:eastAsia="Times New Roman" w:hAnsi="Arial" w:cs="Arial"/>
                <w:color w:val="000000"/>
                <w:sz w:val="20"/>
                <w:szCs w:val="20"/>
                <w:lang w:eastAsia="bg-BG"/>
              </w:rPr>
            </w:pPr>
          </w:p>
        </w:tc>
        <w:tc>
          <w:tcPr>
            <w:tcW w:w="2605" w:type="dxa"/>
            <w:shd w:val="clear" w:color="auto" w:fill="F2F2F2" w:themeFill="background1" w:themeFillShade="F2"/>
            <w:vAlign w:val="center"/>
            <w:hideMark/>
          </w:tcPr>
          <w:p w14:paraId="0AF0B6A6"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 xml:space="preserve">Производство на енергия от възобновяеми енергийни източници </w:t>
            </w:r>
          </w:p>
        </w:tc>
        <w:tc>
          <w:tcPr>
            <w:tcW w:w="916" w:type="dxa"/>
            <w:shd w:val="clear" w:color="auto" w:fill="F2F2F2" w:themeFill="background1" w:themeFillShade="F2"/>
            <w:noWrap/>
            <w:vAlign w:val="center"/>
            <w:hideMark/>
          </w:tcPr>
          <w:p w14:paraId="4F9BB97F"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082" w:type="dxa"/>
            <w:shd w:val="clear" w:color="auto" w:fill="F2F2F2" w:themeFill="background1" w:themeFillShade="F2"/>
            <w:noWrap/>
            <w:vAlign w:val="center"/>
            <w:hideMark/>
          </w:tcPr>
          <w:p w14:paraId="24282A02"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903" w:type="dxa"/>
            <w:shd w:val="clear" w:color="auto" w:fill="F2F2F2" w:themeFill="background1" w:themeFillShade="F2"/>
            <w:noWrap/>
            <w:vAlign w:val="center"/>
            <w:hideMark/>
          </w:tcPr>
          <w:p w14:paraId="33E065A5"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1213" w:type="dxa"/>
            <w:shd w:val="clear" w:color="auto" w:fill="F2F2F2" w:themeFill="background1" w:themeFillShade="F2"/>
            <w:noWrap/>
            <w:vAlign w:val="center"/>
            <w:hideMark/>
          </w:tcPr>
          <w:p w14:paraId="42A83964"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c>
          <w:tcPr>
            <w:tcW w:w="850" w:type="dxa"/>
            <w:shd w:val="clear" w:color="auto" w:fill="F2F2F2" w:themeFill="background1" w:themeFillShade="F2"/>
            <w:noWrap/>
            <w:vAlign w:val="center"/>
            <w:hideMark/>
          </w:tcPr>
          <w:p w14:paraId="4AAE91FC"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0</w:t>
            </w:r>
          </w:p>
        </w:tc>
      </w:tr>
      <w:tr w:rsidR="00E8617E" w:rsidRPr="00BC513A" w14:paraId="75348015" w14:textId="77777777" w:rsidTr="00922731">
        <w:trPr>
          <w:trHeight w:val="315"/>
        </w:trPr>
        <w:tc>
          <w:tcPr>
            <w:tcW w:w="1597" w:type="dxa"/>
            <w:vMerge/>
            <w:shd w:val="clear" w:color="auto" w:fill="F2F2F2" w:themeFill="background1" w:themeFillShade="F2"/>
            <w:vAlign w:val="center"/>
            <w:hideMark/>
          </w:tcPr>
          <w:p w14:paraId="34BB34B0" w14:textId="77777777" w:rsidR="00E8617E" w:rsidRPr="00BC513A" w:rsidRDefault="00E8617E" w:rsidP="00922731">
            <w:pPr>
              <w:spacing w:after="0" w:line="240" w:lineRule="auto"/>
              <w:rPr>
                <w:rFonts w:ascii="Arial" w:eastAsia="Times New Roman" w:hAnsi="Arial" w:cs="Arial"/>
                <w:color w:val="000000"/>
                <w:sz w:val="20"/>
                <w:szCs w:val="20"/>
                <w:lang w:eastAsia="bg-BG"/>
              </w:rPr>
            </w:pPr>
          </w:p>
        </w:tc>
        <w:tc>
          <w:tcPr>
            <w:tcW w:w="2605" w:type="dxa"/>
            <w:shd w:val="clear" w:color="auto" w:fill="F2F2F2" w:themeFill="background1" w:themeFillShade="F2"/>
            <w:vAlign w:val="center"/>
            <w:hideMark/>
          </w:tcPr>
          <w:p w14:paraId="0CE10DE5"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 xml:space="preserve">Други </w:t>
            </w:r>
          </w:p>
        </w:tc>
        <w:tc>
          <w:tcPr>
            <w:tcW w:w="916" w:type="dxa"/>
            <w:shd w:val="clear" w:color="auto" w:fill="F2F2F2" w:themeFill="background1" w:themeFillShade="F2"/>
            <w:noWrap/>
            <w:vAlign w:val="center"/>
            <w:hideMark/>
          </w:tcPr>
          <w:p w14:paraId="30DEC862"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9</w:t>
            </w:r>
          </w:p>
        </w:tc>
        <w:tc>
          <w:tcPr>
            <w:tcW w:w="1082" w:type="dxa"/>
            <w:shd w:val="clear" w:color="auto" w:fill="F2F2F2" w:themeFill="background1" w:themeFillShade="F2"/>
            <w:noWrap/>
            <w:vAlign w:val="center"/>
            <w:hideMark/>
          </w:tcPr>
          <w:p w14:paraId="6DBA284C"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21</w:t>
            </w:r>
          </w:p>
        </w:tc>
        <w:tc>
          <w:tcPr>
            <w:tcW w:w="903" w:type="dxa"/>
            <w:shd w:val="clear" w:color="auto" w:fill="F2F2F2" w:themeFill="background1" w:themeFillShade="F2"/>
            <w:noWrap/>
            <w:vAlign w:val="center"/>
            <w:hideMark/>
          </w:tcPr>
          <w:p w14:paraId="19A8DD81"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7</w:t>
            </w:r>
          </w:p>
        </w:tc>
        <w:tc>
          <w:tcPr>
            <w:tcW w:w="1213" w:type="dxa"/>
            <w:shd w:val="clear" w:color="auto" w:fill="F2F2F2" w:themeFill="background1" w:themeFillShade="F2"/>
            <w:noWrap/>
            <w:vAlign w:val="center"/>
            <w:hideMark/>
          </w:tcPr>
          <w:p w14:paraId="7E4654EF"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16</w:t>
            </w:r>
          </w:p>
        </w:tc>
        <w:tc>
          <w:tcPr>
            <w:tcW w:w="850" w:type="dxa"/>
            <w:shd w:val="clear" w:color="auto" w:fill="F2F2F2" w:themeFill="background1" w:themeFillShade="F2"/>
            <w:noWrap/>
            <w:vAlign w:val="center"/>
            <w:hideMark/>
          </w:tcPr>
          <w:p w14:paraId="6B354211" w14:textId="77777777" w:rsidR="00E8617E" w:rsidRPr="00BC513A" w:rsidRDefault="00E8617E" w:rsidP="00922731">
            <w:pPr>
              <w:spacing w:after="0" w:line="240" w:lineRule="auto"/>
              <w:rPr>
                <w:rFonts w:ascii="Arial" w:eastAsia="Times New Roman" w:hAnsi="Arial" w:cs="Arial"/>
                <w:color w:val="000000"/>
                <w:sz w:val="20"/>
                <w:szCs w:val="20"/>
                <w:lang w:eastAsia="bg-BG"/>
              </w:rPr>
            </w:pPr>
            <w:r w:rsidRPr="00BC513A">
              <w:rPr>
                <w:rFonts w:ascii="Arial" w:eastAsia="Times New Roman" w:hAnsi="Arial" w:cs="Arial"/>
                <w:color w:val="000000"/>
                <w:sz w:val="20"/>
                <w:szCs w:val="20"/>
                <w:lang w:eastAsia="bg-BG"/>
              </w:rPr>
              <w:t>53</w:t>
            </w:r>
          </w:p>
        </w:tc>
      </w:tr>
      <w:tr w:rsidR="00E8617E" w:rsidRPr="00BC513A" w14:paraId="0F2E3F41" w14:textId="77777777" w:rsidTr="00922731">
        <w:trPr>
          <w:trHeight w:val="315"/>
        </w:trPr>
        <w:tc>
          <w:tcPr>
            <w:tcW w:w="4202" w:type="dxa"/>
            <w:gridSpan w:val="2"/>
            <w:shd w:val="clear" w:color="auto" w:fill="DEEAF6" w:themeFill="accent1" w:themeFillTint="33"/>
            <w:vAlign w:val="center"/>
            <w:hideMark/>
          </w:tcPr>
          <w:p w14:paraId="7A2293D8" w14:textId="77777777" w:rsidR="00E8617E" w:rsidRPr="00BC513A" w:rsidRDefault="00E8617E" w:rsidP="00922731">
            <w:pPr>
              <w:spacing w:after="0" w:line="240" w:lineRule="auto"/>
              <w:rPr>
                <w:rFonts w:ascii="Arial" w:eastAsia="Times New Roman" w:hAnsi="Arial" w:cs="Arial"/>
                <w:b/>
                <w:bCs/>
                <w:color w:val="000000"/>
                <w:sz w:val="20"/>
                <w:szCs w:val="20"/>
                <w:lang w:eastAsia="bg-BG"/>
              </w:rPr>
            </w:pPr>
            <w:r w:rsidRPr="00BC513A">
              <w:rPr>
                <w:rFonts w:ascii="Arial" w:eastAsia="Times New Roman" w:hAnsi="Arial" w:cs="Arial"/>
                <w:b/>
                <w:bCs/>
                <w:color w:val="000000"/>
                <w:sz w:val="20"/>
                <w:szCs w:val="20"/>
                <w:lang w:eastAsia="bg-BG"/>
              </w:rPr>
              <w:t>ОБЩО</w:t>
            </w:r>
          </w:p>
        </w:tc>
        <w:tc>
          <w:tcPr>
            <w:tcW w:w="916" w:type="dxa"/>
            <w:shd w:val="clear" w:color="auto" w:fill="DEEAF6" w:themeFill="accent1" w:themeFillTint="33"/>
            <w:noWrap/>
            <w:vAlign w:val="center"/>
            <w:hideMark/>
          </w:tcPr>
          <w:p w14:paraId="1B8ECD2B" w14:textId="77777777" w:rsidR="00E8617E" w:rsidRPr="00BC513A" w:rsidRDefault="00E8617E" w:rsidP="00922731">
            <w:pPr>
              <w:spacing w:after="0" w:line="240" w:lineRule="auto"/>
              <w:rPr>
                <w:rFonts w:ascii="Arial" w:eastAsia="Times New Roman" w:hAnsi="Arial" w:cs="Arial"/>
                <w:b/>
                <w:color w:val="000000"/>
                <w:sz w:val="20"/>
                <w:szCs w:val="20"/>
                <w:lang w:eastAsia="bg-BG"/>
              </w:rPr>
            </w:pPr>
            <w:r w:rsidRPr="00BC513A">
              <w:rPr>
                <w:rFonts w:ascii="Arial" w:eastAsia="Times New Roman" w:hAnsi="Arial" w:cs="Arial"/>
                <w:b/>
                <w:color w:val="000000"/>
                <w:sz w:val="20"/>
                <w:szCs w:val="20"/>
                <w:lang w:eastAsia="bg-BG"/>
              </w:rPr>
              <w:t>366</w:t>
            </w:r>
          </w:p>
        </w:tc>
        <w:tc>
          <w:tcPr>
            <w:tcW w:w="1082" w:type="dxa"/>
            <w:shd w:val="clear" w:color="auto" w:fill="DEEAF6" w:themeFill="accent1" w:themeFillTint="33"/>
            <w:noWrap/>
            <w:vAlign w:val="center"/>
            <w:hideMark/>
          </w:tcPr>
          <w:p w14:paraId="50619C4C" w14:textId="77777777" w:rsidR="00E8617E" w:rsidRPr="00BC513A" w:rsidRDefault="00E8617E" w:rsidP="00922731">
            <w:pPr>
              <w:spacing w:after="0" w:line="240" w:lineRule="auto"/>
              <w:rPr>
                <w:rFonts w:ascii="Arial" w:eastAsia="Times New Roman" w:hAnsi="Arial" w:cs="Arial"/>
                <w:b/>
                <w:color w:val="000000"/>
                <w:sz w:val="20"/>
                <w:szCs w:val="20"/>
                <w:lang w:eastAsia="bg-BG"/>
              </w:rPr>
            </w:pPr>
            <w:r w:rsidRPr="00BC513A">
              <w:rPr>
                <w:rFonts w:ascii="Arial" w:eastAsia="Times New Roman" w:hAnsi="Arial" w:cs="Arial"/>
                <w:b/>
                <w:color w:val="000000"/>
                <w:sz w:val="20"/>
                <w:szCs w:val="20"/>
                <w:lang w:eastAsia="bg-BG"/>
              </w:rPr>
              <w:t>464</w:t>
            </w:r>
          </w:p>
        </w:tc>
        <w:tc>
          <w:tcPr>
            <w:tcW w:w="903" w:type="dxa"/>
            <w:shd w:val="clear" w:color="auto" w:fill="DEEAF6" w:themeFill="accent1" w:themeFillTint="33"/>
            <w:noWrap/>
            <w:vAlign w:val="center"/>
            <w:hideMark/>
          </w:tcPr>
          <w:p w14:paraId="4BB5F9DB" w14:textId="77777777" w:rsidR="00E8617E" w:rsidRPr="00BC513A" w:rsidRDefault="00E8617E" w:rsidP="00922731">
            <w:pPr>
              <w:spacing w:after="0" w:line="240" w:lineRule="auto"/>
              <w:rPr>
                <w:rFonts w:ascii="Arial" w:eastAsia="Times New Roman" w:hAnsi="Arial" w:cs="Arial"/>
                <w:b/>
                <w:color w:val="000000"/>
                <w:sz w:val="20"/>
                <w:szCs w:val="20"/>
                <w:lang w:eastAsia="bg-BG"/>
              </w:rPr>
            </w:pPr>
            <w:r w:rsidRPr="00BC513A">
              <w:rPr>
                <w:rFonts w:ascii="Arial" w:eastAsia="Times New Roman" w:hAnsi="Arial" w:cs="Arial"/>
                <w:b/>
                <w:color w:val="000000"/>
                <w:sz w:val="20"/>
                <w:szCs w:val="20"/>
                <w:lang w:eastAsia="bg-BG"/>
              </w:rPr>
              <w:t>148</w:t>
            </w:r>
          </w:p>
        </w:tc>
        <w:tc>
          <w:tcPr>
            <w:tcW w:w="1213" w:type="dxa"/>
            <w:shd w:val="clear" w:color="auto" w:fill="DEEAF6" w:themeFill="accent1" w:themeFillTint="33"/>
            <w:noWrap/>
            <w:vAlign w:val="center"/>
            <w:hideMark/>
          </w:tcPr>
          <w:p w14:paraId="1F3F3621" w14:textId="77777777" w:rsidR="00E8617E" w:rsidRPr="00BC513A" w:rsidRDefault="00E8617E" w:rsidP="00922731">
            <w:pPr>
              <w:spacing w:after="0" w:line="240" w:lineRule="auto"/>
              <w:rPr>
                <w:rFonts w:ascii="Arial" w:eastAsia="Times New Roman" w:hAnsi="Arial" w:cs="Arial"/>
                <w:b/>
                <w:color w:val="000000"/>
                <w:sz w:val="20"/>
                <w:szCs w:val="20"/>
                <w:lang w:eastAsia="bg-BG"/>
              </w:rPr>
            </w:pPr>
            <w:r w:rsidRPr="00BC513A">
              <w:rPr>
                <w:rFonts w:ascii="Arial" w:eastAsia="Times New Roman" w:hAnsi="Arial" w:cs="Arial"/>
                <w:b/>
                <w:color w:val="000000"/>
                <w:sz w:val="20"/>
                <w:szCs w:val="20"/>
                <w:lang w:eastAsia="bg-BG"/>
              </w:rPr>
              <w:t>165</w:t>
            </w:r>
          </w:p>
        </w:tc>
        <w:tc>
          <w:tcPr>
            <w:tcW w:w="850" w:type="dxa"/>
            <w:shd w:val="clear" w:color="auto" w:fill="DEEAF6" w:themeFill="accent1" w:themeFillTint="33"/>
            <w:noWrap/>
            <w:vAlign w:val="center"/>
            <w:hideMark/>
          </w:tcPr>
          <w:p w14:paraId="570C5539" w14:textId="77777777" w:rsidR="00E8617E" w:rsidRPr="00BC513A" w:rsidRDefault="00E8617E" w:rsidP="00922731">
            <w:pPr>
              <w:spacing w:after="0" w:line="240" w:lineRule="auto"/>
              <w:rPr>
                <w:rFonts w:ascii="Arial" w:eastAsia="Times New Roman" w:hAnsi="Arial" w:cs="Arial"/>
                <w:b/>
                <w:color w:val="000000"/>
                <w:sz w:val="20"/>
                <w:szCs w:val="20"/>
                <w:lang w:eastAsia="bg-BG"/>
              </w:rPr>
            </w:pPr>
            <w:r w:rsidRPr="00BC513A">
              <w:rPr>
                <w:rFonts w:ascii="Arial" w:eastAsia="Times New Roman" w:hAnsi="Arial" w:cs="Arial"/>
                <w:b/>
                <w:color w:val="000000"/>
                <w:sz w:val="20"/>
                <w:szCs w:val="20"/>
                <w:lang w:eastAsia="bg-BG"/>
              </w:rPr>
              <w:t>1143</w:t>
            </w:r>
          </w:p>
        </w:tc>
      </w:tr>
    </w:tbl>
    <w:p w14:paraId="7C3D6864" w14:textId="77777777" w:rsidR="00E8617E" w:rsidRPr="00F07F15" w:rsidRDefault="00E8617E" w:rsidP="00E8617E">
      <w:pPr>
        <w:tabs>
          <w:tab w:val="left" w:pos="3504"/>
        </w:tabs>
        <w:spacing w:before="120" w:after="120"/>
        <w:jc w:val="both"/>
        <w:rPr>
          <w:rFonts w:ascii="Arial" w:eastAsia="Times New Roman" w:hAnsi="Arial" w:cs="Arial"/>
          <w:sz w:val="18"/>
          <w:szCs w:val="18"/>
          <w:lang w:eastAsia="nl-NL"/>
        </w:rPr>
      </w:pPr>
      <w:r w:rsidRPr="00F07F15">
        <w:rPr>
          <w:rFonts w:ascii="Arial" w:eastAsia="Times New Roman" w:hAnsi="Arial" w:cs="Arial"/>
          <w:sz w:val="18"/>
          <w:szCs w:val="18"/>
          <w:lang w:eastAsia="nl-NL"/>
        </w:rPr>
        <w:t>Източник: Данни, предоставени от ДФЗ-РА</w:t>
      </w:r>
    </w:p>
    <w:p w14:paraId="5ADAC4FB" w14:textId="65AABCE5" w:rsidR="00E8617E" w:rsidRPr="00BC513A" w:rsidRDefault="00E8617E" w:rsidP="00E8617E">
      <w:pPr>
        <w:spacing w:after="120" w:line="300" w:lineRule="atLeast"/>
        <w:ind w:firstLine="708"/>
        <w:jc w:val="both"/>
        <w:rPr>
          <w:rFonts w:ascii="Arial" w:hAnsi="Arial" w:cs="Arial"/>
        </w:rPr>
      </w:pPr>
      <w:r w:rsidRPr="00BC513A">
        <w:rPr>
          <w:rFonts w:ascii="Arial" w:hAnsi="Arial" w:cs="Arial"/>
        </w:rPr>
        <w:t>МИГ имат принос за постигане целите както на ПРСР 2007-2013, така и на местните стратегии на 57-те общини, на чиято територия функционират или 2</w:t>
      </w:r>
      <w:r w:rsidR="009D6552">
        <w:rPr>
          <w:rFonts w:ascii="Arial" w:hAnsi="Arial" w:cs="Arial"/>
        </w:rPr>
        <w:t>8</w:t>
      </w:r>
      <w:r w:rsidRPr="00BC513A">
        <w:rPr>
          <w:rFonts w:ascii="Arial" w:hAnsi="Arial" w:cs="Arial"/>
        </w:rPr>
        <w:t>% от територията на селските общини в България</w:t>
      </w:r>
      <w:r w:rsidR="009D6552">
        <w:rPr>
          <w:rStyle w:val="FootnoteReference"/>
          <w:rFonts w:ascii="Arial" w:hAnsi="Arial" w:cs="Arial"/>
        </w:rPr>
        <w:footnoteReference w:id="36"/>
      </w:r>
      <w:r w:rsidRPr="00BC513A">
        <w:rPr>
          <w:rFonts w:ascii="Arial" w:hAnsi="Arial" w:cs="Arial"/>
        </w:rPr>
        <w:t>. Този принос е ограничен от факта, че заделените ресурси по мярка 41 от 53</w:t>
      </w:r>
      <w:r w:rsidR="00DB3572">
        <w:rPr>
          <w:rFonts w:ascii="Arial" w:hAnsi="Arial" w:cs="Arial"/>
        </w:rPr>
        <w:t> </w:t>
      </w:r>
      <w:r w:rsidRPr="00BC513A">
        <w:rPr>
          <w:rFonts w:ascii="Arial" w:hAnsi="Arial" w:cs="Arial"/>
        </w:rPr>
        <w:t>891</w:t>
      </w:r>
      <w:r w:rsidR="00DB3572">
        <w:rPr>
          <w:rFonts w:ascii="Arial" w:hAnsi="Arial" w:cs="Arial"/>
        </w:rPr>
        <w:t> </w:t>
      </w:r>
      <w:r w:rsidRPr="00BC513A">
        <w:rPr>
          <w:rFonts w:ascii="Arial" w:hAnsi="Arial" w:cs="Arial"/>
        </w:rPr>
        <w:t>814,00 милиона евро за изпълнение на проекти на МИГ са редуцирани на 39</w:t>
      </w:r>
      <w:r w:rsidR="00DB3572">
        <w:rPr>
          <w:rFonts w:ascii="Arial" w:hAnsi="Arial" w:cs="Arial"/>
        </w:rPr>
        <w:t> </w:t>
      </w:r>
      <w:r w:rsidRPr="00BC513A">
        <w:rPr>
          <w:rFonts w:ascii="Arial" w:hAnsi="Arial" w:cs="Arial"/>
        </w:rPr>
        <w:t>750</w:t>
      </w:r>
      <w:r w:rsidR="00DB3572">
        <w:rPr>
          <w:rFonts w:ascii="Arial" w:hAnsi="Arial" w:cs="Arial"/>
        </w:rPr>
        <w:t> </w:t>
      </w:r>
      <w:r w:rsidRPr="00BC513A">
        <w:rPr>
          <w:rFonts w:ascii="Arial" w:hAnsi="Arial" w:cs="Arial"/>
        </w:rPr>
        <w:t>000,00  милиона</w:t>
      </w:r>
      <w:r w:rsidR="001D482F">
        <w:rPr>
          <w:rFonts w:ascii="Arial" w:hAnsi="Arial" w:cs="Arial"/>
        </w:rPr>
        <w:t xml:space="preserve"> към края на програмата (в</w:t>
      </w:r>
      <w:r w:rsidR="00077260">
        <w:rPr>
          <w:rFonts w:ascii="Arial" w:hAnsi="Arial" w:cs="Arial"/>
        </w:rPr>
        <w:t xml:space="preserve">иж </w:t>
      </w:r>
      <w:r w:rsidR="00DB3572">
        <w:rPr>
          <w:rFonts w:ascii="Arial" w:hAnsi="Arial" w:cs="Arial"/>
        </w:rPr>
        <w:t>т</w:t>
      </w:r>
      <w:r w:rsidR="001D482F">
        <w:rPr>
          <w:rFonts w:ascii="Arial" w:hAnsi="Arial" w:cs="Arial"/>
        </w:rPr>
        <w:t>аблица</w:t>
      </w:r>
      <w:r w:rsidR="008F3D95">
        <w:rPr>
          <w:rFonts w:ascii="Arial" w:hAnsi="Arial" w:cs="Arial"/>
        </w:rPr>
        <w:t xml:space="preserve"> 18)</w:t>
      </w:r>
      <w:r w:rsidR="001D482F">
        <w:rPr>
          <w:rFonts w:ascii="Arial" w:hAnsi="Arial" w:cs="Arial"/>
        </w:rPr>
        <w:t xml:space="preserve"> </w:t>
      </w:r>
      <w:r w:rsidRPr="00BC513A">
        <w:rPr>
          <w:rFonts w:ascii="Arial" w:hAnsi="Arial" w:cs="Arial"/>
        </w:rPr>
        <w:t>. Анализът на постигане на заложените индикатори показва, че индикаторът за брой проекти, финансирани от МИГ</w:t>
      </w:r>
      <w:r w:rsidR="00DB3572">
        <w:rPr>
          <w:rFonts w:ascii="Arial" w:hAnsi="Arial" w:cs="Arial"/>
        </w:rPr>
        <w:t>,</w:t>
      </w:r>
      <w:r w:rsidRPr="00BC513A">
        <w:rPr>
          <w:rFonts w:ascii="Arial" w:hAnsi="Arial" w:cs="Arial"/>
        </w:rPr>
        <w:t xml:space="preserve"> е изпълнен на </w:t>
      </w:r>
      <w:r w:rsidR="005D1E5D">
        <w:rPr>
          <w:rFonts w:ascii="Arial" w:hAnsi="Arial" w:cs="Arial"/>
        </w:rPr>
        <w:t>59</w:t>
      </w:r>
      <w:r w:rsidRPr="00BC513A">
        <w:rPr>
          <w:rFonts w:ascii="Arial" w:hAnsi="Arial" w:cs="Arial"/>
        </w:rPr>
        <w:t xml:space="preserve"> %(</w:t>
      </w:r>
      <w:r w:rsidR="005D1E5D">
        <w:rPr>
          <w:rFonts w:ascii="Arial" w:hAnsi="Arial" w:cs="Arial"/>
        </w:rPr>
        <w:t>1374</w:t>
      </w:r>
      <w:r w:rsidRPr="00BC513A">
        <w:rPr>
          <w:rFonts w:ascii="Arial" w:hAnsi="Arial" w:cs="Arial"/>
        </w:rPr>
        <w:t xml:space="preserve"> проекта)</w:t>
      </w:r>
      <w:r w:rsidR="005D1E5D">
        <w:rPr>
          <w:rStyle w:val="FootnoteReference"/>
          <w:rFonts w:ascii="Arial" w:hAnsi="Arial" w:cs="Arial"/>
        </w:rPr>
        <w:footnoteReference w:id="37"/>
      </w:r>
      <w:r w:rsidRPr="00BC513A">
        <w:rPr>
          <w:rFonts w:ascii="Arial" w:hAnsi="Arial" w:cs="Arial"/>
        </w:rPr>
        <w:t xml:space="preserve">, а относно брой финансирани бенефициенти от МИГ изпълнението е на </w:t>
      </w:r>
      <w:r w:rsidR="005D1E5D" w:rsidRPr="002153B5">
        <w:rPr>
          <w:rFonts w:ascii="Arial" w:hAnsi="Arial" w:cs="Arial"/>
        </w:rPr>
        <w:t>73</w:t>
      </w:r>
      <w:r w:rsidRPr="00BC513A">
        <w:rPr>
          <w:rFonts w:ascii="Arial" w:hAnsi="Arial" w:cs="Arial"/>
        </w:rPr>
        <w:t>%</w:t>
      </w:r>
      <w:r w:rsidR="005D1E5D">
        <w:rPr>
          <w:rFonts w:ascii="Arial" w:hAnsi="Arial" w:cs="Arial"/>
        </w:rPr>
        <w:t xml:space="preserve"> </w:t>
      </w:r>
      <w:r w:rsidRPr="00BC513A">
        <w:rPr>
          <w:rFonts w:ascii="Arial" w:hAnsi="Arial" w:cs="Arial"/>
        </w:rPr>
        <w:t>(</w:t>
      </w:r>
      <w:r w:rsidR="005D1E5D" w:rsidRPr="002153B5">
        <w:rPr>
          <w:rFonts w:ascii="Arial" w:hAnsi="Arial" w:cs="Arial"/>
        </w:rPr>
        <w:t>997</w:t>
      </w:r>
      <w:r w:rsidRPr="00BC513A">
        <w:rPr>
          <w:rFonts w:ascii="Arial" w:hAnsi="Arial" w:cs="Arial"/>
        </w:rPr>
        <w:t xml:space="preserve"> бенефициента)</w:t>
      </w:r>
      <w:r w:rsidR="005D1E5D">
        <w:rPr>
          <w:rStyle w:val="FootnoteReference"/>
          <w:rFonts w:ascii="Arial" w:hAnsi="Arial" w:cs="Arial"/>
        </w:rPr>
        <w:footnoteReference w:id="38"/>
      </w:r>
      <w:r w:rsidRPr="00BC513A">
        <w:rPr>
          <w:rFonts w:ascii="Arial" w:hAnsi="Arial" w:cs="Arial"/>
        </w:rPr>
        <w:t xml:space="preserve">. Основен фактор за ограничения принос е и малкото време за изпълнение на проектите предвид закъсненията в прилагането на подхода.  </w:t>
      </w:r>
    </w:p>
    <w:p w14:paraId="15C3A661" w14:textId="0773F24A" w:rsidR="00E8617E" w:rsidRPr="00BC513A" w:rsidRDefault="00E8617E" w:rsidP="00E8617E">
      <w:pPr>
        <w:spacing w:after="120" w:line="300" w:lineRule="atLeast"/>
        <w:ind w:firstLine="708"/>
        <w:jc w:val="both"/>
        <w:rPr>
          <w:rFonts w:ascii="Arial" w:hAnsi="Arial" w:cs="Arial"/>
        </w:rPr>
      </w:pPr>
      <w:r w:rsidRPr="00BC513A">
        <w:rPr>
          <w:rFonts w:ascii="Arial" w:hAnsi="Arial" w:cs="Arial"/>
        </w:rPr>
        <w:t>Ползите от прилагането на мерките от ос 4 ЛИДЕР са осъзнати от общините в България още на етап подготвителна подмярка. Забелязва се силен интерес и борба на идеи и концепции. По-силните и качествени стратегии побеждават и дават възможност на 57 общини да активират местните си общности. Ефектът от това е видим благодарение на изградената нова или модернизирана общинска инфраструктура, стартиралите нови бизнес оператори, инвестициите в културно наследство и др. Проектите, реализирани както от частни, така и от публични бенефициенти, допълват подкрепата, която местните общности получават по мерките от ПРСР, по директните плащания и по другите национални мерки за подкрепа. Добра практика в тази посока са вид</w:t>
      </w:r>
      <w:r w:rsidR="00DB3572">
        <w:rPr>
          <w:rFonts w:ascii="Arial" w:hAnsi="Arial" w:cs="Arial"/>
        </w:rPr>
        <w:t>ът</w:t>
      </w:r>
      <w:r w:rsidRPr="00BC513A">
        <w:rPr>
          <w:rFonts w:ascii="Arial" w:hAnsi="Arial" w:cs="Arial"/>
        </w:rPr>
        <w:t xml:space="preserve"> и размер</w:t>
      </w:r>
      <w:r w:rsidR="00DB3572">
        <w:rPr>
          <w:rFonts w:ascii="Arial" w:hAnsi="Arial" w:cs="Arial"/>
        </w:rPr>
        <w:t>ът</w:t>
      </w:r>
      <w:r w:rsidRPr="00BC513A">
        <w:rPr>
          <w:rFonts w:ascii="Arial" w:hAnsi="Arial" w:cs="Arial"/>
        </w:rPr>
        <w:t xml:space="preserve"> на финансираните проекти. В по-голямата си степен те са малки, но жизнени проекти, които създават работни места и добавена стойност. Основно бенефициентите към МИГ кандидатстват за първи път за безвъзмездна финансова помощ, благодарение на доверието, което се е изградило помежду им. От допълнителна помощ е контакт</w:t>
      </w:r>
      <w:r w:rsidR="00DB3572">
        <w:rPr>
          <w:rFonts w:ascii="Arial" w:hAnsi="Arial" w:cs="Arial"/>
        </w:rPr>
        <w:t>ът</w:t>
      </w:r>
      <w:r w:rsidRPr="00BC513A">
        <w:rPr>
          <w:rFonts w:ascii="Arial" w:hAnsi="Arial" w:cs="Arial"/>
        </w:rPr>
        <w:t xml:space="preserve"> „лице в лице“, който се осъществява на място в офисите на МИГ и това, че експертите са достъпни и познати лица, които са и винаги на разположение за консултации и информация. Опитът, натрупан с изпълнението на тези проекти</w:t>
      </w:r>
      <w:r w:rsidR="00DB3572">
        <w:rPr>
          <w:rFonts w:ascii="Arial" w:hAnsi="Arial" w:cs="Arial"/>
        </w:rPr>
        <w:t>,</w:t>
      </w:r>
      <w:r w:rsidRPr="00BC513A">
        <w:rPr>
          <w:rFonts w:ascii="Arial" w:hAnsi="Arial" w:cs="Arial"/>
        </w:rPr>
        <w:t xml:space="preserve"> е добра база, на която да стъпи прилагането на ПРСР 2014-2020 и в частност подхода ЛИДЕР. </w:t>
      </w:r>
    </w:p>
    <w:p w14:paraId="0DD29EE0" w14:textId="0622BB08" w:rsidR="00E8617E" w:rsidRPr="00BC513A" w:rsidRDefault="00E8617E" w:rsidP="00E8617E">
      <w:pPr>
        <w:keepNext/>
        <w:numPr>
          <w:ilvl w:val="0"/>
          <w:numId w:val="20"/>
        </w:numPr>
        <w:spacing w:before="240" w:after="120"/>
        <w:ind w:left="714" w:hanging="357"/>
        <w:jc w:val="both"/>
        <w:rPr>
          <w:rFonts w:ascii="Arial" w:hAnsi="Arial" w:cs="Arial"/>
          <w:color w:val="0070C0"/>
        </w:rPr>
      </w:pPr>
      <w:r w:rsidRPr="00BC513A">
        <w:rPr>
          <w:rFonts w:ascii="Arial" w:hAnsi="Arial" w:cs="Arial"/>
          <w:color w:val="0070C0"/>
        </w:rPr>
        <w:t>До каква степен е бил приложени подход</w:t>
      </w:r>
      <w:r w:rsidR="00DB3572">
        <w:rPr>
          <w:rFonts w:ascii="Arial" w:hAnsi="Arial" w:cs="Arial"/>
          <w:color w:val="0070C0"/>
        </w:rPr>
        <w:t>ът</w:t>
      </w:r>
      <w:r w:rsidRPr="00BC513A">
        <w:rPr>
          <w:rFonts w:ascii="Arial" w:hAnsi="Arial" w:cs="Arial"/>
          <w:color w:val="0070C0"/>
        </w:rPr>
        <w:t xml:space="preserve"> ЛИДЕР?</w:t>
      </w:r>
    </w:p>
    <w:p w14:paraId="64259D5D" w14:textId="7D6DD395" w:rsidR="00E8617E" w:rsidRPr="00BC513A"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 xml:space="preserve">Подходът ЛИДЕР в своята същност е подход „отдолу-нагоре“ </w:t>
      </w:r>
      <w:r w:rsidR="00DB3572">
        <w:rPr>
          <w:rFonts w:cs="Arial"/>
          <w:sz w:val="22"/>
          <w:szCs w:val="22"/>
          <w:lang w:val="bg-BG"/>
        </w:rPr>
        <w:t>–</w:t>
      </w:r>
      <w:r w:rsidRPr="00BC513A">
        <w:rPr>
          <w:rFonts w:cs="Arial"/>
          <w:sz w:val="22"/>
          <w:szCs w:val="22"/>
          <w:lang w:val="bg-BG"/>
        </w:rPr>
        <w:t xml:space="preserve"> местните общности сами определят какви проекти/интервенции отговарят на техните нужди на база на оценка на потребностите им. </w:t>
      </w:r>
    </w:p>
    <w:p w14:paraId="1212D626" w14:textId="73BFEF7C" w:rsidR="00E8617E" w:rsidRPr="00BC513A"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 xml:space="preserve">Прилагането на ЛИДЕР в </w:t>
      </w:r>
      <w:r w:rsidR="00DB3572">
        <w:rPr>
          <w:rFonts w:cs="Arial"/>
          <w:sz w:val="22"/>
          <w:szCs w:val="22"/>
          <w:lang w:val="bg-BG"/>
        </w:rPr>
        <w:t>държавите</w:t>
      </w:r>
      <w:r w:rsidR="0049526E">
        <w:rPr>
          <w:rFonts w:cs="Arial"/>
          <w:sz w:val="22"/>
          <w:szCs w:val="22"/>
          <w:lang w:val="bg-BG"/>
        </w:rPr>
        <w:t xml:space="preserve">-членки </w:t>
      </w:r>
      <w:r w:rsidRPr="00BC513A">
        <w:rPr>
          <w:rFonts w:cs="Arial"/>
          <w:sz w:val="22"/>
          <w:szCs w:val="22"/>
          <w:lang w:val="bg-BG"/>
        </w:rPr>
        <w:t>стартира през  1991 г.</w:t>
      </w:r>
      <w:r w:rsidR="00DB3572">
        <w:rPr>
          <w:rFonts w:cs="Arial"/>
          <w:sz w:val="22"/>
          <w:szCs w:val="22"/>
          <w:lang w:val="bg-BG"/>
        </w:rPr>
        <w:t>,</w:t>
      </w:r>
      <w:r w:rsidRPr="00BC513A">
        <w:rPr>
          <w:rFonts w:cs="Arial"/>
          <w:sz w:val="22"/>
          <w:szCs w:val="22"/>
          <w:lang w:val="bg-BG"/>
        </w:rPr>
        <w:t xml:space="preserve"> като подходът се развива във времето заедно с останалата част на ОСП. В програмния период 2007-2013 подходът се интегрира и става част от програмите за развитие на селските райони. В този период той се прилага за първи път в България.</w:t>
      </w:r>
    </w:p>
    <w:p w14:paraId="77AE2FB7" w14:textId="2F1E8398" w:rsidR="00E8617E" w:rsidRPr="00BC513A"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 xml:space="preserve">В ПРСР 2007-2013 </w:t>
      </w:r>
      <w:r w:rsidR="00DB3572">
        <w:rPr>
          <w:rFonts w:cs="Arial"/>
          <w:sz w:val="22"/>
          <w:szCs w:val="22"/>
          <w:lang w:val="bg-BG"/>
        </w:rPr>
        <w:t>п</w:t>
      </w:r>
      <w:r w:rsidRPr="00BC513A">
        <w:rPr>
          <w:rFonts w:cs="Arial"/>
          <w:sz w:val="22"/>
          <w:szCs w:val="22"/>
          <w:lang w:val="bg-BG"/>
        </w:rPr>
        <w:t>одходът ЛИДЕР е приложен чрез изпълнението на 3 мерки:</w:t>
      </w:r>
    </w:p>
    <w:p w14:paraId="70697D5B" w14:textId="77777777" w:rsidR="00E8617E" w:rsidRPr="00BC513A" w:rsidRDefault="008F3D95" w:rsidP="00E8617E">
      <w:pPr>
        <w:pStyle w:val="ListParagraph"/>
        <w:numPr>
          <w:ilvl w:val="0"/>
          <w:numId w:val="30"/>
        </w:numPr>
        <w:tabs>
          <w:tab w:val="left" w:pos="1022"/>
        </w:tabs>
        <w:rPr>
          <w:rFonts w:ascii="Arial" w:hAnsi="Arial" w:cs="Arial"/>
          <w:bCs/>
          <w:kern w:val="1"/>
        </w:rPr>
      </w:pPr>
      <w:r>
        <w:rPr>
          <w:rFonts w:ascii="Arial" w:hAnsi="Arial" w:cs="Arial"/>
          <w:bCs/>
          <w:kern w:val="1"/>
        </w:rPr>
        <w:t xml:space="preserve">М41 </w:t>
      </w:r>
      <w:r w:rsidR="00E8617E" w:rsidRPr="00BC513A">
        <w:rPr>
          <w:rFonts w:ascii="Arial" w:hAnsi="Arial" w:cs="Arial"/>
          <w:bCs/>
          <w:kern w:val="1"/>
        </w:rPr>
        <w:t>Прилагане на стратегии за местно развитие</w:t>
      </w:r>
    </w:p>
    <w:p w14:paraId="19FB1242" w14:textId="77777777" w:rsidR="00E8617E" w:rsidRPr="00BC513A" w:rsidRDefault="00E8617E" w:rsidP="00E8617E">
      <w:pPr>
        <w:pStyle w:val="ListParagraph"/>
        <w:numPr>
          <w:ilvl w:val="0"/>
          <w:numId w:val="30"/>
        </w:numPr>
        <w:tabs>
          <w:tab w:val="left" w:pos="1022"/>
        </w:tabs>
        <w:rPr>
          <w:rFonts w:ascii="Arial" w:hAnsi="Arial" w:cs="Arial"/>
          <w:bCs/>
          <w:kern w:val="1"/>
        </w:rPr>
      </w:pPr>
      <w:r w:rsidRPr="00BC513A">
        <w:rPr>
          <w:rFonts w:ascii="Arial" w:hAnsi="Arial" w:cs="Arial"/>
          <w:bCs/>
          <w:kern w:val="1"/>
        </w:rPr>
        <w:t>М421 Междутериториално и транснационално сътрудничество</w:t>
      </w:r>
    </w:p>
    <w:p w14:paraId="4FF82DBD" w14:textId="77777777" w:rsidR="00E8617E" w:rsidRPr="00BC513A" w:rsidRDefault="00E8617E" w:rsidP="00E8617E">
      <w:pPr>
        <w:pStyle w:val="ListParagraph"/>
        <w:numPr>
          <w:ilvl w:val="0"/>
          <w:numId w:val="30"/>
        </w:numPr>
        <w:tabs>
          <w:tab w:val="left" w:pos="1022"/>
        </w:tabs>
        <w:rPr>
          <w:rFonts w:ascii="Arial" w:hAnsi="Arial" w:cs="Arial"/>
          <w:bCs/>
          <w:kern w:val="1"/>
        </w:rPr>
      </w:pPr>
      <w:r w:rsidRPr="00BC513A">
        <w:rPr>
          <w:rFonts w:ascii="Arial" w:hAnsi="Arial" w:cs="Arial"/>
          <w:bCs/>
          <w:kern w:val="1"/>
        </w:rPr>
        <w:t>М431 Административни разходи на МИГ, придобиване на умения и оживяване на територията</w:t>
      </w:r>
    </w:p>
    <w:p w14:paraId="7EFF9B99" w14:textId="77777777" w:rsidR="00E8617E" w:rsidRPr="00BC513A" w:rsidRDefault="00E8617E" w:rsidP="00E8617E">
      <w:pPr>
        <w:pStyle w:val="ListParagraph"/>
        <w:numPr>
          <w:ilvl w:val="1"/>
          <w:numId w:val="30"/>
        </w:numPr>
        <w:tabs>
          <w:tab w:val="left" w:pos="1022"/>
        </w:tabs>
        <w:rPr>
          <w:rFonts w:ascii="Arial" w:hAnsi="Arial" w:cs="Arial"/>
          <w:bCs/>
          <w:i/>
          <w:kern w:val="1"/>
        </w:rPr>
      </w:pPr>
      <w:r w:rsidRPr="00BC513A">
        <w:rPr>
          <w:rFonts w:ascii="Arial" w:hAnsi="Arial" w:cs="Arial"/>
          <w:bCs/>
          <w:i/>
          <w:kern w:val="1"/>
        </w:rPr>
        <w:t>431-1 Управление на МИГ, придобиване на умения и постигане на обществена активност на териториите на избрани и одобрени МИГ</w:t>
      </w:r>
    </w:p>
    <w:p w14:paraId="2F014B06" w14:textId="77777777" w:rsidR="00E8617E" w:rsidRPr="00BC513A" w:rsidRDefault="00E8617E" w:rsidP="00E8617E">
      <w:pPr>
        <w:pStyle w:val="ListParagraph"/>
        <w:numPr>
          <w:ilvl w:val="1"/>
          <w:numId w:val="30"/>
        </w:numPr>
        <w:tabs>
          <w:tab w:val="left" w:pos="1022"/>
        </w:tabs>
        <w:rPr>
          <w:rFonts w:ascii="Arial" w:hAnsi="Arial" w:cs="Arial"/>
          <w:bCs/>
          <w:kern w:val="1"/>
        </w:rPr>
      </w:pPr>
      <w:r w:rsidRPr="00BC513A">
        <w:rPr>
          <w:rFonts w:ascii="Arial" w:hAnsi="Arial" w:cs="Arial"/>
          <w:bCs/>
          <w:i/>
          <w:kern w:val="1"/>
        </w:rPr>
        <w:t>431-2 Придобиване на умения и постигане на обществена активност за територията на потенциални МИГ</w:t>
      </w:r>
    </w:p>
    <w:p w14:paraId="5FA7E431" w14:textId="7CEACAEE" w:rsidR="00E8617E" w:rsidRPr="00BC513A"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П</w:t>
      </w:r>
      <w:r w:rsidR="00DB3572">
        <w:rPr>
          <w:rFonts w:cs="Arial"/>
          <w:sz w:val="22"/>
          <w:szCs w:val="22"/>
          <w:lang w:val="bg-BG"/>
        </w:rPr>
        <w:t>о</w:t>
      </w:r>
      <w:r w:rsidRPr="00BC513A">
        <w:rPr>
          <w:rFonts w:cs="Arial"/>
          <w:sz w:val="22"/>
          <w:szCs w:val="22"/>
          <w:lang w:val="bg-BG"/>
        </w:rPr>
        <w:t xml:space="preserve"> ос 4 ЛИДЕР в първоначално одобрената ПРСР 2007-2013 е планирано да се предоставят средства в размер на 2,6% от приноса на Общността по </w:t>
      </w:r>
      <w:r w:rsidR="000F57E9">
        <w:rPr>
          <w:rFonts w:cs="Arial"/>
          <w:sz w:val="22"/>
          <w:szCs w:val="22"/>
          <w:lang w:val="bg-BG"/>
        </w:rPr>
        <w:t>п</w:t>
      </w:r>
      <w:r w:rsidRPr="00BC513A">
        <w:rPr>
          <w:rFonts w:cs="Arial"/>
          <w:sz w:val="22"/>
          <w:szCs w:val="22"/>
          <w:lang w:val="bg-BG"/>
        </w:rPr>
        <w:t>рограмата. Около 82% от бюджета по ос ЛИДЕР е предназначен за осъществяването на стратегии за местно развитие и насърчаване на сътрудничеството, а 18% – информационни дейности и за изграждане на капацитет на заинтересованите страни по отношение на подхода ЛИДЕР в селските райони. Планираните средства по ос 4 в окончателния бюджет след няколко изменения на програмата са в размер на 1,71% от приноса на ЕЗФРСР</w:t>
      </w:r>
      <w:r w:rsidR="003644F0">
        <w:rPr>
          <w:rFonts w:cs="Arial"/>
          <w:sz w:val="22"/>
          <w:szCs w:val="22"/>
          <w:lang w:val="bg-BG"/>
        </w:rPr>
        <w:t xml:space="preserve"> (</w:t>
      </w:r>
      <w:r w:rsidR="00DB3572">
        <w:rPr>
          <w:rFonts w:cs="Arial"/>
          <w:sz w:val="22"/>
          <w:szCs w:val="22"/>
          <w:lang w:val="bg-BG"/>
        </w:rPr>
        <w:t>в</w:t>
      </w:r>
      <w:r w:rsidR="003644F0">
        <w:rPr>
          <w:rFonts w:cs="Arial"/>
          <w:sz w:val="22"/>
          <w:szCs w:val="22"/>
          <w:lang w:val="bg-BG"/>
        </w:rPr>
        <w:t xml:space="preserve">иж </w:t>
      </w:r>
      <w:r w:rsidR="00DB3572">
        <w:rPr>
          <w:rFonts w:cs="Arial"/>
          <w:sz w:val="22"/>
          <w:szCs w:val="22"/>
          <w:lang w:val="bg-BG"/>
        </w:rPr>
        <w:t>т</w:t>
      </w:r>
      <w:r w:rsidR="003644F0">
        <w:rPr>
          <w:rFonts w:cs="Arial"/>
          <w:sz w:val="22"/>
          <w:szCs w:val="22"/>
          <w:lang w:val="bg-BG"/>
        </w:rPr>
        <w:t>аблица 15)</w:t>
      </w:r>
      <w:r w:rsidRPr="00BC513A">
        <w:rPr>
          <w:rFonts w:cs="Arial"/>
          <w:sz w:val="22"/>
          <w:szCs w:val="22"/>
          <w:lang w:val="bg-BG"/>
        </w:rPr>
        <w:t xml:space="preserve">, като остава под прага от 2,5%, посочен в </w:t>
      </w:r>
      <w:r w:rsidR="00FC227B">
        <w:rPr>
          <w:rFonts w:cs="Arial"/>
          <w:sz w:val="22"/>
          <w:szCs w:val="22"/>
          <w:lang w:val="bg-BG"/>
        </w:rPr>
        <w:t xml:space="preserve">чл. 17(2) на </w:t>
      </w:r>
      <w:r w:rsidRPr="00BC513A">
        <w:rPr>
          <w:rFonts w:cs="Arial"/>
          <w:sz w:val="22"/>
          <w:szCs w:val="22"/>
          <w:lang w:val="bg-BG"/>
        </w:rPr>
        <w:t>Регламент</w:t>
      </w:r>
      <w:r w:rsidR="00FC227B">
        <w:rPr>
          <w:rFonts w:cs="Arial"/>
          <w:sz w:val="22"/>
          <w:szCs w:val="22"/>
          <w:lang w:val="bg-BG"/>
        </w:rPr>
        <w:t xml:space="preserve"> (Е</w:t>
      </w:r>
      <w:r w:rsidR="00DB3572">
        <w:rPr>
          <w:rFonts w:cs="Arial"/>
          <w:sz w:val="22"/>
          <w:szCs w:val="22"/>
          <w:lang w:val="bg-BG"/>
        </w:rPr>
        <w:t>О</w:t>
      </w:r>
      <w:r w:rsidR="00FC227B">
        <w:rPr>
          <w:rFonts w:cs="Arial"/>
          <w:sz w:val="22"/>
          <w:szCs w:val="22"/>
          <w:lang w:val="bg-BG"/>
        </w:rPr>
        <w:t>) 1698/2005</w:t>
      </w:r>
      <w:r w:rsidRPr="00BC513A">
        <w:rPr>
          <w:rFonts w:cs="Arial"/>
          <w:sz w:val="22"/>
          <w:szCs w:val="22"/>
          <w:lang w:val="bg-BG"/>
        </w:rPr>
        <w:t>.</w:t>
      </w:r>
    </w:p>
    <w:p w14:paraId="46EA22C9" w14:textId="77777777" w:rsidR="00E8617E" w:rsidRPr="00BC513A"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За да отговорим на поставения въпрос ще проследим доколко са приложени седемте основни характеристики на подхода:</w:t>
      </w:r>
    </w:p>
    <w:p w14:paraId="1F4563F2" w14:textId="77777777" w:rsidR="00E8617E" w:rsidRPr="00BC513A" w:rsidRDefault="00E8617E" w:rsidP="00E8617E">
      <w:pPr>
        <w:pStyle w:val="DefaultText"/>
        <w:numPr>
          <w:ilvl w:val="0"/>
          <w:numId w:val="29"/>
        </w:numPr>
        <w:spacing w:after="120" w:line="300" w:lineRule="atLeast"/>
        <w:rPr>
          <w:rFonts w:cs="Arial"/>
          <w:b/>
          <w:sz w:val="22"/>
          <w:szCs w:val="22"/>
          <w:lang w:val="bg-BG"/>
        </w:rPr>
      </w:pPr>
      <w:r w:rsidRPr="00BC513A">
        <w:rPr>
          <w:rFonts w:cs="Arial"/>
          <w:b/>
          <w:sz w:val="22"/>
          <w:szCs w:val="22"/>
          <w:lang w:val="bg-BG"/>
        </w:rPr>
        <w:t xml:space="preserve"> Стратегии за местно развитие, основаващи се на териториален принцип. </w:t>
      </w:r>
    </w:p>
    <w:p w14:paraId="4417F61C" w14:textId="77777777" w:rsidR="00E8617E" w:rsidRPr="00BC513A"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Стратегиите за местно развитие са съобразени с Националния стратегически план за развитие на селските райони и изцяло кореспондират на приоритети на ПРСР 2007-2013 г. В голямата си част стратегиите са съобразени и с регионалните планове за развитие на шестте планови района; стратегиите за развитие на областите, в които попадат МИГ и общинските планове за развитие на общините, включени в териториите на МИГ.</w:t>
      </w:r>
    </w:p>
    <w:p w14:paraId="664956AD" w14:textId="77777777" w:rsidR="00E8617E" w:rsidRPr="00BC513A"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 xml:space="preserve">Поради това стратегиите, макар и изработени за отделни МИГ и отделни територии и след специално направени проучвания за нагласите, опита и очакванията на населението и фирмите от териториите на МИГ, в голямата си част съдържат еднакви приоритети и мерки. </w:t>
      </w:r>
    </w:p>
    <w:p w14:paraId="268F2821" w14:textId="77777777" w:rsidR="00E8617E" w:rsidRPr="00BC513A" w:rsidRDefault="00E8617E" w:rsidP="003644F0">
      <w:pPr>
        <w:pStyle w:val="DefaultText"/>
        <w:keepNext/>
        <w:numPr>
          <w:ilvl w:val="0"/>
          <w:numId w:val="29"/>
        </w:numPr>
        <w:spacing w:after="120" w:line="300" w:lineRule="atLeast"/>
        <w:ind w:left="714" w:hanging="357"/>
        <w:rPr>
          <w:rFonts w:cs="Arial"/>
          <w:b/>
          <w:sz w:val="22"/>
          <w:szCs w:val="22"/>
          <w:lang w:val="bg-BG"/>
        </w:rPr>
      </w:pPr>
      <w:r w:rsidRPr="00BC513A">
        <w:rPr>
          <w:rFonts w:cs="Arial"/>
          <w:b/>
          <w:sz w:val="22"/>
          <w:szCs w:val="22"/>
          <w:lang w:val="bg-BG"/>
        </w:rPr>
        <w:t>Изграждане на местни публично-частни партньорства (местни инициативни групи)</w:t>
      </w:r>
    </w:p>
    <w:p w14:paraId="5D034870" w14:textId="54853EC8" w:rsidR="00E8617E" w:rsidRPr="00BC513A"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 xml:space="preserve">Със създаването на МИГ е поставено началото на изграждане на местни партньорства, в които участват основните заинтересовани страни </w:t>
      </w:r>
      <w:r w:rsidR="00DB3572">
        <w:rPr>
          <w:rFonts w:cs="Arial"/>
          <w:sz w:val="22"/>
          <w:szCs w:val="22"/>
          <w:lang w:val="bg-BG"/>
        </w:rPr>
        <w:t>–</w:t>
      </w:r>
      <w:r w:rsidRPr="00BC513A">
        <w:rPr>
          <w:rFonts w:cs="Arial"/>
          <w:sz w:val="22"/>
          <w:szCs w:val="22"/>
          <w:lang w:val="bg-BG"/>
        </w:rPr>
        <w:t xml:space="preserve"> стопански (юридически лица, които генерират приходи от продажби и земеделски производители), нестопански (НПО, читалища) и публични институции (общини, училища, професионални гимназии).</w:t>
      </w:r>
    </w:p>
    <w:p w14:paraId="61FED158" w14:textId="17FDE827" w:rsidR="00E8617E" w:rsidRPr="00BC513A"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От направения подробен анализ на заинтересованите страни, участвали в изпълнението на проекти към Стратегиите за местно развитие може да бъде се каже, че стопанският сектор заема най-голям дял – 78 %. Следват представителите на нестопанския сектор, които заемат 14 % от изпълнилите проекти. Най-малък дял от заинтересованите страни заема публичния</w:t>
      </w:r>
      <w:r w:rsidR="00DB3572">
        <w:rPr>
          <w:rFonts w:cs="Arial"/>
          <w:sz w:val="22"/>
          <w:szCs w:val="22"/>
          <w:lang w:val="bg-BG"/>
        </w:rPr>
        <w:t>т</w:t>
      </w:r>
      <w:r w:rsidRPr="00BC513A">
        <w:rPr>
          <w:rFonts w:cs="Arial"/>
          <w:sz w:val="22"/>
          <w:szCs w:val="22"/>
          <w:lang w:val="bg-BG"/>
        </w:rPr>
        <w:t xml:space="preserve"> сектор с 8 % от изпълнилите проекти по стратегиите</w:t>
      </w:r>
      <w:r w:rsidRPr="00BC513A">
        <w:rPr>
          <w:rStyle w:val="FootnoteReference"/>
          <w:rFonts w:cs="Arial"/>
          <w:sz w:val="22"/>
          <w:szCs w:val="22"/>
          <w:lang w:val="bg-BG"/>
        </w:rPr>
        <w:footnoteReference w:id="39"/>
      </w:r>
      <w:r w:rsidRPr="00BC513A">
        <w:rPr>
          <w:rFonts w:cs="Arial"/>
          <w:sz w:val="22"/>
          <w:szCs w:val="22"/>
          <w:lang w:val="bg-BG"/>
        </w:rPr>
        <w:t>.</w:t>
      </w:r>
    </w:p>
    <w:p w14:paraId="07B202F3" w14:textId="77777777" w:rsidR="00E8617E" w:rsidRPr="00BC513A" w:rsidRDefault="00E8617E" w:rsidP="00E8617E">
      <w:pPr>
        <w:tabs>
          <w:tab w:val="left" w:pos="993"/>
        </w:tabs>
        <w:autoSpaceDE w:val="0"/>
        <w:autoSpaceDN w:val="0"/>
        <w:spacing w:after="0" w:line="240" w:lineRule="auto"/>
        <w:contextualSpacing/>
        <w:jc w:val="both"/>
        <w:rPr>
          <w:rFonts w:ascii="Arial" w:hAnsi="Arial" w:cs="Arial"/>
        </w:rPr>
      </w:pPr>
      <w:r w:rsidRPr="00BC513A">
        <w:rPr>
          <w:rFonts w:ascii="Arial" w:hAnsi="Arial" w:cs="Arial"/>
        </w:rPr>
        <w:t xml:space="preserve">Общият брой бенефициенти, които са изпълнили проекти, администрирани от МИГ по мярка 41 към 31.12.2015 г възлиза на </w:t>
      </w:r>
      <w:r w:rsidR="003644F0" w:rsidRPr="002153B5">
        <w:rPr>
          <w:rFonts w:ascii="Arial" w:hAnsi="Arial" w:cs="Arial"/>
        </w:rPr>
        <w:t>997</w:t>
      </w:r>
      <w:r w:rsidRPr="00BC513A">
        <w:rPr>
          <w:rFonts w:ascii="Arial" w:hAnsi="Arial" w:cs="Arial"/>
        </w:rPr>
        <w:t xml:space="preserve"> бр. </w:t>
      </w:r>
    </w:p>
    <w:p w14:paraId="5327DFEB" w14:textId="77777777" w:rsidR="00E8617E" w:rsidRPr="00BC513A" w:rsidRDefault="00E8617E" w:rsidP="00E8617E">
      <w:pPr>
        <w:keepNext/>
        <w:tabs>
          <w:tab w:val="left" w:pos="993"/>
        </w:tabs>
        <w:autoSpaceDE w:val="0"/>
        <w:autoSpaceDN w:val="0"/>
        <w:spacing w:before="240" w:after="0" w:line="240" w:lineRule="auto"/>
        <w:jc w:val="both"/>
        <w:rPr>
          <w:rFonts w:ascii="Arial" w:hAnsi="Arial" w:cs="Arial"/>
          <w:sz w:val="20"/>
          <w:szCs w:val="20"/>
        </w:rPr>
      </w:pPr>
      <w:bookmarkStart w:id="191" w:name="_Toc504136255"/>
      <w:r w:rsidRPr="00BC513A">
        <w:rPr>
          <w:rFonts w:ascii="Arial" w:hAnsi="Arial" w:cs="Arial"/>
          <w:b/>
          <w:iCs/>
          <w:color w:val="0070C0"/>
          <w:sz w:val="20"/>
          <w:szCs w:val="20"/>
        </w:rPr>
        <w:t xml:space="preserve">Таблица </w:t>
      </w:r>
      <w:r w:rsidRPr="00BC513A">
        <w:rPr>
          <w:rFonts w:ascii="Arial" w:hAnsi="Arial" w:cs="Arial"/>
          <w:b/>
          <w:iCs/>
          <w:color w:val="0070C0"/>
          <w:sz w:val="20"/>
          <w:szCs w:val="20"/>
        </w:rPr>
        <w:fldChar w:fldCharType="begin"/>
      </w:r>
      <w:r w:rsidRPr="00BC513A">
        <w:rPr>
          <w:rFonts w:ascii="Arial" w:hAnsi="Arial" w:cs="Arial"/>
          <w:b/>
          <w:iCs/>
          <w:color w:val="0070C0"/>
          <w:sz w:val="20"/>
          <w:szCs w:val="20"/>
        </w:rPr>
        <w:instrText xml:space="preserve"> SEQ Таблица \* ARABIC </w:instrText>
      </w:r>
      <w:r w:rsidRPr="00BC513A">
        <w:rPr>
          <w:rFonts w:ascii="Arial" w:hAnsi="Arial" w:cs="Arial"/>
          <w:b/>
          <w:iCs/>
          <w:color w:val="0070C0"/>
          <w:sz w:val="20"/>
          <w:szCs w:val="20"/>
        </w:rPr>
        <w:fldChar w:fldCharType="separate"/>
      </w:r>
      <w:r w:rsidR="0023010D">
        <w:rPr>
          <w:rFonts w:ascii="Arial" w:hAnsi="Arial" w:cs="Arial"/>
          <w:b/>
          <w:iCs/>
          <w:noProof/>
          <w:color w:val="0070C0"/>
          <w:sz w:val="20"/>
          <w:szCs w:val="20"/>
        </w:rPr>
        <w:t>84</w:t>
      </w:r>
      <w:r w:rsidRPr="00BC513A">
        <w:rPr>
          <w:rFonts w:ascii="Arial" w:hAnsi="Arial" w:cs="Arial"/>
          <w:b/>
          <w:iCs/>
          <w:color w:val="0070C0"/>
          <w:sz w:val="20"/>
          <w:szCs w:val="20"/>
        </w:rPr>
        <w:fldChar w:fldCharType="end"/>
      </w:r>
      <w:r w:rsidRPr="00BC513A">
        <w:rPr>
          <w:rFonts w:ascii="Arial" w:hAnsi="Arial" w:cs="Arial"/>
          <w:b/>
          <w:iCs/>
          <w:color w:val="0070C0"/>
          <w:sz w:val="20"/>
          <w:szCs w:val="20"/>
        </w:rPr>
        <w:t>. Разпределение на бенефициентите по мерки</w:t>
      </w:r>
      <w:bookmarkEnd w:id="191"/>
    </w:p>
    <w:tbl>
      <w:tblPr>
        <w:tblStyle w:val="TableGrid"/>
        <w:tblW w:w="0" w:type="auto"/>
        <w:tblLook w:val="04A0" w:firstRow="1" w:lastRow="0" w:firstColumn="1" w:lastColumn="0" w:noHBand="0" w:noVBand="1"/>
      </w:tblPr>
      <w:tblGrid>
        <w:gridCol w:w="439"/>
        <w:gridCol w:w="1840"/>
        <w:gridCol w:w="5938"/>
        <w:gridCol w:w="765"/>
      </w:tblGrid>
      <w:tr w:rsidR="00E8617E" w:rsidRPr="00BC513A" w14:paraId="1568EB7C" w14:textId="77777777" w:rsidTr="00922731">
        <w:tc>
          <w:tcPr>
            <w:tcW w:w="439" w:type="dxa"/>
            <w:shd w:val="clear" w:color="auto" w:fill="1F4E79" w:themeFill="accent1" w:themeFillShade="80"/>
          </w:tcPr>
          <w:p w14:paraId="3BC62AB0" w14:textId="77777777" w:rsidR="00E8617E" w:rsidRPr="00BC513A" w:rsidRDefault="00E8617E" w:rsidP="00922731">
            <w:pPr>
              <w:keepNext/>
              <w:tabs>
                <w:tab w:val="left" w:pos="993"/>
              </w:tabs>
              <w:autoSpaceDE w:val="0"/>
              <w:autoSpaceDN w:val="0"/>
              <w:contextualSpacing/>
              <w:jc w:val="both"/>
              <w:rPr>
                <w:rFonts w:ascii="Arial" w:hAnsi="Arial" w:cs="Arial"/>
                <w:b/>
                <w:color w:val="FFFFFF" w:themeColor="background1"/>
                <w:sz w:val="20"/>
                <w:szCs w:val="20"/>
              </w:rPr>
            </w:pPr>
            <w:r w:rsidRPr="00BC513A">
              <w:rPr>
                <w:rFonts w:ascii="Arial" w:hAnsi="Arial" w:cs="Arial"/>
                <w:b/>
                <w:color w:val="FFFFFF" w:themeColor="background1"/>
                <w:sz w:val="20"/>
                <w:szCs w:val="20"/>
              </w:rPr>
              <w:t>№</w:t>
            </w:r>
          </w:p>
        </w:tc>
        <w:tc>
          <w:tcPr>
            <w:tcW w:w="1840" w:type="dxa"/>
            <w:shd w:val="clear" w:color="auto" w:fill="1F4E79" w:themeFill="accent1" w:themeFillShade="80"/>
          </w:tcPr>
          <w:p w14:paraId="3C60867E" w14:textId="77777777" w:rsidR="00E8617E" w:rsidRPr="00BC513A" w:rsidRDefault="00E8617E" w:rsidP="00922731">
            <w:pPr>
              <w:keepNext/>
              <w:tabs>
                <w:tab w:val="left" w:pos="993"/>
              </w:tabs>
              <w:autoSpaceDE w:val="0"/>
              <w:autoSpaceDN w:val="0"/>
              <w:contextualSpacing/>
              <w:jc w:val="both"/>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Ос </w:t>
            </w:r>
          </w:p>
        </w:tc>
        <w:tc>
          <w:tcPr>
            <w:tcW w:w="5938" w:type="dxa"/>
            <w:shd w:val="clear" w:color="auto" w:fill="1F4E79" w:themeFill="accent1" w:themeFillShade="80"/>
          </w:tcPr>
          <w:p w14:paraId="5E146078" w14:textId="77777777" w:rsidR="00E8617E" w:rsidRPr="00BC513A" w:rsidRDefault="00E8617E" w:rsidP="00922731">
            <w:pPr>
              <w:keepNext/>
              <w:tabs>
                <w:tab w:val="left" w:pos="993"/>
              </w:tabs>
              <w:autoSpaceDE w:val="0"/>
              <w:autoSpaceDN w:val="0"/>
              <w:contextualSpacing/>
              <w:jc w:val="both"/>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Мярка </w:t>
            </w:r>
          </w:p>
        </w:tc>
        <w:tc>
          <w:tcPr>
            <w:tcW w:w="765" w:type="dxa"/>
            <w:shd w:val="clear" w:color="auto" w:fill="1F4E79" w:themeFill="accent1" w:themeFillShade="80"/>
          </w:tcPr>
          <w:p w14:paraId="4EC5CD7C" w14:textId="77777777" w:rsidR="00E8617E" w:rsidRPr="00BC513A" w:rsidRDefault="00E8617E" w:rsidP="00922731">
            <w:pPr>
              <w:keepNext/>
              <w:tabs>
                <w:tab w:val="left" w:pos="993"/>
              </w:tabs>
              <w:autoSpaceDE w:val="0"/>
              <w:autoSpaceDN w:val="0"/>
              <w:contextualSpacing/>
              <w:jc w:val="both"/>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Брой </w:t>
            </w:r>
          </w:p>
        </w:tc>
      </w:tr>
      <w:tr w:rsidR="00E8617E" w:rsidRPr="00BC513A" w14:paraId="7A824B8E" w14:textId="77777777" w:rsidTr="00922731">
        <w:tc>
          <w:tcPr>
            <w:tcW w:w="439" w:type="dxa"/>
            <w:shd w:val="clear" w:color="auto" w:fill="E2EFD9" w:themeFill="accent6" w:themeFillTint="33"/>
          </w:tcPr>
          <w:p w14:paraId="751EBAED"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w:t>
            </w:r>
          </w:p>
        </w:tc>
        <w:tc>
          <w:tcPr>
            <w:tcW w:w="1840" w:type="dxa"/>
            <w:vMerge w:val="restart"/>
            <w:shd w:val="clear" w:color="auto" w:fill="E2EFD9" w:themeFill="accent6" w:themeFillTint="33"/>
            <w:vAlign w:val="center"/>
          </w:tcPr>
          <w:p w14:paraId="36F60FD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Ос 1 „Подобряване на  в земеделския и горския сектор“</w:t>
            </w:r>
          </w:p>
        </w:tc>
        <w:tc>
          <w:tcPr>
            <w:tcW w:w="5938" w:type="dxa"/>
            <w:shd w:val="clear" w:color="auto" w:fill="E2EFD9" w:themeFill="accent6" w:themeFillTint="33"/>
          </w:tcPr>
          <w:p w14:paraId="18CB24D8"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Мярка 111 „Обучение, информационни дейности и разпространяване на научни знания“</w:t>
            </w:r>
          </w:p>
        </w:tc>
        <w:tc>
          <w:tcPr>
            <w:tcW w:w="765" w:type="dxa"/>
            <w:shd w:val="clear" w:color="auto" w:fill="E2EFD9" w:themeFill="accent6" w:themeFillTint="33"/>
          </w:tcPr>
          <w:p w14:paraId="4451359B"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13</w:t>
            </w:r>
          </w:p>
        </w:tc>
      </w:tr>
      <w:tr w:rsidR="00E8617E" w:rsidRPr="00BC513A" w14:paraId="461E4775" w14:textId="77777777" w:rsidTr="00922731">
        <w:tc>
          <w:tcPr>
            <w:tcW w:w="439" w:type="dxa"/>
            <w:shd w:val="clear" w:color="auto" w:fill="E2EFD9" w:themeFill="accent6" w:themeFillTint="33"/>
          </w:tcPr>
          <w:p w14:paraId="73997507"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2</w:t>
            </w:r>
          </w:p>
        </w:tc>
        <w:tc>
          <w:tcPr>
            <w:tcW w:w="1840" w:type="dxa"/>
            <w:vMerge/>
            <w:shd w:val="clear" w:color="auto" w:fill="E2EFD9" w:themeFill="accent6" w:themeFillTint="33"/>
            <w:vAlign w:val="center"/>
          </w:tcPr>
          <w:p w14:paraId="612B83DA" w14:textId="77777777" w:rsidR="00E8617E" w:rsidRPr="00BC513A" w:rsidRDefault="00E8617E" w:rsidP="00922731">
            <w:pPr>
              <w:tabs>
                <w:tab w:val="left" w:pos="993"/>
              </w:tabs>
              <w:autoSpaceDE w:val="0"/>
              <w:autoSpaceDN w:val="0"/>
              <w:contextualSpacing/>
              <w:jc w:val="center"/>
              <w:rPr>
                <w:rFonts w:ascii="Arial" w:hAnsi="Arial" w:cs="Arial"/>
                <w:sz w:val="20"/>
                <w:szCs w:val="20"/>
              </w:rPr>
            </w:pPr>
          </w:p>
        </w:tc>
        <w:tc>
          <w:tcPr>
            <w:tcW w:w="5938" w:type="dxa"/>
            <w:shd w:val="clear" w:color="auto" w:fill="E2EFD9" w:themeFill="accent6" w:themeFillTint="33"/>
          </w:tcPr>
          <w:p w14:paraId="5D6E3B34"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Мярка 121 “Модернизиране на земеделските стопанства“</w:t>
            </w:r>
          </w:p>
        </w:tc>
        <w:tc>
          <w:tcPr>
            <w:tcW w:w="765" w:type="dxa"/>
            <w:shd w:val="clear" w:color="auto" w:fill="E2EFD9" w:themeFill="accent6" w:themeFillTint="33"/>
          </w:tcPr>
          <w:p w14:paraId="68E22124"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307</w:t>
            </w:r>
          </w:p>
        </w:tc>
      </w:tr>
      <w:tr w:rsidR="00E8617E" w:rsidRPr="00BC513A" w14:paraId="6D984127" w14:textId="77777777" w:rsidTr="00922731">
        <w:tc>
          <w:tcPr>
            <w:tcW w:w="439" w:type="dxa"/>
            <w:shd w:val="clear" w:color="auto" w:fill="E2EFD9" w:themeFill="accent6" w:themeFillTint="33"/>
          </w:tcPr>
          <w:p w14:paraId="12A82421"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3</w:t>
            </w:r>
          </w:p>
        </w:tc>
        <w:tc>
          <w:tcPr>
            <w:tcW w:w="1840" w:type="dxa"/>
            <w:vMerge/>
            <w:shd w:val="clear" w:color="auto" w:fill="E2EFD9" w:themeFill="accent6" w:themeFillTint="33"/>
            <w:vAlign w:val="center"/>
          </w:tcPr>
          <w:p w14:paraId="577ECA8C" w14:textId="77777777" w:rsidR="00E8617E" w:rsidRPr="00BC513A" w:rsidRDefault="00E8617E" w:rsidP="00922731">
            <w:pPr>
              <w:tabs>
                <w:tab w:val="left" w:pos="993"/>
              </w:tabs>
              <w:autoSpaceDE w:val="0"/>
              <w:autoSpaceDN w:val="0"/>
              <w:contextualSpacing/>
              <w:jc w:val="center"/>
              <w:rPr>
                <w:rFonts w:ascii="Arial" w:hAnsi="Arial" w:cs="Arial"/>
                <w:sz w:val="20"/>
                <w:szCs w:val="20"/>
              </w:rPr>
            </w:pPr>
          </w:p>
        </w:tc>
        <w:tc>
          <w:tcPr>
            <w:tcW w:w="5938" w:type="dxa"/>
            <w:shd w:val="clear" w:color="auto" w:fill="E2EFD9" w:themeFill="accent6" w:themeFillTint="33"/>
          </w:tcPr>
          <w:p w14:paraId="362D3E6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Мярка 123 „Добавяне на стойност към земеделски и горски продукти“</w:t>
            </w:r>
          </w:p>
        </w:tc>
        <w:tc>
          <w:tcPr>
            <w:tcW w:w="765" w:type="dxa"/>
            <w:shd w:val="clear" w:color="auto" w:fill="E2EFD9" w:themeFill="accent6" w:themeFillTint="33"/>
          </w:tcPr>
          <w:p w14:paraId="00C05562"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41</w:t>
            </w:r>
          </w:p>
        </w:tc>
      </w:tr>
      <w:tr w:rsidR="00E8617E" w:rsidRPr="00BC513A" w14:paraId="768A09AB" w14:textId="77777777" w:rsidTr="00922731">
        <w:tc>
          <w:tcPr>
            <w:tcW w:w="439" w:type="dxa"/>
            <w:shd w:val="clear" w:color="auto" w:fill="DEEAF6" w:themeFill="accent1" w:themeFillTint="33"/>
          </w:tcPr>
          <w:p w14:paraId="050869FC"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4</w:t>
            </w:r>
          </w:p>
        </w:tc>
        <w:tc>
          <w:tcPr>
            <w:tcW w:w="1840" w:type="dxa"/>
            <w:vMerge w:val="restart"/>
            <w:shd w:val="clear" w:color="auto" w:fill="DEEAF6" w:themeFill="accent1" w:themeFillTint="33"/>
            <w:vAlign w:val="center"/>
          </w:tcPr>
          <w:p w14:paraId="2ED6AE75"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Ос 2 „Подобряване на околната среда и природата“</w:t>
            </w:r>
          </w:p>
        </w:tc>
        <w:tc>
          <w:tcPr>
            <w:tcW w:w="5938" w:type="dxa"/>
            <w:shd w:val="clear" w:color="auto" w:fill="DEEAF6" w:themeFill="accent1" w:themeFillTint="33"/>
          </w:tcPr>
          <w:p w14:paraId="7CEF8409" w14:textId="77777777" w:rsidR="00E8617E" w:rsidRPr="00BC513A" w:rsidRDefault="00E8617E" w:rsidP="00922731">
            <w:pPr>
              <w:pStyle w:val="ListParagraph"/>
              <w:ind w:left="0" w:firstLine="426"/>
              <w:contextualSpacing w:val="0"/>
              <w:jc w:val="center"/>
              <w:rPr>
                <w:rFonts w:ascii="Arial" w:hAnsi="Arial" w:cs="Arial"/>
                <w:sz w:val="20"/>
                <w:szCs w:val="20"/>
              </w:rPr>
            </w:pPr>
            <w:r w:rsidRPr="00BC513A">
              <w:rPr>
                <w:rFonts w:ascii="Arial" w:hAnsi="Arial" w:cs="Arial"/>
                <w:sz w:val="20"/>
                <w:szCs w:val="20"/>
              </w:rPr>
              <w:t>Мярка 223 „Първоначално залесяване на неземеделски земи“</w:t>
            </w:r>
          </w:p>
        </w:tc>
        <w:tc>
          <w:tcPr>
            <w:tcW w:w="765" w:type="dxa"/>
            <w:shd w:val="clear" w:color="auto" w:fill="DEEAF6" w:themeFill="accent1" w:themeFillTint="33"/>
          </w:tcPr>
          <w:p w14:paraId="0BA93CB1"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5</w:t>
            </w:r>
          </w:p>
        </w:tc>
      </w:tr>
      <w:tr w:rsidR="00E8617E" w:rsidRPr="00BC513A" w14:paraId="2701A9C7" w14:textId="77777777" w:rsidTr="00922731">
        <w:tc>
          <w:tcPr>
            <w:tcW w:w="439" w:type="dxa"/>
            <w:shd w:val="clear" w:color="auto" w:fill="DEEAF6" w:themeFill="accent1" w:themeFillTint="33"/>
          </w:tcPr>
          <w:p w14:paraId="28A1EE3E"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5</w:t>
            </w:r>
          </w:p>
        </w:tc>
        <w:tc>
          <w:tcPr>
            <w:tcW w:w="1840" w:type="dxa"/>
            <w:vMerge/>
            <w:shd w:val="clear" w:color="auto" w:fill="DEEAF6" w:themeFill="accent1" w:themeFillTint="33"/>
            <w:vAlign w:val="center"/>
          </w:tcPr>
          <w:p w14:paraId="673D8395" w14:textId="77777777" w:rsidR="00E8617E" w:rsidRPr="00BC513A" w:rsidRDefault="00E8617E" w:rsidP="00922731">
            <w:pPr>
              <w:jc w:val="center"/>
              <w:rPr>
                <w:rFonts w:ascii="Arial" w:hAnsi="Arial" w:cs="Arial"/>
                <w:sz w:val="20"/>
                <w:szCs w:val="20"/>
              </w:rPr>
            </w:pPr>
          </w:p>
        </w:tc>
        <w:tc>
          <w:tcPr>
            <w:tcW w:w="5938" w:type="dxa"/>
            <w:shd w:val="clear" w:color="auto" w:fill="DEEAF6" w:themeFill="accent1" w:themeFillTint="33"/>
          </w:tcPr>
          <w:p w14:paraId="3DEDDAC6" w14:textId="77777777" w:rsidR="00E8617E" w:rsidRPr="00BC513A" w:rsidRDefault="00E8617E" w:rsidP="00922731">
            <w:pPr>
              <w:pStyle w:val="ListParagraph"/>
              <w:ind w:left="0" w:firstLine="426"/>
              <w:contextualSpacing w:val="0"/>
              <w:jc w:val="center"/>
              <w:rPr>
                <w:rFonts w:ascii="Arial" w:hAnsi="Arial" w:cs="Arial"/>
                <w:sz w:val="20"/>
                <w:szCs w:val="20"/>
              </w:rPr>
            </w:pPr>
            <w:r w:rsidRPr="00BC513A">
              <w:rPr>
                <w:rFonts w:ascii="Arial" w:hAnsi="Arial" w:cs="Arial"/>
                <w:sz w:val="20"/>
                <w:szCs w:val="20"/>
              </w:rPr>
              <w:t>Мярка 226 „Възстановяване на горския потенциал и въвеждане на превантивни дейности“</w:t>
            </w:r>
          </w:p>
        </w:tc>
        <w:tc>
          <w:tcPr>
            <w:tcW w:w="765" w:type="dxa"/>
            <w:shd w:val="clear" w:color="auto" w:fill="DEEAF6" w:themeFill="accent1" w:themeFillTint="33"/>
          </w:tcPr>
          <w:p w14:paraId="68EEAA21"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12</w:t>
            </w:r>
          </w:p>
        </w:tc>
      </w:tr>
      <w:tr w:rsidR="00E8617E" w:rsidRPr="00BC513A" w14:paraId="550B6E5F" w14:textId="77777777" w:rsidTr="00922731">
        <w:tc>
          <w:tcPr>
            <w:tcW w:w="439" w:type="dxa"/>
            <w:shd w:val="clear" w:color="auto" w:fill="EDEDED" w:themeFill="accent3" w:themeFillTint="33"/>
          </w:tcPr>
          <w:p w14:paraId="05DAFF74"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6</w:t>
            </w:r>
          </w:p>
        </w:tc>
        <w:tc>
          <w:tcPr>
            <w:tcW w:w="1840" w:type="dxa"/>
            <w:vMerge w:val="restart"/>
            <w:shd w:val="clear" w:color="auto" w:fill="EDEDED" w:themeFill="accent3" w:themeFillTint="33"/>
            <w:vAlign w:val="center"/>
          </w:tcPr>
          <w:p w14:paraId="3D86B58B" w14:textId="77777777" w:rsidR="00E8617E" w:rsidRPr="00BC513A" w:rsidRDefault="00E8617E" w:rsidP="00922731">
            <w:pPr>
              <w:jc w:val="center"/>
              <w:rPr>
                <w:rFonts w:ascii="Arial" w:hAnsi="Arial" w:cs="Arial"/>
                <w:sz w:val="20"/>
                <w:szCs w:val="20"/>
              </w:rPr>
            </w:pPr>
            <w:r w:rsidRPr="00BC513A">
              <w:rPr>
                <w:rFonts w:ascii="Arial" w:hAnsi="Arial" w:cs="Arial"/>
                <w:sz w:val="20"/>
                <w:szCs w:val="20"/>
              </w:rPr>
              <w:t>Ос 3 „Качество на живот в селските райони и разнообразяване на селската икономика“</w:t>
            </w:r>
          </w:p>
        </w:tc>
        <w:tc>
          <w:tcPr>
            <w:tcW w:w="5938" w:type="dxa"/>
            <w:shd w:val="clear" w:color="auto" w:fill="EDEDED" w:themeFill="accent3" w:themeFillTint="33"/>
          </w:tcPr>
          <w:p w14:paraId="73EF7C5F" w14:textId="77777777" w:rsidR="00E8617E" w:rsidRPr="00BC513A" w:rsidRDefault="00E8617E" w:rsidP="00922731">
            <w:pPr>
              <w:pStyle w:val="ListParagraph"/>
              <w:ind w:left="0"/>
              <w:contextualSpacing w:val="0"/>
              <w:jc w:val="center"/>
              <w:rPr>
                <w:rFonts w:ascii="Arial" w:hAnsi="Arial" w:cs="Arial"/>
                <w:sz w:val="20"/>
                <w:szCs w:val="20"/>
              </w:rPr>
            </w:pPr>
            <w:r w:rsidRPr="00BC513A">
              <w:rPr>
                <w:rFonts w:ascii="Arial" w:hAnsi="Arial" w:cs="Arial"/>
                <w:sz w:val="20"/>
                <w:szCs w:val="20"/>
              </w:rPr>
              <w:t>Мярка 311 „Разнообразяване към неземеделски дейности“</w:t>
            </w:r>
          </w:p>
        </w:tc>
        <w:tc>
          <w:tcPr>
            <w:tcW w:w="765" w:type="dxa"/>
            <w:shd w:val="clear" w:color="auto" w:fill="EDEDED" w:themeFill="accent3" w:themeFillTint="33"/>
          </w:tcPr>
          <w:p w14:paraId="45833169"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60</w:t>
            </w:r>
          </w:p>
        </w:tc>
      </w:tr>
      <w:tr w:rsidR="00E8617E" w:rsidRPr="00BC513A" w14:paraId="35976215" w14:textId="77777777" w:rsidTr="00922731">
        <w:tc>
          <w:tcPr>
            <w:tcW w:w="439" w:type="dxa"/>
            <w:shd w:val="clear" w:color="auto" w:fill="EDEDED" w:themeFill="accent3" w:themeFillTint="33"/>
          </w:tcPr>
          <w:p w14:paraId="32961B90"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7</w:t>
            </w:r>
          </w:p>
        </w:tc>
        <w:tc>
          <w:tcPr>
            <w:tcW w:w="1840" w:type="dxa"/>
            <w:vMerge/>
            <w:shd w:val="clear" w:color="auto" w:fill="EDEDED" w:themeFill="accent3" w:themeFillTint="33"/>
          </w:tcPr>
          <w:p w14:paraId="43AC301D"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5938" w:type="dxa"/>
            <w:shd w:val="clear" w:color="auto" w:fill="EDEDED" w:themeFill="accent3" w:themeFillTint="33"/>
          </w:tcPr>
          <w:p w14:paraId="3FBEA958" w14:textId="77777777" w:rsidR="00E8617E" w:rsidRPr="00BC513A" w:rsidRDefault="00E8617E" w:rsidP="00922731">
            <w:pPr>
              <w:pStyle w:val="ListParagraph"/>
              <w:ind w:left="0"/>
              <w:contextualSpacing w:val="0"/>
              <w:jc w:val="center"/>
              <w:rPr>
                <w:rFonts w:ascii="Arial" w:hAnsi="Arial" w:cs="Arial"/>
                <w:sz w:val="20"/>
                <w:szCs w:val="20"/>
              </w:rPr>
            </w:pPr>
            <w:r w:rsidRPr="00BC513A">
              <w:rPr>
                <w:rFonts w:ascii="Arial" w:hAnsi="Arial" w:cs="Arial"/>
                <w:sz w:val="20"/>
                <w:szCs w:val="20"/>
              </w:rPr>
              <w:t>Мярка 312 „Подкрепа за създаване и развитие на микропредприятия“</w:t>
            </w:r>
          </w:p>
        </w:tc>
        <w:tc>
          <w:tcPr>
            <w:tcW w:w="765" w:type="dxa"/>
            <w:shd w:val="clear" w:color="auto" w:fill="EDEDED" w:themeFill="accent3" w:themeFillTint="33"/>
          </w:tcPr>
          <w:p w14:paraId="10736286"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291</w:t>
            </w:r>
          </w:p>
        </w:tc>
      </w:tr>
      <w:tr w:rsidR="00E8617E" w:rsidRPr="00BC513A" w14:paraId="3D60F121" w14:textId="77777777" w:rsidTr="00922731">
        <w:tc>
          <w:tcPr>
            <w:tcW w:w="439" w:type="dxa"/>
            <w:shd w:val="clear" w:color="auto" w:fill="EDEDED" w:themeFill="accent3" w:themeFillTint="33"/>
          </w:tcPr>
          <w:p w14:paraId="0B9A8A56"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8</w:t>
            </w:r>
          </w:p>
        </w:tc>
        <w:tc>
          <w:tcPr>
            <w:tcW w:w="1840" w:type="dxa"/>
            <w:vMerge/>
            <w:shd w:val="clear" w:color="auto" w:fill="EDEDED" w:themeFill="accent3" w:themeFillTint="33"/>
          </w:tcPr>
          <w:p w14:paraId="42B9BC64"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5938" w:type="dxa"/>
            <w:shd w:val="clear" w:color="auto" w:fill="EDEDED" w:themeFill="accent3" w:themeFillTint="33"/>
          </w:tcPr>
          <w:p w14:paraId="6A7D162D" w14:textId="77777777" w:rsidR="00E8617E" w:rsidRPr="00BC513A" w:rsidRDefault="00E8617E" w:rsidP="00922731">
            <w:pPr>
              <w:tabs>
                <w:tab w:val="num" w:pos="0"/>
              </w:tabs>
              <w:jc w:val="center"/>
              <w:rPr>
                <w:rFonts w:ascii="Arial" w:hAnsi="Arial" w:cs="Arial"/>
                <w:sz w:val="20"/>
                <w:szCs w:val="20"/>
              </w:rPr>
            </w:pPr>
            <w:r w:rsidRPr="00BC513A">
              <w:rPr>
                <w:rFonts w:ascii="Arial" w:hAnsi="Arial" w:cs="Arial"/>
                <w:sz w:val="20"/>
                <w:szCs w:val="20"/>
              </w:rPr>
              <w:t>Мярка 313 „Насърчаване на туристическите дейности“</w:t>
            </w:r>
          </w:p>
        </w:tc>
        <w:tc>
          <w:tcPr>
            <w:tcW w:w="765" w:type="dxa"/>
            <w:shd w:val="clear" w:color="auto" w:fill="EDEDED" w:themeFill="accent3" w:themeFillTint="33"/>
          </w:tcPr>
          <w:p w14:paraId="5BC8B1FC"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40</w:t>
            </w:r>
          </w:p>
        </w:tc>
      </w:tr>
      <w:tr w:rsidR="00E8617E" w:rsidRPr="00BC513A" w14:paraId="42732C3D" w14:textId="77777777" w:rsidTr="00922731">
        <w:tc>
          <w:tcPr>
            <w:tcW w:w="439" w:type="dxa"/>
            <w:shd w:val="clear" w:color="auto" w:fill="EDEDED" w:themeFill="accent3" w:themeFillTint="33"/>
          </w:tcPr>
          <w:p w14:paraId="4B0F5DFF"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9</w:t>
            </w:r>
          </w:p>
        </w:tc>
        <w:tc>
          <w:tcPr>
            <w:tcW w:w="1840" w:type="dxa"/>
            <w:vMerge/>
            <w:shd w:val="clear" w:color="auto" w:fill="EDEDED" w:themeFill="accent3" w:themeFillTint="33"/>
          </w:tcPr>
          <w:p w14:paraId="2795E5C4"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5938" w:type="dxa"/>
            <w:shd w:val="clear" w:color="auto" w:fill="EDEDED" w:themeFill="accent3" w:themeFillTint="33"/>
          </w:tcPr>
          <w:p w14:paraId="3C9C59C9" w14:textId="77777777" w:rsidR="00E8617E" w:rsidRPr="00BC513A" w:rsidRDefault="00E8617E" w:rsidP="00922731">
            <w:pPr>
              <w:tabs>
                <w:tab w:val="num" w:pos="0"/>
              </w:tabs>
              <w:jc w:val="center"/>
              <w:rPr>
                <w:rFonts w:ascii="Arial" w:hAnsi="Arial" w:cs="Arial"/>
                <w:sz w:val="20"/>
                <w:szCs w:val="20"/>
              </w:rPr>
            </w:pPr>
            <w:r w:rsidRPr="00BC513A">
              <w:rPr>
                <w:rFonts w:ascii="Arial" w:hAnsi="Arial" w:cs="Arial"/>
                <w:sz w:val="20"/>
                <w:szCs w:val="20"/>
              </w:rPr>
              <w:t>Мярка 321 „Основни услуги за населението и икономиката в селските райони“</w:t>
            </w:r>
          </w:p>
        </w:tc>
        <w:tc>
          <w:tcPr>
            <w:tcW w:w="765" w:type="dxa"/>
            <w:shd w:val="clear" w:color="auto" w:fill="EDEDED" w:themeFill="accent3" w:themeFillTint="33"/>
          </w:tcPr>
          <w:p w14:paraId="552D35BB"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75</w:t>
            </w:r>
          </w:p>
        </w:tc>
      </w:tr>
      <w:tr w:rsidR="00E8617E" w:rsidRPr="00BC513A" w14:paraId="3FB4B0FF" w14:textId="77777777" w:rsidTr="00922731">
        <w:tc>
          <w:tcPr>
            <w:tcW w:w="439" w:type="dxa"/>
            <w:shd w:val="clear" w:color="auto" w:fill="EDEDED" w:themeFill="accent3" w:themeFillTint="33"/>
          </w:tcPr>
          <w:p w14:paraId="5774E9D0"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10</w:t>
            </w:r>
          </w:p>
        </w:tc>
        <w:tc>
          <w:tcPr>
            <w:tcW w:w="1840" w:type="dxa"/>
            <w:vMerge/>
            <w:shd w:val="clear" w:color="auto" w:fill="EDEDED" w:themeFill="accent3" w:themeFillTint="33"/>
          </w:tcPr>
          <w:p w14:paraId="3B3ABF9B"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5938" w:type="dxa"/>
            <w:shd w:val="clear" w:color="auto" w:fill="EDEDED" w:themeFill="accent3" w:themeFillTint="33"/>
          </w:tcPr>
          <w:p w14:paraId="57D57E7D" w14:textId="77777777" w:rsidR="00E8617E" w:rsidRPr="00BC513A" w:rsidRDefault="00E8617E" w:rsidP="00922731">
            <w:pPr>
              <w:tabs>
                <w:tab w:val="num" w:pos="0"/>
              </w:tabs>
              <w:jc w:val="center"/>
              <w:rPr>
                <w:rFonts w:ascii="Arial" w:hAnsi="Arial" w:cs="Arial"/>
                <w:sz w:val="20"/>
                <w:szCs w:val="20"/>
              </w:rPr>
            </w:pPr>
            <w:r w:rsidRPr="00BC513A">
              <w:rPr>
                <w:rFonts w:ascii="Arial" w:hAnsi="Arial" w:cs="Arial"/>
                <w:sz w:val="20"/>
                <w:szCs w:val="20"/>
              </w:rPr>
              <w:t>Мярка 322 „Обновяване и развитие на населените места“</w:t>
            </w:r>
          </w:p>
        </w:tc>
        <w:tc>
          <w:tcPr>
            <w:tcW w:w="765" w:type="dxa"/>
            <w:shd w:val="clear" w:color="auto" w:fill="EDEDED" w:themeFill="accent3" w:themeFillTint="33"/>
          </w:tcPr>
          <w:p w14:paraId="346271CE"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56</w:t>
            </w:r>
          </w:p>
        </w:tc>
      </w:tr>
      <w:tr w:rsidR="00E8617E" w:rsidRPr="00BC513A" w14:paraId="5337DFFC" w14:textId="77777777" w:rsidTr="00922731">
        <w:tc>
          <w:tcPr>
            <w:tcW w:w="439" w:type="dxa"/>
            <w:shd w:val="clear" w:color="auto" w:fill="EDEDED" w:themeFill="accent3" w:themeFillTint="33"/>
          </w:tcPr>
          <w:p w14:paraId="11F6F337"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11</w:t>
            </w:r>
          </w:p>
        </w:tc>
        <w:tc>
          <w:tcPr>
            <w:tcW w:w="1840" w:type="dxa"/>
            <w:vMerge/>
            <w:shd w:val="clear" w:color="auto" w:fill="EDEDED" w:themeFill="accent3" w:themeFillTint="33"/>
          </w:tcPr>
          <w:p w14:paraId="49DD50E2"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5938" w:type="dxa"/>
            <w:shd w:val="clear" w:color="auto" w:fill="EDEDED" w:themeFill="accent3" w:themeFillTint="33"/>
          </w:tcPr>
          <w:p w14:paraId="4A74C804" w14:textId="77777777" w:rsidR="00E8617E" w:rsidRPr="00BC513A" w:rsidRDefault="00E8617E" w:rsidP="00922731">
            <w:pPr>
              <w:tabs>
                <w:tab w:val="left" w:pos="993"/>
              </w:tabs>
              <w:autoSpaceDE w:val="0"/>
              <w:autoSpaceDN w:val="0"/>
              <w:jc w:val="center"/>
              <w:rPr>
                <w:rFonts w:ascii="Arial" w:hAnsi="Arial" w:cs="Arial"/>
                <w:sz w:val="20"/>
                <w:szCs w:val="20"/>
              </w:rPr>
            </w:pPr>
            <w:r w:rsidRPr="00BC513A">
              <w:rPr>
                <w:rFonts w:ascii="Arial" w:hAnsi="Arial" w:cs="Arial"/>
                <w:sz w:val="20"/>
                <w:szCs w:val="20"/>
              </w:rPr>
              <w:t>Мярка 323 „Опазване и подобряване на селското наследство“</w:t>
            </w:r>
          </w:p>
        </w:tc>
        <w:tc>
          <w:tcPr>
            <w:tcW w:w="765" w:type="dxa"/>
            <w:shd w:val="clear" w:color="auto" w:fill="EDEDED" w:themeFill="accent3" w:themeFillTint="33"/>
          </w:tcPr>
          <w:p w14:paraId="7D2A1A17"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75</w:t>
            </w:r>
          </w:p>
        </w:tc>
      </w:tr>
      <w:tr w:rsidR="00E8617E" w:rsidRPr="00BC513A" w14:paraId="690C2EB4" w14:textId="77777777" w:rsidTr="00922731">
        <w:tc>
          <w:tcPr>
            <w:tcW w:w="439" w:type="dxa"/>
            <w:shd w:val="clear" w:color="auto" w:fill="EDEDED" w:themeFill="accent3" w:themeFillTint="33"/>
          </w:tcPr>
          <w:p w14:paraId="2198BBA9"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12</w:t>
            </w:r>
          </w:p>
        </w:tc>
        <w:tc>
          <w:tcPr>
            <w:tcW w:w="1840" w:type="dxa"/>
            <w:vMerge/>
            <w:shd w:val="clear" w:color="auto" w:fill="EDEDED" w:themeFill="accent3" w:themeFillTint="33"/>
          </w:tcPr>
          <w:p w14:paraId="7B64188F"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5938" w:type="dxa"/>
            <w:shd w:val="clear" w:color="auto" w:fill="EDEDED" w:themeFill="accent3" w:themeFillTint="33"/>
          </w:tcPr>
          <w:p w14:paraId="4A0F21CE" w14:textId="77777777" w:rsidR="00E8617E" w:rsidRPr="00BC513A" w:rsidRDefault="00E8617E" w:rsidP="00922731">
            <w:pPr>
              <w:tabs>
                <w:tab w:val="left" w:pos="993"/>
              </w:tabs>
              <w:autoSpaceDE w:val="0"/>
              <w:autoSpaceDN w:val="0"/>
              <w:jc w:val="center"/>
              <w:rPr>
                <w:rFonts w:ascii="Arial" w:hAnsi="Arial" w:cs="Arial"/>
                <w:sz w:val="20"/>
                <w:szCs w:val="20"/>
              </w:rPr>
            </w:pPr>
            <w:r w:rsidRPr="00BC513A">
              <w:rPr>
                <w:rFonts w:ascii="Arial" w:hAnsi="Arial" w:cs="Arial"/>
                <w:sz w:val="20"/>
                <w:szCs w:val="20"/>
              </w:rPr>
              <w:t>Мярка 331 „Професионално обучение и предоставяне информация за икономическите субекти, които работят в областите обхванати от ос 3“</w:t>
            </w:r>
          </w:p>
        </w:tc>
        <w:tc>
          <w:tcPr>
            <w:tcW w:w="765" w:type="dxa"/>
            <w:shd w:val="clear" w:color="auto" w:fill="EDEDED" w:themeFill="accent3" w:themeFillTint="33"/>
          </w:tcPr>
          <w:p w14:paraId="4190BF6A"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11</w:t>
            </w:r>
          </w:p>
        </w:tc>
      </w:tr>
      <w:tr w:rsidR="00E8617E" w:rsidRPr="00BC513A" w14:paraId="65FBEA38" w14:textId="77777777" w:rsidTr="00922731">
        <w:tc>
          <w:tcPr>
            <w:tcW w:w="439" w:type="dxa"/>
            <w:shd w:val="clear" w:color="auto" w:fill="EDEDED" w:themeFill="accent3" w:themeFillTint="33"/>
          </w:tcPr>
          <w:p w14:paraId="1368B07F"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13</w:t>
            </w:r>
          </w:p>
        </w:tc>
        <w:tc>
          <w:tcPr>
            <w:tcW w:w="1840" w:type="dxa"/>
            <w:vMerge/>
            <w:shd w:val="clear" w:color="auto" w:fill="EDEDED" w:themeFill="accent3" w:themeFillTint="33"/>
          </w:tcPr>
          <w:p w14:paraId="3247AA57"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5938" w:type="dxa"/>
            <w:shd w:val="clear" w:color="auto" w:fill="EDEDED" w:themeFill="accent3" w:themeFillTint="33"/>
          </w:tcPr>
          <w:p w14:paraId="025E99E9" w14:textId="77777777" w:rsidR="00E8617E" w:rsidRPr="00BC513A" w:rsidRDefault="00E8617E" w:rsidP="00922731">
            <w:pPr>
              <w:tabs>
                <w:tab w:val="left" w:pos="993"/>
              </w:tabs>
              <w:autoSpaceDE w:val="0"/>
              <w:autoSpaceDN w:val="0"/>
              <w:jc w:val="both"/>
              <w:rPr>
                <w:rFonts w:ascii="Arial" w:hAnsi="Arial" w:cs="Arial"/>
                <w:sz w:val="20"/>
                <w:szCs w:val="20"/>
              </w:rPr>
            </w:pPr>
            <w:r w:rsidRPr="00BC513A">
              <w:rPr>
                <w:rFonts w:ascii="Arial" w:hAnsi="Arial" w:cs="Arial"/>
                <w:sz w:val="20"/>
                <w:szCs w:val="20"/>
              </w:rPr>
              <w:t>Мярка 7.1 „Напред към наследството – територията Исперих ни обединява“</w:t>
            </w:r>
          </w:p>
        </w:tc>
        <w:tc>
          <w:tcPr>
            <w:tcW w:w="765" w:type="dxa"/>
            <w:shd w:val="clear" w:color="auto" w:fill="EDEDED" w:themeFill="accent3" w:themeFillTint="33"/>
          </w:tcPr>
          <w:p w14:paraId="02432C02"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11</w:t>
            </w:r>
          </w:p>
        </w:tc>
      </w:tr>
    </w:tbl>
    <w:p w14:paraId="0C555E9A" w14:textId="77777777" w:rsidR="00E8617E" w:rsidRPr="00F07F15" w:rsidRDefault="00E8617E" w:rsidP="00E8617E">
      <w:pPr>
        <w:tabs>
          <w:tab w:val="left" w:pos="993"/>
        </w:tabs>
        <w:autoSpaceDE w:val="0"/>
        <w:autoSpaceDN w:val="0"/>
        <w:spacing w:after="0" w:line="240" w:lineRule="auto"/>
        <w:contextualSpacing/>
        <w:jc w:val="both"/>
        <w:rPr>
          <w:rFonts w:ascii="Arial" w:hAnsi="Arial" w:cs="Arial"/>
          <w:sz w:val="18"/>
          <w:szCs w:val="18"/>
        </w:rPr>
      </w:pPr>
      <w:r w:rsidRPr="00F07F15">
        <w:rPr>
          <w:rFonts w:ascii="Arial" w:hAnsi="Arial" w:cs="Arial"/>
          <w:sz w:val="18"/>
          <w:szCs w:val="18"/>
        </w:rPr>
        <w:t>Източник: Собствени изчисления по данни, предоставени от ДФЗ</w:t>
      </w:r>
    </w:p>
    <w:p w14:paraId="421AFA3C" w14:textId="77777777" w:rsidR="00E8617E" w:rsidRPr="00BC513A" w:rsidRDefault="00E8617E" w:rsidP="00E8617E">
      <w:pPr>
        <w:tabs>
          <w:tab w:val="left" w:pos="993"/>
        </w:tabs>
        <w:autoSpaceDE w:val="0"/>
        <w:autoSpaceDN w:val="0"/>
        <w:spacing w:after="0" w:line="240" w:lineRule="auto"/>
        <w:contextualSpacing/>
        <w:jc w:val="both"/>
        <w:rPr>
          <w:rFonts w:ascii="Arial" w:hAnsi="Arial" w:cs="Arial"/>
        </w:rPr>
      </w:pPr>
    </w:p>
    <w:p w14:paraId="1FFEA3CB" w14:textId="77777777" w:rsidR="00E8617E" w:rsidRPr="00BC513A" w:rsidRDefault="00E8617E" w:rsidP="00E8617E">
      <w:pPr>
        <w:pStyle w:val="DefaultText"/>
        <w:keepNext/>
        <w:numPr>
          <w:ilvl w:val="0"/>
          <w:numId w:val="29"/>
        </w:numPr>
        <w:spacing w:after="120" w:line="300" w:lineRule="atLeast"/>
        <w:ind w:left="714" w:hanging="357"/>
        <w:rPr>
          <w:rFonts w:cs="Arial"/>
          <w:b/>
          <w:sz w:val="22"/>
          <w:szCs w:val="22"/>
          <w:lang w:val="bg-BG"/>
        </w:rPr>
      </w:pPr>
      <w:r w:rsidRPr="00BC513A">
        <w:rPr>
          <w:rFonts w:cs="Arial"/>
          <w:b/>
          <w:sz w:val="22"/>
          <w:szCs w:val="22"/>
          <w:lang w:val="bg-BG"/>
        </w:rPr>
        <w:t>Улесняване на иновациите.</w:t>
      </w:r>
    </w:p>
    <w:p w14:paraId="06DE6DFA"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От направените анализи като цяло е видно, че ПРСР 2007-2013 има незначителен принос към улесняване на иновациите. Основният принос на ЛИДЕР в това отношение е по мярка 421, която има за цел освен да подкрепи съвместните дейности, също да подкрепи и иновациите в селските райони в продуктите и услугите, които съчетават различни черти на селските райони и създават добавена стойност за селските райони, както и да подкрепи създаването на идентичност на ниво ЕС в добавка към местната, регионалната и националната идентичност.</w:t>
      </w:r>
    </w:p>
    <w:p w14:paraId="1E2DD163" w14:textId="0D643769"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По данни от мониторинг на изпълнението към мярката не е проявен голям интерес и се отчита слабо изпълнение поради забавеното стартиране и недостатъчно време за изпълнение на проектите. Други трудности, които са срещнали бенефициентите</w:t>
      </w:r>
      <w:r w:rsidR="00DB3572">
        <w:rPr>
          <w:rFonts w:cs="Arial"/>
          <w:sz w:val="22"/>
          <w:szCs w:val="22"/>
          <w:lang w:val="bg-BG"/>
        </w:rPr>
        <w:t>,</w:t>
      </w:r>
      <w:r w:rsidRPr="00BC513A">
        <w:rPr>
          <w:rFonts w:cs="Arial"/>
          <w:sz w:val="22"/>
          <w:szCs w:val="22"/>
          <w:lang w:val="bg-BG"/>
        </w:rPr>
        <w:t xml:space="preserve"> са</w:t>
      </w:r>
      <w:r w:rsidR="002C08B5">
        <w:rPr>
          <w:rStyle w:val="FootnoteReference"/>
          <w:rFonts w:cs="Arial"/>
          <w:sz w:val="22"/>
          <w:szCs w:val="22"/>
          <w:lang w:val="bg-BG"/>
        </w:rPr>
        <w:footnoteReference w:id="40"/>
      </w:r>
      <w:r w:rsidRPr="00BC513A">
        <w:rPr>
          <w:rFonts w:cs="Arial"/>
          <w:sz w:val="22"/>
          <w:szCs w:val="22"/>
          <w:lang w:val="bg-BG"/>
        </w:rPr>
        <w:t>:</w:t>
      </w:r>
    </w:p>
    <w:p w14:paraId="5EC673F7" w14:textId="77777777" w:rsidR="00E8617E" w:rsidRPr="00BC513A" w:rsidRDefault="002C08B5" w:rsidP="00E8617E">
      <w:pPr>
        <w:pStyle w:val="ListParagraph"/>
        <w:numPr>
          <w:ilvl w:val="0"/>
          <w:numId w:val="31"/>
        </w:numPr>
        <w:autoSpaceDE w:val="0"/>
        <w:autoSpaceDN w:val="0"/>
        <w:adjustRightInd w:val="0"/>
        <w:spacing w:after="120" w:line="300" w:lineRule="atLeast"/>
        <w:ind w:left="714" w:hanging="357"/>
        <w:jc w:val="both"/>
        <w:rPr>
          <w:rFonts w:ascii="Arial" w:eastAsia="Times New Roman" w:hAnsi="Arial" w:cs="Arial"/>
          <w:lang w:eastAsia="nl-NL"/>
        </w:rPr>
      </w:pPr>
      <w:r>
        <w:rPr>
          <w:rFonts w:ascii="Arial" w:eastAsia="Times New Roman" w:hAnsi="Arial" w:cs="Arial"/>
          <w:lang w:eastAsia="nl-NL"/>
        </w:rPr>
        <w:t xml:space="preserve">Трудности при </w:t>
      </w:r>
      <w:r w:rsidR="00E8617E" w:rsidRPr="00BC513A">
        <w:rPr>
          <w:rFonts w:ascii="Arial" w:eastAsia="Times New Roman" w:hAnsi="Arial" w:cs="Arial"/>
          <w:lang w:eastAsia="nl-NL"/>
        </w:rPr>
        <w:t xml:space="preserve">отчитане и финансиране на дейностите по различните видове проекти; </w:t>
      </w:r>
    </w:p>
    <w:p w14:paraId="7E5BC2FD" w14:textId="77777777" w:rsidR="00E8617E" w:rsidRPr="00BC513A" w:rsidRDefault="00E8617E" w:rsidP="00E8617E">
      <w:pPr>
        <w:pStyle w:val="ListParagraph"/>
        <w:numPr>
          <w:ilvl w:val="0"/>
          <w:numId w:val="31"/>
        </w:numPr>
        <w:autoSpaceDE w:val="0"/>
        <w:autoSpaceDN w:val="0"/>
        <w:adjustRightInd w:val="0"/>
        <w:spacing w:after="120" w:line="300" w:lineRule="atLeast"/>
        <w:ind w:left="714" w:hanging="357"/>
        <w:jc w:val="both"/>
        <w:rPr>
          <w:rFonts w:ascii="Arial" w:eastAsia="Times New Roman" w:hAnsi="Arial" w:cs="Arial"/>
          <w:lang w:eastAsia="nl-NL"/>
        </w:rPr>
      </w:pPr>
      <w:r w:rsidRPr="00BC513A">
        <w:rPr>
          <w:rFonts w:ascii="Arial" w:eastAsia="Times New Roman" w:hAnsi="Arial" w:cs="Arial"/>
          <w:lang w:eastAsia="nl-NL"/>
        </w:rPr>
        <w:t>Липса на възможност за получаване на авансови плащания за проекти с меки мерки</w:t>
      </w:r>
      <w:r w:rsidR="002C08B5">
        <w:rPr>
          <w:rFonts w:ascii="Arial" w:eastAsia="Times New Roman" w:hAnsi="Arial" w:cs="Arial"/>
          <w:lang w:eastAsia="nl-NL"/>
        </w:rPr>
        <w:t>;</w:t>
      </w:r>
    </w:p>
    <w:p w14:paraId="21545235" w14:textId="77777777" w:rsidR="00E8617E" w:rsidRPr="00BC513A" w:rsidRDefault="00E8617E" w:rsidP="00E8617E">
      <w:pPr>
        <w:pStyle w:val="ListParagraph"/>
        <w:numPr>
          <w:ilvl w:val="0"/>
          <w:numId w:val="31"/>
        </w:numPr>
        <w:autoSpaceDE w:val="0"/>
        <w:autoSpaceDN w:val="0"/>
        <w:adjustRightInd w:val="0"/>
        <w:spacing w:after="120" w:line="300" w:lineRule="atLeast"/>
        <w:ind w:left="714" w:hanging="357"/>
        <w:jc w:val="both"/>
        <w:rPr>
          <w:rFonts w:ascii="Arial" w:eastAsia="Times New Roman" w:hAnsi="Arial" w:cs="Arial"/>
          <w:lang w:eastAsia="nl-NL"/>
        </w:rPr>
      </w:pPr>
      <w:r w:rsidRPr="00BC513A">
        <w:rPr>
          <w:rFonts w:ascii="Arial" w:eastAsia="Times New Roman" w:hAnsi="Arial" w:cs="Arial"/>
          <w:lang w:eastAsia="nl-NL"/>
        </w:rPr>
        <w:t>Предоставена възможност за участие на членовете на екипите на МИГ в управлението на проектите само на доброволен принцип;</w:t>
      </w:r>
    </w:p>
    <w:p w14:paraId="3AE27D1E" w14:textId="77777777" w:rsidR="00E8617E" w:rsidRPr="00BC513A" w:rsidRDefault="00E8617E" w:rsidP="00E8617E">
      <w:pPr>
        <w:pStyle w:val="ListParagraph"/>
        <w:numPr>
          <w:ilvl w:val="0"/>
          <w:numId w:val="31"/>
        </w:numPr>
        <w:autoSpaceDE w:val="0"/>
        <w:autoSpaceDN w:val="0"/>
        <w:adjustRightInd w:val="0"/>
        <w:spacing w:after="120" w:line="300" w:lineRule="atLeast"/>
        <w:ind w:left="714" w:hanging="357"/>
        <w:jc w:val="both"/>
        <w:rPr>
          <w:rFonts w:ascii="Arial" w:eastAsia="Times New Roman" w:hAnsi="Arial" w:cs="Arial"/>
          <w:lang w:eastAsia="nl-NL"/>
        </w:rPr>
      </w:pPr>
      <w:r w:rsidRPr="00BC513A">
        <w:rPr>
          <w:rFonts w:ascii="Arial" w:eastAsia="Times New Roman" w:hAnsi="Arial" w:cs="Arial"/>
          <w:lang w:eastAsia="nl-NL"/>
        </w:rPr>
        <w:t>Липса на синхрон между УО на отделните страни в сроковете за обявяване на прием и одобрение на проекти;</w:t>
      </w:r>
    </w:p>
    <w:p w14:paraId="1DE6B4C7" w14:textId="77777777" w:rsidR="00E8617E" w:rsidRPr="00BC513A" w:rsidRDefault="00E8617E" w:rsidP="00E8617E">
      <w:pPr>
        <w:pStyle w:val="DefaultText"/>
        <w:spacing w:after="120" w:line="300" w:lineRule="atLeast"/>
        <w:ind w:firstLine="708"/>
        <w:rPr>
          <w:rFonts w:cs="Arial"/>
          <w:sz w:val="22"/>
          <w:szCs w:val="22"/>
          <w:lang w:val="bg-BG"/>
        </w:rPr>
      </w:pPr>
      <w:r w:rsidRPr="00BC513A">
        <w:rPr>
          <w:rFonts w:cs="Arial"/>
          <w:sz w:val="22"/>
          <w:szCs w:val="22"/>
          <w:lang w:val="bg-BG"/>
        </w:rPr>
        <w:t xml:space="preserve">Изпълнени са едва 9 проекта с бенефициенти 15 МИГ. </w:t>
      </w:r>
      <w:r w:rsidR="002C08B5" w:rsidRPr="00BC513A">
        <w:rPr>
          <w:rFonts w:cs="Arial"/>
          <w:sz w:val="22"/>
          <w:szCs w:val="22"/>
          <w:lang w:val="bg-BG"/>
        </w:rPr>
        <w:t xml:space="preserve">В резултат е докладвано прилагането на 3 иновативни продукта. </w:t>
      </w:r>
      <w:r w:rsidR="002C08B5" w:rsidRPr="002C08B5">
        <w:rPr>
          <w:rFonts w:cs="Arial"/>
          <w:sz w:val="22"/>
          <w:szCs w:val="22"/>
          <w:lang w:val="bg-BG"/>
        </w:rPr>
        <w:t>Проектите за техническа помощ на практика са били изгубени, поради забавянето на процеса на оценяване. Бенефициентите с одобрени проекти за техническа помощ не са изпълнили договорите, които са били подготвени, защото не са имали възможност за кандидатстване и/или време за изпълнение на същинските дейности</w:t>
      </w:r>
      <w:r w:rsidR="002C08B5">
        <w:rPr>
          <w:rFonts w:cs="Arial"/>
          <w:sz w:val="22"/>
          <w:szCs w:val="22"/>
          <w:lang w:val="bg-BG"/>
        </w:rPr>
        <w:t xml:space="preserve">. </w:t>
      </w:r>
    </w:p>
    <w:p w14:paraId="36B1F7B5" w14:textId="77777777" w:rsidR="00E8617E" w:rsidRPr="00BC513A" w:rsidRDefault="00E8617E" w:rsidP="00E8617E">
      <w:pPr>
        <w:spacing w:after="0" w:line="360" w:lineRule="auto"/>
        <w:jc w:val="both"/>
        <w:rPr>
          <w:rFonts w:ascii="Arial" w:hAnsi="Arial" w:cs="Arial"/>
          <w:b/>
          <w:iCs/>
          <w:color w:val="0070C0"/>
          <w:sz w:val="20"/>
          <w:szCs w:val="20"/>
        </w:rPr>
      </w:pPr>
      <w:bookmarkStart w:id="192" w:name="_Toc504136256"/>
      <w:r w:rsidRPr="00BC513A">
        <w:rPr>
          <w:rFonts w:ascii="Arial" w:hAnsi="Arial" w:cs="Arial"/>
          <w:b/>
          <w:iCs/>
          <w:color w:val="0070C0"/>
          <w:sz w:val="20"/>
          <w:szCs w:val="20"/>
        </w:rPr>
        <w:t xml:space="preserve">Таблица </w:t>
      </w:r>
      <w:r w:rsidRPr="00BC513A">
        <w:rPr>
          <w:rFonts w:ascii="Arial" w:hAnsi="Arial" w:cs="Arial"/>
          <w:b/>
          <w:iCs/>
          <w:color w:val="0070C0"/>
          <w:sz w:val="20"/>
          <w:szCs w:val="20"/>
        </w:rPr>
        <w:fldChar w:fldCharType="begin"/>
      </w:r>
      <w:r w:rsidRPr="00BC513A">
        <w:rPr>
          <w:rFonts w:ascii="Arial" w:hAnsi="Arial" w:cs="Arial"/>
          <w:b/>
          <w:iCs/>
          <w:color w:val="0070C0"/>
          <w:sz w:val="20"/>
          <w:szCs w:val="20"/>
        </w:rPr>
        <w:instrText xml:space="preserve"> SEQ Таблица \* ARABIC </w:instrText>
      </w:r>
      <w:r w:rsidRPr="00BC513A">
        <w:rPr>
          <w:rFonts w:ascii="Arial" w:hAnsi="Arial" w:cs="Arial"/>
          <w:b/>
          <w:iCs/>
          <w:color w:val="0070C0"/>
          <w:sz w:val="20"/>
          <w:szCs w:val="20"/>
        </w:rPr>
        <w:fldChar w:fldCharType="separate"/>
      </w:r>
      <w:r w:rsidR="0023010D">
        <w:rPr>
          <w:rFonts w:ascii="Arial" w:hAnsi="Arial" w:cs="Arial"/>
          <w:b/>
          <w:iCs/>
          <w:noProof/>
          <w:color w:val="0070C0"/>
          <w:sz w:val="20"/>
          <w:szCs w:val="20"/>
        </w:rPr>
        <w:t>85</w:t>
      </w:r>
      <w:r w:rsidRPr="00BC513A">
        <w:rPr>
          <w:rFonts w:ascii="Arial" w:hAnsi="Arial" w:cs="Arial"/>
          <w:b/>
          <w:iCs/>
          <w:color w:val="0070C0"/>
          <w:sz w:val="20"/>
          <w:szCs w:val="20"/>
        </w:rPr>
        <w:fldChar w:fldCharType="end"/>
      </w:r>
      <w:r w:rsidRPr="00BC513A">
        <w:rPr>
          <w:rFonts w:ascii="Arial" w:hAnsi="Arial" w:cs="Arial"/>
          <w:b/>
          <w:iCs/>
          <w:color w:val="0070C0"/>
          <w:sz w:val="20"/>
          <w:szCs w:val="20"/>
        </w:rPr>
        <w:t>. Индикатори за изпълнение на мярка 421</w:t>
      </w:r>
      <w:bookmarkEnd w:id="192"/>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3969"/>
        <w:gridCol w:w="1417"/>
        <w:gridCol w:w="992"/>
        <w:gridCol w:w="1134"/>
      </w:tblGrid>
      <w:tr w:rsidR="00E8617E" w:rsidRPr="00BC513A" w14:paraId="39AD260A" w14:textId="77777777" w:rsidTr="00922731">
        <w:trPr>
          <w:trHeight w:val="365"/>
        </w:trPr>
        <w:tc>
          <w:tcPr>
            <w:tcW w:w="1668" w:type="dxa"/>
            <w:shd w:val="clear" w:color="auto" w:fill="1F4E79" w:themeFill="accent1" w:themeFillShade="80"/>
            <w:noWrap/>
            <w:vAlign w:val="center"/>
          </w:tcPr>
          <w:p w14:paraId="6478A42F" w14:textId="77777777" w:rsidR="00E8617E" w:rsidRPr="00BC513A" w:rsidRDefault="00E8617E" w:rsidP="00922731">
            <w:pPr>
              <w:tabs>
                <w:tab w:val="left" w:pos="993"/>
              </w:tabs>
              <w:spacing w:after="0" w:line="240" w:lineRule="auto"/>
              <w:jc w:val="center"/>
              <w:rPr>
                <w:rFonts w:ascii="Arial" w:hAnsi="Arial" w:cs="Arial"/>
                <w:b/>
                <w:bCs/>
                <w:color w:val="FFFFFF" w:themeColor="background1"/>
                <w:sz w:val="20"/>
                <w:szCs w:val="20"/>
              </w:rPr>
            </w:pPr>
            <w:r w:rsidRPr="00BC513A">
              <w:rPr>
                <w:rFonts w:ascii="Arial" w:hAnsi="Arial" w:cs="Arial"/>
                <w:b/>
                <w:bCs/>
                <w:color w:val="FFFFFF" w:themeColor="background1"/>
                <w:sz w:val="20"/>
                <w:szCs w:val="20"/>
              </w:rPr>
              <w:t>Вид индикатор</w:t>
            </w:r>
          </w:p>
        </w:tc>
        <w:tc>
          <w:tcPr>
            <w:tcW w:w="3969" w:type="dxa"/>
            <w:shd w:val="clear" w:color="auto" w:fill="1F4E79" w:themeFill="accent1" w:themeFillShade="80"/>
            <w:vAlign w:val="center"/>
          </w:tcPr>
          <w:p w14:paraId="033F7938" w14:textId="77777777" w:rsidR="00E8617E" w:rsidRPr="00BC513A" w:rsidRDefault="00E8617E" w:rsidP="00922731">
            <w:pPr>
              <w:tabs>
                <w:tab w:val="left" w:pos="993"/>
              </w:tabs>
              <w:spacing w:after="0" w:line="240" w:lineRule="auto"/>
              <w:jc w:val="center"/>
              <w:rPr>
                <w:rFonts w:ascii="Arial" w:hAnsi="Arial" w:cs="Arial"/>
                <w:b/>
                <w:bCs/>
                <w:color w:val="FFFFFF" w:themeColor="background1"/>
                <w:sz w:val="20"/>
                <w:szCs w:val="20"/>
              </w:rPr>
            </w:pPr>
            <w:r w:rsidRPr="00BC513A">
              <w:rPr>
                <w:rFonts w:ascii="Arial" w:hAnsi="Arial" w:cs="Arial"/>
                <w:b/>
                <w:bCs/>
                <w:color w:val="FFFFFF" w:themeColor="background1"/>
                <w:sz w:val="20"/>
                <w:szCs w:val="20"/>
              </w:rPr>
              <w:t>Индикатор</w:t>
            </w:r>
          </w:p>
        </w:tc>
        <w:tc>
          <w:tcPr>
            <w:tcW w:w="1417" w:type="dxa"/>
            <w:shd w:val="clear" w:color="auto" w:fill="1F4E79" w:themeFill="accent1" w:themeFillShade="80"/>
            <w:noWrap/>
            <w:vAlign w:val="center"/>
          </w:tcPr>
          <w:p w14:paraId="3519FA2A" w14:textId="77777777" w:rsidR="00E8617E" w:rsidRPr="00BC513A" w:rsidRDefault="00E8617E" w:rsidP="00922731">
            <w:pPr>
              <w:tabs>
                <w:tab w:val="left" w:pos="993"/>
              </w:tabs>
              <w:spacing w:after="0" w:line="240" w:lineRule="auto"/>
              <w:jc w:val="center"/>
              <w:rPr>
                <w:rFonts w:ascii="Arial" w:hAnsi="Arial" w:cs="Arial"/>
                <w:b/>
                <w:bCs/>
                <w:color w:val="FFFFFF" w:themeColor="background1"/>
                <w:sz w:val="20"/>
                <w:szCs w:val="20"/>
              </w:rPr>
            </w:pPr>
            <w:r w:rsidRPr="00BC513A">
              <w:rPr>
                <w:rFonts w:ascii="Arial" w:hAnsi="Arial" w:cs="Arial"/>
                <w:b/>
                <w:bCs/>
                <w:color w:val="FFFFFF" w:themeColor="background1"/>
                <w:sz w:val="20"/>
                <w:szCs w:val="20"/>
              </w:rPr>
              <w:t xml:space="preserve">Цел </w:t>
            </w:r>
          </w:p>
          <w:p w14:paraId="409EE62A" w14:textId="77777777" w:rsidR="00E8617E" w:rsidRPr="00BC513A" w:rsidRDefault="00E8617E" w:rsidP="00922731">
            <w:pPr>
              <w:tabs>
                <w:tab w:val="left" w:pos="993"/>
              </w:tabs>
              <w:spacing w:after="0" w:line="240" w:lineRule="auto"/>
              <w:jc w:val="center"/>
              <w:rPr>
                <w:rFonts w:ascii="Arial" w:hAnsi="Arial" w:cs="Arial"/>
                <w:b/>
                <w:bCs/>
                <w:color w:val="FFFFFF" w:themeColor="background1"/>
                <w:sz w:val="20"/>
                <w:szCs w:val="20"/>
              </w:rPr>
            </w:pPr>
            <w:r w:rsidRPr="00BC513A">
              <w:rPr>
                <w:rFonts w:ascii="Arial" w:hAnsi="Arial" w:cs="Arial"/>
                <w:b/>
                <w:bCs/>
                <w:color w:val="FFFFFF" w:themeColor="background1"/>
                <w:sz w:val="20"/>
                <w:szCs w:val="20"/>
              </w:rPr>
              <w:t>2007-2013</w:t>
            </w:r>
          </w:p>
        </w:tc>
        <w:tc>
          <w:tcPr>
            <w:tcW w:w="992" w:type="dxa"/>
            <w:shd w:val="clear" w:color="auto" w:fill="1F4E79" w:themeFill="accent1" w:themeFillShade="80"/>
          </w:tcPr>
          <w:p w14:paraId="2AF0BFFC" w14:textId="77777777" w:rsidR="00E8617E" w:rsidRPr="00BC513A" w:rsidRDefault="00E8617E" w:rsidP="00922731">
            <w:pPr>
              <w:tabs>
                <w:tab w:val="left" w:pos="993"/>
              </w:tabs>
              <w:spacing w:after="0" w:line="240" w:lineRule="auto"/>
              <w:jc w:val="center"/>
              <w:rPr>
                <w:rFonts w:ascii="Arial" w:hAnsi="Arial" w:cs="Arial"/>
                <w:b/>
                <w:bCs/>
                <w:color w:val="FFFFFF" w:themeColor="background1"/>
                <w:sz w:val="20"/>
                <w:szCs w:val="20"/>
              </w:rPr>
            </w:pPr>
            <w:r w:rsidRPr="00BC513A">
              <w:rPr>
                <w:rFonts w:ascii="Arial" w:hAnsi="Arial" w:cs="Arial"/>
                <w:b/>
                <w:bCs/>
                <w:color w:val="FFFFFF" w:themeColor="background1"/>
                <w:sz w:val="20"/>
                <w:szCs w:val="20"/>
              </w:rPr>
              <w:t>Изпълнение</w:t>
            </w:r>
          </w:p>
        </w:tc>
        <w:tc>
          <w:tcPr>
            <w:tcW w:w="1134" w:type="dxa"/>
            <w:shd w:val="clear" w:color="auto" w:fill="1F4E79" w:themeFill="accent1" w:themeFillShade="80"/>
          </w:tcPr>
          <w:p w14:paraId="71020182" w14:textId="77777777" w:rsidR="00E8617E" w:rsidRPr="00BC513A" w:rsidRDefault="00E8617E" w:rsidP="00922731">
            <w:pPr>
              <w:tabs>
                <w:tab w:val="left" w:pos="993"/>
              </w:tabs>
              <w:spacing w:after="0" w:line="240" w:lineRule="auto"/>
              <w:jc w:val="center"/>
              <w:rPr>
                <w:rFonts w:ascii="Arial" w:hAnsi="Arial" w:cs="Arial"/>
                <w:b/>
                <w:bCs/>
                <w:color w:val="FFFFFF" w:themeColor="background1"/>
                <w:sz w:val="20"/>
                <w:szCs w:val="20"/>
              </w:rPr>
            </w:pPr>
            <w:r w:rsidRPr="00BC513A">
              <w:rPr>
                <w:rFonts w:ascii="Arial" w:hAnsi="Arial" w:cs="Arial"/>
                <w:b/>
                <w:bCs/>
                <w:color w:val="FFFFFF" w:themeColor="background1"/>
                <w:sz w:val="20"/>
                <w:szCs w:val="20"/>
              </w:rPr>
              <w:t>Изпълнение</w:t>
            </w:r>
          </w:p>
          <w:p w14:paraId="7500C5B2" w14:textId="77777777" w:rsidR="00E8617E" w:rsidRPr="00BC513A" w:rsidRDefault="00E8617E" w:rsidP="00922731">
            <w:pPr>
              <w:tabs>
                <w:tab w:val="left" w:pos="993"/>
              </w:tabs>
              <w:spacing w:after="0" w:line="240" w:lineRule="auto"/>
              <w:jc w:val="center"/>
              <w:rPr>
                <w:rFonts w:ascii="Arial" w:hAnsi="Arial" w:cs="Arial"/>
                <w:b/>
                <w:bCs/>
                <w:color w:val="FFFFFF" w:themeColor="background1"/>
                <w:sz w:val="20"/>
                <w:szCs w:val="20"/>
              </w:rPr>
            </w:pPr>
            <w:r w:rsidRPr="00BC513A">
              <w:rPr>
                <w:rFonts w:ascii="Arial" w:hAnsi="Arial" w:cs="Arial"/>
                <w:b/>
                <w:bCs/>
                <w:color w:val="FFFFFF" w:themeColor="background1"/>
                <w:sz w:val="20"/>
                <w:szCs w:val="20"/>
              </w:rPr>
              <w:t>(%)</w:t>
            </w:r>
          </w:p>
        </w:tc>
      </w:tr>
      <w:tr w:rsidR="00E8617E" w:rsidRPr="00BC513A" w14:paraId="45D9B539" w14:textId="77777777" w:rsidTr="00922731">
        <w:trPr>
          <w:cantSplit/>
          <w:trHeight w:val="495"/>
        </w:trPr>
        <w:tc>
          <w:tcPr>
            <w:tcW w:w="1668" w:type="dxa"/>
            <w:vMerge w:val="restart"/>
            <w:noWrap/>
            <w:vAlign w:val="center"/>
          </w:tcPr>
          <w:p w14:paraId="42992885" w14:textId="77777777" w:rsidR="00E8617E" w:rsidRPr="00BC513A" w:rsidRDefault="00E8617E" w:rsidP="00922731">
            <w:pPr>
              <w:tabs>
                <w:tab w:val="left" w:pos="993"/>
              </w:tabs>
              <w:spacing w:after="0" w:line="240" w:lineRule="auto"/>
              <w:jc w:val="center"/>
              <w:rPr>
                <w:rFonts w:ascii="Arial" w:hAnsi="Arial" w:cs="Arial"/>
                <w:b/>
                <w:sz w:val="20"/>
                <w:szCs w:val="20"/>
              </w:rPr>
            </w:pPr>
            <w:r w:rsidRPr="00BC513A">
              <w:rPr>
                <w:rFonts w:ascii="Arial" w:hAnsi="Arial" w:cs="Arial"/>
                <w:b/>
                <w:sz w:val="20"/>
                <w:szCs w:val="20"/>
              </w:rPr>
              <w:t>Продукт/</w:t>
            </w:r>
          </w:p>
          <w:p w14:paraId="08B45CD2" w14:textId="77777777" w:rsidR="00E8617E" w:rsidRPr="00BC513A" w:rsidRDefault="00E8617E" w:rsidP="00922731">
            <w:pPr>
              <w:tabs>
                <w:tab w:val="left" w:pos="993"/>
              </w:tabs>
              <w:spacing w:after="0" w:line="240" w:lineRule="auto"/>
              <w:jc w:val="center"/>
              <w:rPr>
                <w:rFonts w:ascii="Arial" w:hAnsi="Arial" w:cs="Arial"/>
                <w:b/>
                <w:bCs/>
                <w:sz w:val="20"/>
                <w:szCs w:val="20"/>
              </w:rPr>
            </w:pPr>
            <w:r w:rsidRPr="00BC513A">
              <w:rPr>
                <w:rFonts w:ascii="Arial" w:hAnsi="Arial" w:cs="Arial"/>
                <w:b/>
                <w:sz w:val="20"/>
                <w:szCs w:val="20"/>
              </w:rPr>
              <w:t>извършени дейности</w:t>
            </w:r>
          </w:p>
        </w:tc>
        <w:tc>
          <w:tcPr>
            <w:tcW w:w="3969" w:type="dxa"/>
            <w:vAlign w:val="center"/>
          </w:tcPr>
          <w:p w14:paraId="0A59AA5A" w14:textId="77777777" w:rsidR="00E8617E" w:rsidRPr="00BC513A" w:rsidRDefault="00E8617E" w:rsidP="00922731">
            <w:pPr>
              <w:tabs>
                <w:tab w:val="left" w:pos="993"/>
              </w:tabs>
              <w:spacing w:after="0" w:line="240" w:lineRule="auto"/>
              <w:rPr>
                <w:rFonts w:ascii="Arial" w:hAnsi="Arial" w:cs="Arial"/>
                <w:sz w:val="20"/>
                <w:szCs w:val="20"/>
              </w:rPr>
            </w:pPr>
            <w:r w:rsidRPr="00BC513A">
              <w:rPr>
                <w:rFonts w:ascii="Arial" w:hAnsi="Arial" w:cs="Arial"/>
                <w:sz w:val="20"/>
                <w:szCs w:val="20"/>
              </w:rPr>
              <w:t xml:space="preserve">Брой проекти за междутериториално и транснационално сътрудничество </w:t>
            </w:r>
          </w:p>
        </w:tc>
        <w:tc>
          <w:tcPr>
            <w:tcW w:w="1417" w:type="dxa"/>
            <w:noWrap/>
            <w:vAlign w:val="center"/>
          </w:tcPr>
          <w:p w14:paraId="2CE8EBCE" w14:textId="77777777" w:rsidR="00E8617E" w:rsidRPr="00BC513A" w:rsidRDefault="00E8617E" w:rsidP="00922731">
            <w:pPr>
              <w:tabs>
                <w:tab w:val="left" w:pos="993"/>
              </w:tabs>
              <w:spacing w:after="0" w:line="240" w:lineRule="auto"/>
              <w:ind w:right="33"/>
              <w:jc w:val="center"/>
              <w:rPr>
                <w:rFonts w:ascii="Arial" w:hAnsi="Arial" w:cs="Arial"/>
                <w:bCs/>
                <w:sz w:val="20"/>
                <w:szCs w:val="20"/>
              </w:rPr>
            </w:pPr>
            <w:r w:rsidRPr="00BC513A">
              <w:rPr>
                <w:rFonts w:ascii="Arial" w:hAnsi="Arial" w:cs="Arial"/>
                <w:bCs/>
                <w:sz w:val="20"/>
                <w:szCs w:val="20"/>
              </w:rPr>
              <w:t>55</w:t>
            </w:r>
          </w:p>
        </w:tc>
        <w:tc>
          <w:tcPr>
            <w:tcW w:w="992" w:type="dxa"/>
            <w:vAlign w:val="center"/>
          </w:tcPr>
          <w:p w14:paraId="7EAAFEA5" w14:textId="77777777" w:rsidR="00E8617E" w:rsidRPr="00BC513A" w:rsidRDefault="00E8617E" w:rsidP="00922731">
            <w:pPr>
              <w:tabs>
                <w:tab w:val="left" w:pos="993"/>
              </w:tabs>
              <w:spacing w:after="0" w:line="240" w:lineRule="auto"/>
              <w:ind w:right="33"/>
              <w:jc w:val="center"/>
              <w:rPr>
                <w:rFonts w:ascii="Arial" w:hAnsi="Arial" w:cs="Arial"/>
                <w:bCs/>
                <w:sz w:val="20"/>
                <w:szCs w:val="20"/>
              </w:rPr>
            </w:pPr>
            <w:r w:rsidRPr="00BC513A">
              <w:rPr>
                <w:rFonts w:ascii="Arial" w:hAnsi="Arial" w:cs="Arial"/>
                <w:bCs/>
                <w:sz w:val="20"/>
                <w:szCs w:val="20"/>
              </w:rPr>
              <w:t>9</w:t>
            </w:r>
          </w:p>
        </w:tc>
        <w:tc>
          <w:tcPr>
            <w:tcW w:w="1134" w:type="dxa"/>
            <w:vAlign w:val="center"/>
          </w:tcPr>
          <w:p w14:paraId="00F804B8" w14:textId="77777777" w:rsidR="00E8617E" w:rsidRPr="00BC513A" w:rsidRDefault="00E8617E" w:rsidP="00922731">
            <w:pPr>
              <w:tabs>
                <w:tab w:val="left" w:pos="993"/>
              </w:tabs>
              <w:spacing w:after="0" w:line="240" w:lineRule="auto"/>
              <w:ind w:right="33"/>
              <w:jc w:val="center"/>
              <w:rPr>
                <w:rFonts w:ascii="Arial" w:hAnsi="Arial" w:cs="Arial"/>
                <w:bCs/>
                <w:sz w:val="20"/>
                <w:szCs w:val="20"/>
              </w:rPr>
            </w:pPr>
            <w:r w:rsidRPr="00BC513A">
              <w:rPr>
                <w:rFonts w:ascii="Arial" w:hAnsi="Arial" w:cs="Arial"/>
                <w:bCs/>
                <w:sz w:val="20"/>
                <w:szCs w:val="20"/>
              </w:rPr>
              <w:t>16</w:t>
            </w:r>
          </w:p>
        </w:tc>
      </w:tr>
      <w:tr w:rsidR="00E8617E" w:rsidRPr="00BC513A" w14:paraId="4EB08735" w14:textId="77777777" w:rsidTr="00922731">
        <w:trPr>
          <w:cantSplit/>
          <w:trHeight w:val="607"/>
        </w:trPr>
        <w:tc>
          <w:tcPr>
            <w:tcW w:w="1668" w:type="dxa"/>
            <w:vMerge/>
            <w:noWrap/>
            <w:vAlign w:val="center"/>
          </w:tcPr>
          <w:p w14:paraId="4C0A3641" w14:textId="77777777" w:rsidR="00E8617E" w:rsidRPr="00BC513A" w:rsidRDefault="00E8617E" w:rsidP="00922731">
            <w:pPr>
              <w:tabs>
                <w:tab w:val="left" w:pos="993"/>
              </w:tabs>
              <w:spacing w:after="0" w:line="240" w:lineRule="auto"/>
              <w:jc w:val="center"/>
              <w:rPr>
                <w:rFonts w:ascii="Arial" w:hAnsi="Arial" w:cs="Arial"/>
                <w:b/>
                <w:bCs/>
                <w:sz w:val="20"/>
                <w:szCs w:val="20"/>
              </w:rPr>
            </w:pPr>
          </w:p>
        </w:tc>
        <w:tc>
          <w:tcPr>
            <w:tcW w:w="3969" w:type="dxa"/>
            <w:vAlign w:val="center"/>
          </w:tcPr>
          <w:p w14:paraId="3ED04C28" w14:textId="77777777" w:rsidR="00E8617E" w:rsidRPr="00BC513A" w:rsidRDefault="00E8617E" w:rsidP="00922731">
            <w:pPr>
              <w:pStyle w:val="CharCharZchnZchnChar"/>
              <w:tabs>
                <w:tab w:val="left" w:pos="993"/>
              </w:tabs>
              <w:suppressAutoHyphens w:val="0"/>
              <w:spacing w:after="0" w:line="240" w:lineRule="auto"/>
              <w:rPr>
                <w:rFonts w:ascii="Arial" w:hAnsi="Arial" w:cs="Arial"/>
                <w:lang w:val="bg-BG" w:eastAsia="en-GB"/>
              </w:rPr>
            </w:pPr>
            <w:r w:rsidRPr="00BC513A">
              <w:rPr>
                <w:rFonts w:ascii="Arial" w:eastAsiaTheme="minorHAnsi" w:hAnsi="Arial" w:cs="Arial"/>
                <w:lang w:val="bg-BG" w:eastAsia="en-US"/>
              </w:rPr>
              <w:t>Брой създадени иновативни продукти/услуги в селските райони</w:t>
            </w:r>
          </w:p>
        </w:tc>
        <w:tc>
          <w:tcPr>
            <w:tcW w:w="1417" w:type="dxa"/>
            <w:noWrap/>
            <w:vAlign w:val="center"/>
          </w:tcPr>
          <w:p w14:paraId="58066DA0" w14:textId="77777777" w:rsidR="00E8617E" w:rsidRPr="00BC513A" w:rsidRDefault="00E8617E" w:rsidP="00922731">
            <w:pPr>
              <w:tabs>
                <w:tab w:val="left" w:pos="993"/>
              </w:tabs>
              <w:spacing w:after="0" w:line="240" w:lineRule="auto"/>
              <w:ind w:right="33"/>
              <w:jc w:val="center"/>
              <w:rPr>
                <w:rFonts w:ascii="Arial" w:hAnsi="Arial" w:cs="Arial"/>
                <w:bCs/>
                <w:sz w:val="20"/>
                <w:szCs w:val="20"/>
              </w:rPr>
            </w:pPr>
            <w:r w:rsidRPr="00BC513A">
              <w:rPr>
                <w:rFonts w:ascii="Arial" w:hAnsi="Arial" w:cs="Arial"/>
                <w:bCs/>
                <w:sz w:val="20"/>
                <w:szCs w:val="20"/>
              </w:rPr>
              <w:t>40</w:t>
            </w:r>
          </w:p>
        </w:tc>
        <w:tc>
          <w:tcPr>
            <w:tcW w:w="992" w:type="dxa"/>
            <w:vAlign w:val="center"/>
          </w:tcPr>
          <w:p w14:paraId="09A87DD4" w14:textId="77777777" w:rsidR="00E8617E" w:rsidRPr="00BC513A" w:rsidRDefault="00E8617E" w:rsidP="00922731">
            <w:pPr>
              <w:tabs>
                <w:tab w:val="left" w:pos="993"/>
              </w:tabs>
              <w:spacing w:after="0" w:line="240" w:lineRule="auto"/>
              <w:ind w:right="33"/>
              <w:jc w:val="center"/>
              <w:rPr>
                <w:rFonts w:ascii="Arial" w:hAnsi="Arial" w:cs="Arial"/>
                <w:bCs/>
                <w:sz w:val="20"/>
                <w:szCs w:val="20"/>
              </w:rPr>
            </w:pPr>
            <w:r w:rsidRPr="00BC513A">
              <w:rPr>
                <w:rFonts w:ascii="Arial" w:hAnsi="Arial" w:cs="Arial"/>
                <w:bCs/>
                <w:sz w:val="20"/>
                <w:szCs w:val="20"/>
              </w:rPr>
              <w:t>3</w:t>
            </w:r>
          </w:p>
        </w:tc>
        <w:tc>
          <w:tcPr>
            <w:tcW w:w="1134" w:type="dxa"/>
            <w:vAlign w:val="center"/>
          </w:tcPr>
          <w:p w14:paraId="1FEFD44E" w14:textId="77777777" w:rsidR="00E8617E" w:rsidRPr="00BC513A" w:rsidRDefault="00E8617E" w:rsidP="00922731">
            <w:pPr>
              <w:tabs>
                <w:tab w:val="left" w:pos="993"/>
              </w:tabs>
              <w:spacing w:after="0" w:line="240" w:lineRule="auto"/>
              <w:ind w:right="33"/>
              <w:jc w:val="center"/>
              <w:rPr>
                <w:rFonts w:ascii="Arial" w:hAnsi="Arial" w:cs="Arial"/>
                <w:bCs/>
                <w:sz w:val="20"/>
                <w:szCs w:val="20"/>
              </w:rPr>
            </w:pPr>
            <w:r w:rsidRPr="00BC513A">
              <w:rPr>
                <w:rFonts w:ascii="Arial" w:hAnsi="Arial" w:cs="Arial"/>
                <w:bCs/>
                <w:sz w:val="20"/>
                <w:szCs w:val="20"/>
              </w:rPr>
              <w:t>7,5</w:t>
            </w:r>
          </w:p>
        </w:tc>
      </w:tr>
    </w:tbl>
    <w:p w14:paraId="653FD20B" w14:textId="77777777" w:rsidR="00E8617E" w:rsidRPr="00F07F15" w:rsidRDefault="00E8617E" w:rsidP="00E8617E">
      <w:pPr>
        <w:pStyle w:val="DefaultText"/>
        <w:spacing w:after="120" w:line="300" w:lineRule="atLeast"/>
        <w:rPr>
          <w:rFonts w:cs="Arial"/>
          <w:szCs w:val="18"/>
          <w:lang w:val="bg-BG"/>
        </w:rPr>
      </w:pPr>
      <w:r w:rsidRPr="00F07F15">
        <w:rPr>
          <w:rFonts w:cs="Arial"/>
          <w:szCs w:val="18"/>
          <w:lang w:val="bg-BG"/>
        </w:rPr>
        <w:t>Източник: По данни на ДФЗ и годишни доклади на МИГ за 2015 г.</w:t>
      </w:r>
    </w:p>
    <w:p w14:paraId="5C69EF5F" w14:textId="77777777" w:rsidR="00E8617E" w:rsidRPr="00BC513A" w:rsidRDefault="00E8617E" w:rsidP="005C3CD9">
      <w:pPr>
        <w:pStyle w:val="DefaultText"/>
        <w:keepNext/>
        <w:numPr>
          <w:ilvl w:val="0"/>
          <w:numId w:val="29"/>
        </w:numPr>
        <w:spacing w:before="240" w:after="120" w:line="300" w:lineRule="atLeast"/>
        <w:ind w:left="714" w:hanging="357"/>
        <w:rPr>
          <w:rFonts w:cs="Arial"/>
          <w:b/>
          <w:sz w:val="22"/>
          <w:szCs w:val="22"/>
          <w:lang w:val="bg-BG"/>
        </w:rPr>
      </w:pPr>
      <w:r w:rsidRPr="00BC513A">
        <w:rPr>
          <w:rFonts w:cs="Arial"/>
          <w:sz w:val="22"/>
          <w:szCs w:val="22"/>
          <w:lang w:val="bg-BG"/>
        </w:rPr>
        <w:t xml:space="preserve"> </w:t>
      </w:r>
      <w:r w:rsidRPr="00BC513A">
        <w:rPr>
          <w:rFonts w:cs="Arial"/>
          <w:b/>
          <w:sz w:val="22"/>
          <w:szCs w:val="22"/>
          <w:lang w:val="bg-BG"/>
        </w:rPr>
        <w:t xml:space="preserve">Подход отдолу-нагоре </w:t>
      </w:r>
    </w:p>
    <w:p w14:paraId="6711079F" w14:textId="4B9890D6"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Основната идея на ЛИДЕР е прилагането на инициативи отдолу-нагоре. Със стартирането на подхода са създадени възможности за изпълнение на проекти, които са от значение за местните общности. Като цяло обаче, не може да се каже, че подходът отдолу-нагоре е прилаган изцяло, предвид на това</w:t>
      </w:r>
      <w:r w:rsidR="00052C74">
        <w:rPr>
          <w:rFonts w:cs="Arial"/>
          <w:sz w:val="22"/>
          <w:szCs w:val="22"/>
          <w:lang w:val="bg-BG"/>
        </w:rPr>
        <w:t>,</w:t>
      </w:r>
      <w:r w:rsidRPr="00BC513A">
        <w:rPr>
          <w:rFonts w:cs="Arial"/>
          <w:sz w:val="22"/>
          <w:szCs w:val="22"/>
          <w:lang w:val="bg-BG"/>
        </w:rPr>
        <w:t xml:space="preserve"> че се прилага за първи път в България, местните стратегии за развитие са предимно ориентирани към изпълнение на стратегическите цели на ПРСР и регионални и общински стратегии. </w:t>
      </w:r>
      <w:r w:rsidR="005C3CD9">
        <w:rPr>
          <w:rFonts w:cs="Arial"/>
          <w:sz w:val="22"/>
          <w:szCs w:val="22"/>
          <w:lang w:val="bg-BG"/>
        </w:rPr>
        <w:t xml:space="preserve">Регионалните и общински стратегии, макар и създавани с цел адресиране на местни нужди, в голяма степен са съобразени с националните приоритети и с възможностите за финансиране, предоставяни от оперативните програми, предвид, че последните са основен източник на финансиране. </w:t>
      </w:r>
      <w:r w:rsidRPr="00BC513A">
        <w:rPr>
          <w:rFonts w:cs="Arial"/>
          <w:sz w:val="22"/>
          <w:szCs w:val="22"/>
          <w:lang w:val="bg-BG"/>
        </w:rPr>
        <w:t>В същото време стратегиите за местно развитие са изцяло разработени след проучване на съответните територии и с пълно съгласуване с местните общности.</w:t>
      </w:r>
    </w:p>
    <w:p w14:paraId="135E3F1F" w14:textId="77777777" w:rsidR="00E8617E" w:rsidRPr="005C3CD9" w:rsidRDefault="00E8617E" w:rsidP="005C3CD9">
      <w:pPr>
        <w:pStyle w:val="DefaultText"/>
        <w:keepNext/>
        <w:numPr>
          <w:ilvl w:val="0"/>
          <w:numId w:val="29"/>
        </w:numPr>
        <w:spacing w:before="240" w:after="120" w:line="300" w:lineRule="atLeast"/>
        <w:ind w:left="714" w:hanging="357"/>
        <w:rPr>
          <w:rFonts w:cs="Arial"/>
          <w:b/>
          <w:sz w:val="22"/>
          <w:szCs w:val="22"/>
          <w:lang w:val="bg-BG"/>
        </w:rPr>
      </w:pPr>
      <w:r w:rsidRPr="005C3CD9">
        <w:rPr>
          <w:rFonts w:cs="Arial"/>
          <w:b/>
          <w:sz w:val="22"/>
          <w:szCs w:val="22"/>
          <w:lang w:val="bg-BG"/>
        </w:rPr>
        <w:t>Многосекторен подход при планиране и прилагане на стратегията</w:t>
      </w:r>
    </w:p>
    <w:p w14:paraId="21A8525E"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Прилагането на многосекторен подход през програмния период 2007-2013 е силно ограничено, тъй като местните стратегии за развитие и мерките в тях са ограничени от изискванията на регламентите и са ориентирани предимно към постигане на целите на ПРСР 2007-2013. Прилагането на реален многосекторен подход се очаква през настоящия програмен период 2014-2020, тъй като е осигурено многофондово финансиране и много по-големи възможности за прилагане на мерки, които са извън обхвата на </w:t>
      </w:r>
      <w:r w:rsidR="000F57E9">
        <w:rPr>
          <w:rFonts w:cs="Arial"/>
          <w:sz w:val="22"/>
          <w:szCs w:val="22"/>
          <w:lang w:val="bg-BG"/>
        </w:rPr>
        <w:t>п</w:t>
      </w:r>
      <w:r w:rsidRPr="00BC513A">
        <w:rPr>
          <w:rFonts w:cs="Arial"/>
          <w:sz w:val="22"/>
          <w:szCs w:val="22"/>
          <w:lang w:val="bg-BG"/>
        </w:rPr>
        <w:t>рограмата за развитие на селските райони.</w:t>
      </w:r>
    </w:p>
    <w:p w14:paraId="516CAC46" w14:textId="77777777" w:rsidR="00E8617E" w:rsidRPr="00BC513A" w:rsidRDefault="00E8617E" w:rsidP="003644F0">
      <w:pPr>
        <w:pStyle w:val="DefaultText"/>
        <w:keepNext/>
        <w:numPr>
          <w:ilvl w:val="0"/>
          <w:numId w:val="29"/>
        </w:numPr>
        <w:spacing w:before="240" w:after="120" w:line="300" w:lineRule="atLeast"/>
        <w:ind w:left="714" w:hanging="357"/>
        <w:rPr>
          <w:rFonts w:cs="Arial"/>
          <w:b/>
          <w:sz w:val="22"/>
          <w:szCs w:val="22"/>
          <w:lang w:val="bg-BG"/>
        </w:rPr>
      </w:pPr>
      <w:r w:rsidRPr="00BC513A">
        <w:rPr>
          <w:rFonts w:cs="Arial"/>
          <w:b/>
          <w:sz w:val="22"/>
          <w:szCs w:val="22"/>
          <w:lang w:val="bg-BG"/>
        </w:rPr>
        <w:t xml:space="preserve">Работа в мрежа на местните партньорства </w:t>
      </w:r>
    </w:p>
    <w:p w14:paraId="5119E83F" w14:textId="77777777" w:rsidR="00E8617E" w:rsidRPr="00BC513A" w:rsidRDefault="00B40CD0" w:rsidP="00E8617E">
      <w:pPr>
        <w:pStyle w:val="DefaultText"/>
        <w:spacing w:after="120" w:line="300" w:lineRule="atLeast"/>
        <w:ind w:firstLine="709"/>
        <w:rPr>
          <w:rFonts w:cs="Arial"/>
          <w:sz w:val="22"/>
          <w:szCs w:val="22"/>
          <w:lang w:val="bg-BG"/>
        </w:rPr>
      </w:pPr>
      <w:r>
        <w:rPr>
          <w:rFonts w:cs="Arial"/>
          <w:sz w:val="22"/>
          <w:szCs w:val="22"/>
          <w:lang w:val="bg-BG"/>
        </w:rPr>
        <w:t>О</w:t>
      </w:r>
      <w:r w:rsidR="00E8617E" w:rsidRPr="00BC513A">
        <w:rPr>
          <w:rFonts w:cs="Arial"/>
          <w:sz w:val="22"/>
          <w:szCs w:val="22"/>
          <w:lang w:val="bg-BG"/>
        </w:rPr>
        <w:t>ценката в това отношение е разнопосочна. Някои МИГ успяват да катализират и поддържат добра мрежа от партньорства, което е видно от високите резултати на прилагане на стратегиите за развитие. При други МИГ мрежите от местни партньорства са много ограничени и слаби.</w:t>
      </w:r>
    </w:p>
    <w:p w14:paraId="69EFAB86"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Като добра практика за работа в мрежа може да бъде представено създаването на неформална мрежа на МИГ от Южен централен район. Нейното начало е поставено в края на 2012 г. на регионален форум, когато представители на МИГ Белово, Септември, Велинград, МИГ Панагюрище, Стрелча, Лесичово, МИГ Харманли, МИГ Раковски, МИГ Сандански, МИГ Високи Западни Родопи и МИГ Преспа вземат решение за изграждане на регионална мрежа с цел повишаване активността на МИГ. До края на прилагане на стратегиите за местно развитие членовете на неформалната мрежа осъществяват успешно сътрудничество чрез провеждане на форуми, на които обсъждат проблемите при реализацията на стратегиите, в частност процедурите за оценка на проекти, рисковете при изпълнение на проектите, търсят решения и обсъждат идеи за по-успешното им прилагане.</w:t>
      </w:r>
    </w:p>
    <w:p w14:paraId="2A943070" w14:textId="7C78251F"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През програмен период 2007 – 2013 обмяна на резултати, опит и ноу-хау между местните партньорства е осъществявано чрез Асоциация „Българска национална ЛИДЕР мрежа”. По данни от сайта на асоциацията http://www.leader-network.org/index.php/za-asotziatziyata/3-za-asotziatziyata, мрежата е учредена на 6 октомври 2012</w:t>
      </w:r>
      <w:r w:rsidR="00052C74">
        <w:rPr>
          <w:rFonts w:cs="Arial"/>
          <w:sz w:val="22"/>
          <w:szCs w:val="22"/>
          <w:lang w:val="bg-BG"/>
        </w:rPr>
        <w:t xml:space="preserve"> </w:t>
      </w:r>
      <w:r w:rsidRPr="00BC513A">
        <w:rPr>
          <w:rFonts w:cs="Arial"/>
          <w:sz w:val="22"/>
          <w:szCs w:val="22"/>
          <w:lang w:val="bg-BG"/>
        </w:rPr>
        <w:t>г. Организацията се състои от 29 на брой местни инициативни групи.</w:t>
      </w:r>
    </w:p>
    <w:p w14:paraId="1212FCBA" w14:textId="4B3ECE40"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Основни ползватели </w:t>
      </w:r>
      <w:r w:rsidR="00DD55B2">
        <w:rPr>
          <w:rFonts w:cs="Arial"/>
          <w:sz w:val="22"/>
          <w:szCs w:val="22"/>
          <w:lang w:val="bg-BG"/>
        </w:rPr>
        <w:t xml:space="preserve">на </w:t>
      </w:r>
      <w:r w:rsidRPr="00BC513A">
        <w:rPr>
          <w:rFonts w:cs="Arial"/>
          <w:sz w:val="22"/>
          <w:szCs w:val="22"/>
          <w:lang w:val="bg-BG"/>
        </w:rPr>
        <w:t>работата на асоциацията са: административни и управленски екипи в цялата страна; публично-частни партньори/участници във всяка МИГ в цялата страна; представители в секторите на развитие /местни общности по нива на въздействие в населените места и регионите на страната, в които има МИГ;  граждани и граждански организации, както и други заинтересовани страни в малките населени места като читалища, граждански организации, обединения на местния бизнес, организации на лица в неравностойно положение, клубове и сдружения.</w:t>
      </w:r>
    </w:p>
    <w:p w14:paraId="7D761C58"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Асоциация „Българска национална ЛИДЕР мрежа“ работи активно в полза на своите членове. </w:t>
      </w:r>
      <w:r w:rsidR="00B40CD0">
        <w:rPr>
          <w:rFonts w:cs="Arial"/>
          <w:sz w:val="22"/>
          <w:szCs w:val="22"/>
          <w:lang w:val="bg-BG"/>
        </w:rPr>
        <w:t xml:space="preserve">Чрез посредничеството на организацията е </w:t>
      </w:r>
      <w:r w:rsidRPr="00BC513A">
        <w:rPr>
          <w:rFonts w:cs="Arial"/>
          <w:sz w:val="22"/>
          <w:szCs w:val="22"/>
          <w:lang w:val="bg-BG"/>
        </w:rPr>
        <w:t>поставено началото на работа в партньорство между МИГ и сътрудничеството с УО. Като продължение на успешното сътрудничество между членовете, асоциацията взима участие в работната група за изготвяне на нормативен акт за координация на многофондовото прилагане на подхода Водено от общностите местно развитие за периода 2014 – 2020.</w:t>
      </w:r>
    </w:p>
    <w:p w14:paraId="372A65B0" w14:textId="77777777" w:rsidR="00E8617E" w:rsidRPr="00BC513A" w:rsidRDefault="00E8617E" w:rsidP="003644F0">
      <w:pPr>
        <w:pStyle w:val="DefaultText"/>
        <w:keepNext/>
        <w:numPr>
          <w:ilvl w:val="0"/>
          <w:numId w:val="29"/>
        </w:numPr>
        <w:spacing w:before="240" w:after="120" w:line="300" w:lineRule="atLeast"/>
        <w:ind w:left="714" w:hanging="357"/>
        <w:rPr>
          <w:rFonts w:cs="Arial"/>
          <w:b/>
          <w:sz w:val="22"/>
          <w:szCs w:val="22"/>
          <w:lang w:val="bg-BG"/>
        </w:rPr>
      </w:pPr>
      <w:r w:rsidRPr="00BC513A">
        <w:rPr>
          <w:rFonts w:cs="Arial"/>
          <w:b/>
          <w:sz w:val="22"/>
          <w:szCs w:val="22"/>
          <w:lang w:val="bg-BG"/>
        </w:rPr>
        <w:t xml:space="preserve">Сътрудничество/коопериране </w:t>
      </w:r>
    </w:p>
    <w:p w14:paraId="708BE561"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Нивата на сътрудничество и коопериране са все още много слаби. Това е видно както от броя общини, на територията на които работи една МИГ, така и от осъществените проекти за сътрудничество. По-голямата част от местните инициативни групи включват в територията си само една община – 19 бр., следвани от МИГ, обхващащи две общини – 12 бр., три МИГ включват три общини и само една МИГ е включила в територията си четири общини. </w:t>
      </w:r>
    </w:p>
    <w:p w14:paraId="41EBAF47"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Добро сътрудничество между МИГ е осъществено от членуващите групи в Националната селска мрежа</w:t>
      </w:r>
      <w:r w:rsidRPr="0049526E">
        <w:rPr>
          <w:vertAlign w:val="superscript"/>
          <w:lang w:val="bg-BG"/>
        </w:rPr>
        <w:footnoteReference w:id="41"/>
      </w:r>
      <w:r w:rsidRPr="00BC513A">
        <w:rPr>
          <w:rFonts w:cs="Arial"/>
          <w:sz w:val="22"/>
          <w:szCs w:val="22"/>
          <w:lang w:val="bg-BG"/>
        </w:rPr>
        <w:t xml:space="preserve">, където представителите – членове на екипите или колективните управителни органи са взели участие в множество тематични работни срещи за обмяна на опит, свързана с представяне на модели на проекти и добри практики в областите заетост, иновации и възобновяеми енергийни източници, финансирани по стратегиите за местно развитие от ПРСР 2007 – 2013. </w:t>
      </w:r>
    </w:p>
    <w:p w14:paraId="09B00625" w14:textId="77777777" w:rsidR="00E8617E" w:rsidRPr="00BC513A" w:rsidRDefault="00E8617E" w:rsidP="00E8617E">
      <w:pPr>
        <w:keepNext/>
        <w:numPr>
          <w:ilvl w:val="0"/>
          <w:numId w:val="20"/>
        </w:numPr>
        <w:spacing w:before="240" w:after="120"/>
        <w:ind w:left="714" w:hanging="357"/>
        <w:jc w:val="both"/>
        <w:rPr>
          <w:rFonts w:ascii="Arial" w:hAnsi="Arial" w:cs="Arial"/>
          <w:color w:val="0070C0"/>
        </w:rPr>
      </w:pPr>
      <w:r w:rsidRPr="00BC513A">
        <w:rPr>
          <w:rFonts w:ascii="Arial" w:hAnsi="Arial" w:cs="Arial"/>
          <w:color w:val="0070C0"/>
        </w:rPr>
        <w:t>До каква степен прилагането на подхода ЛИДЕР е допринесло за подобряване на местното управление? (Стратегически приоритет на Общността)</w:t>
      </w:r>
    </w:p>
    <w:p w14:paraId="40E87AA1"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Местното самоуправление стъпва на активно участие от страна на местните общности. Тук важната роля на МИГ е да въвлече  различни заинтересовани страни  в изпълнението на мерките на МИГ. Те могат да бъдат разпределени в три сектора – стопански, нестопански и публичен.</w:t>
      </w:r>
    </w:p>
    <w:p w14:paraId="31B54D61"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Към стопанския сектор се причисляват физически и юридически лица, които генерират приходи от продажби – ЕТ, ЕООД, ООД, земеделски производители и др.</w:t>
      </w:r>
    </w:p>
    <w:p w14:paraId="13664261"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Към нестопанския сектор спадат лица, регистрирани по Закона за юридическите лица с нестопанска цел или по Закона за народните читалища, както и физически лица – най-често активни местни лидери, НПО, читалища и др.</w:t>
      </w:r>
    </w:p>
    <w:p w14:paraId="550D494C"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Публичният сектор включва публични институции – общини, училища, професионални гимназии и др.</w:t>
      </w:r>
    </w:p>
    <w:p w14:paraId="009B9AD1" w14:textId="77777777" w:rsidR="00837873"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От направения анализ на заинтересованите страни и бенефициентите (Приложение 3), участвали в изпълнението на проекти към Стратегиите за местно развитие може да са заключи, че стопанския</w:t>
      </w:r>
      <w:r w:rsidR="001C3365">
        <w:rPr>
          <w:rFonts w:cs="Arial"/>
          <w:sz w:val="22"/>
          <w:szCs w:val="22"/>
          <w:lang w:val="bg-BG"/>
        </w:rPr>
        <w:t>т</w:t>
      </w:r>
      <w:r w:rsidRPr="00BC513A">
        <w:rPr>
          <w:rFonts w:cs="Arial"/>
          <w:sz w:val="22"/>
          <w:szCs w:val="22"/>
          <w:lang w:val="bg-BG"/>
        </w:rPr>
        <w:t xml:space="preserve"> сектор заема най-голям дял в изпълнението на проекти от Стратегиите за местно развитие – 78 % от заинтересованите страни – ЕТ и физически лица, ЕООД, ООД, земеделски кооперации. Следват представителите на нестопанския сектор, които заемат 14 % от изпълнилите проекти по стратегиите – 128 бр. читалища и неправителствени организации (НПО). Най-малък дял от заинтересованите страни заема публичния</w:t>
      </w:r>
      <w:r w:rsidR="001C3365">
        <w:rPr>
          <w:rFonts w:cs="Arial"/>
          <w:sz w:val="22"/>
          <w:szCs w:val="22"/>
          <w:lang w:val="bg-BG"/>
        </w:rPr>
        <w:t>т</w:t>
      </w:r>
      <w:r w:rsidRPr="00BC513A">
        <w:rPr>
          <w:rFonts w:cs="Arial"/>
          <w:sz w:val="22"/>
          <w:szCs w:val="22"/>
          <w:lang w:val="bg-BG"/>
        </w:rPr>
        <w:t xml:space="preserve"> сектор с 68 бр. Тук се включват общини, професионални гимназии, институти, горски стопанства и местни поделения на вероизповедания, които представляват 8 % от изпълнилите проекти по стратегиите. </w:t>
      </w:r>
    </w:p>
    <w:p w14:paraId="18593272" w14:textId="77777777" w:rsidR="00E8617E" w:rsidRPr="00BC513A" w:rsidRDefault="00E8617E" w:rsidP="00E8617E">
      <w:pPr>
        <w:ind w:left="284"/>
        <w:jc w:val="both"/>
        <w:rPr>
          <w:rFonts w:ascii="Arial" w:hAnsi="Arial" w:cs="Arial"/>
        </w:rPr>
      </w:pPr>
      <w:r w:rsidRPr="00BC513A">
        <w:rPr>
          <w:rFonts w:ascii="Arial" w:hAnsi="Arial" w:cs="Arial"/>
          <w:noProof/>
          <w:lang w:val="en-US"/>
        </w:rPr>
        <w:drawing>
          <wp:inline distT="0" distB="0" distL="0" distR="0" wp14:anchorId="602F95C3" wp14:editId="1C914358">
            <wp:extent cx="5486400" cy="2427316"/>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14:paraId="30F0F789" w14:textId="77777777" w:rsidR="00E8617E" w:rsidRPr="00F07F15" w:rsidRDefault="00E8617E" w:rsidP="00E8617E">
      <w:pPr>
        <w:jc w:val="both"/>
        <w:rPr>
          <w:rFonts w:ascii="Arial" w:hAnsi="Arial" w:cs="Arial"/>
          <w:sz w:val="18"/>
          <w:szCs w:val="18"/>
        </w:rPr>
      </w:pPr>
      <w:r w:rsidRPr="00F07F15">
        <w:rPr>
          <w:rFonts w:ascii="Arial" w:hAnsi="Arial" w:cs="Arial"/>
          <w:sz w:val="18"/>
          <w:szCs w:val="18"/>
        </w:rPr>
        <w:t>Източник: Собствен анализ на база данни от ДФЗ-РА</w:t>
      </w:r>
    </w:p>
    <w:p w14:paraId="27551E7C" w14:textId="77777777" w:rsidR="00E8617E" w:rsidRPr="00BC513A" w:rsidRDefault="00E8617E" w:rsidP="00E8617E">
      <w:pPr>
        <w:pStyle w:val="DefaultText"/>
        <w:spacing w:after="120" w:line="300" w:lineRule="atLeast"/>
        <w:ind w:firstLine="709"/>
        <w:jc w:val="center"/>
        <w:rPr>
          <w:rFonts w:cs="Arial"/>
          <w:sz w:val="20"/>
          <w:szCs w:val="20"/>
          <w:lang w:val="bg-BG"/>
        </w:rPr>
      </w:pPr>
      <w:bookmarkStart w:id="193" w:name="_Toc506984730"/>
      <w:r w:rsidRPr="00BC513A">
        <w:rPr>
          <w:rFonts w:cs="Arial"/>
          <w:b/>
          <w:color w:val="0070C0"/>
          <w:sz w:val="20"/>
          <w:szCs w:val="20"/>
          <w:lang w:val="bg-BG"/>
        </w:rPr>
        <w:t xml:space="preserve">Фигура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Фигура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24</w:t>
      </w:r>
      <w:r w:rsidRPr="00BC513A">
        <w:rPr>
          <w:rFonts w:cs="Arial"/>
          <w:b/>
          <w:color w:val="0070C0"/>
          <w:sz w:val="20"/>
          <w:szCs w:val="20"/>
          <w:lang w:val="bg-BG"/>
        </w:rPr>
        <w:fldChar w:fldCharType="end"/>
      </w:r>
      <w:r w:rsidRPr="00BC513A">
        <w:rPr>
          <w:rFonts w:cs="Arial"/>
          <w:b/>
          <w:color w:val="0070C0"/>
          <w:sz w:val="20"/>
          <w:szCs w:val="20"/>
          <w:lang w:val="bg-BG"/>
        </w:rPr>
        <w:t>. Бенефициенти по проекти на МИГ по сектори в периода 2007-2013 г.</w:t>
      </w:r>
      <w:bookmarkEnd w:id="193"/>
    </w:p>
    <w:p w14:paraId="147F0E77" w14:textId="77777777" w:rsidR="00837873" w:rsidRPr="00BC513A" w:rsidRDefault="00837873" w:rsidP="00837873">
      <w:pPr>
        <w:pStyle w:val="DefaultText"/>
        <w:spacing w:after="120" w:line="300" w:lineRule="atLeast"/>
        <w:ind w:firstLine="709"/>
        <w:rPr>
          <w:rFonts w:cs="Arial"/>
          <w:sz w:val="22"/>
          <w:szCs w:val="22"/>
          <w:lang w:val="bg-BG"/>
        </w:rPr>
      </w:pPr>
      <w:r w:rsidRPr="00BC513A">
        <w:rPr>
          <w:rFonts w:cs="Arial"/>
          <w:sz w:val="22"/>
          <w:szCs w:val="22"/>
          <w:lang w:val="bg-BG"/>
        </w:rPr>
        <w:t>МИГ са успели да обединят партньорите от обществения и частния сектор в изпълнението на стратегиите. Ниският дял на участие на публичния сектор е положителен резултат, тъй като съгласно Основното ръководство по подхода ЛИДЕР на равнище вземане на решения частните партньори и асоциации трябва да съставляват поне 50 % от местното партньорство и да се избягва превеса на публичните органи в лицето на общините.</w:t>
      </w:r>
    </w:p>
    <w:p w14:paraId="077F3B1D"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 xml:space="preserve">Подходът ЛИДЕР е първоначална стъпка за активиране на местни инициативи и подобряване на местното самоуправление. В тази посока, макар изпълнението да не е било толкова ефективно, колкото би могло да бъде, подходът е разпознат като възможност за проява на местна инициатива и осигуряване на финансиране за проекти от местно значение.  </w:t>
      </w:r>
    </w:p>
    <w:p w14:paraId="370B86A0"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Направеното проучване сред общини от селските райони показва много висока оценка за значението на подхода за местното управление и развитие (виж фигурата по-долу).</w:t>
      </w:r>
    </w:p>
    <w:p w14:paraId="50387FB7" w14:textId="77777777" w:rsidR="00E8617E" w:rsidRPr="00BC513A" w:rsidRDefault="00E8617E" w:rsidP="0005693E">
      <w:pPr>
        <w:pStyle w:val="DefaultText"/>
        <w:spacing w:after="120" w:line="300" w:lineRule="atLeast"/>
        <w:jc w:val="center"/>
        <w:rPr>
          <w:rFonts w:cs="Arial"/>
          <w:sz w:val="22"/>
          <w:szCs w:val="22"/>
          <w:lang w:val="bg-BG"/>
        </w:rPr>
      </w:pPr>
      <w:r w:rsidRPr="00BC513A">
        <w:rPr>
          <w:rFonts w:cs="Arial"/>
          <w:noProof/>
          <w:sz w:val="22"/>
          <w:szCs w:val="22"/>
          <w:lang w:val="en-US" w:eastAsia="en-US"/>
        </w:rPr>
        <w:drawing>
          <wp:inline distT="0" distB="0" distL="0" distR="0" wp14:anchorId="0BD147DC" wp14:editId="76BE81EF">
            <wp:extent cx="5519650" cy="2784475"/>
            <wp:effectExtent l="0" t="0" r="5080" b="0"/>
            <wp:docPr id="2" name="New picture"/>
            <wp:cNvGraphicFramePr/>
            <a:graphic xmlns:a="http://schemas.openxmlformats.org/drawingml/2006/main">
              <a:graphicData uri="http://schemas.openxmlformats.org/drawingml/2006/picture">
                <pic:pic xmlns:pic="http://schemas.openxmlformats.org/drawingml/2006/picture">
                  <pic:nvPicPr>
                    <pic:cNvPr id="2" name="New picture"/>
                    <pic:cNvPicPr/>
                  </pic:nvPicPr>
                  <pic:blipFill>
                    <a:blip r:embed="rId69"/>
                    <a:stretch>
                      <a:fillRect/>
                    </a:stretch>
                  </pic:blipFill>
                  <pic:spPr>
                    <a:xfrm>
                      <a:off x="0" y="0"/>
                      <a:ext cx="5529823" cy="2789607"/>
                    </a:xfrm>
                    <a:prstGeom prst="rect">
                      <a:avLst/>
                    </a:prstGeom>
                  </pic:spPr>
                </pic:pic>
              </a:graphicData>
            </a:graphic>
          </wp:inline>
        </w:drawing>
      </w:r>
    </w:p>
    <w:p w14:paraId="22887649" w14:textId="77777777" w:rsidR="00E8617E" w:rsidRPr="00F07F15" w:rsidRDefault="00E8617E" w:rsidP="00E8617E">
      <w:pPr>
        <w:pStyle w:val="DefaultText"/>
        <w:spacing w:after="120" w:line="300" w:lineRule="atLeast"/>
        <w:jc w:val="left"/>
        <w:rPr>
          <w:rFonts w:cs="Arial"/>
          <w:szCs w:val="18"/>
          <w:lang w:val="bg-BG"/>
        </w:rPr>
      </w:pPr>
      <w:r w:rsidRPr="00F07F15">
        <w:rPr>
          <w:rFonts w:cs="Arial"/>
          <w:szCs w:val="18"/>
          <w:lang w:val="bg-BG"/>
        </w:rPr>
        <w:t xml:space="preserve">Източник: Собствено </w:t>
      </w:r>
      <w:r w:rsidR="00320533">
        <w:rPr>
          <w:rFonts w:cs="Arial"/>
          <w:szCs w:val="18"/>
          <w:lang w:val="bg-BG"/>
        </w:rPr>
        <w:t xml:space="preserve">онлайн </w:t>
      </w:r>
      <w:r w:rsidRPr="00F07F15">
        <w:rPr>
          <w:rFonts w:cs="Arial"/>
          <w:szCs w:val="18"/>
          <w:lang w:val="bg-BG"/>
        </w:rPr>
        <w:t>проучване в рамките на оценката</w:t>
      </w:r>
    </w:p>
    <w:p w14:paraId="682E8A16" w14:textId="77777777" w:rsidR="00E8617E" w:rsidRPr="00BC513A" w:rsidRDefault="00E8617E" w:rsidP="00E8617E">
      <w:pPr>
        <w:pStyle w:val="DefaultText"/>
        <w:spacing w:after="120" w:line="300" w:lineRule="atLeast"/>
        <w:ind w:firstLine="709"/>
        <w:jc w:val="center"/>
        <w:rPr>
          <w:rFonts w:cs="Arial"/>
          <w:sz w:val="20"/>
          <w:szCs w:val="20"/>
          <w:lang w:val="bg-BG"/>
        </w:rPr>
      </w:pPr>
      <w:bookmarkStart w:id="194" w:name="_Toc506984731"/>
      <w:r w:rsidRPr="00BC513A">
        <w:rPr>
          <w:rFonts w:cs="Arial"/>
          <w:b/>
          <w:color w:val="0070C0"/>
          <w:sz w:val="20"/>
          <w:szCs w:val="20"/>
          <w:lang w:val="bg-BG"/>
        </w:rPr>
        <w:t xml:space="preserve">Фигура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Фигура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25</w:t>
      </w:r>
      <w:r w:rsidRPr="00BC513A">
        <w:rPr>
          <w:rFonts w:cs="Arial"/>
          <w:b/>
          <w:color w:val="0070C0"/>
          <w:sz w:val="20"/>
          <w:szCs w:val="20"/>
          <w:lang w:val="bg-BG"/>
        </w:rPr>
        <w:fldChar w:fldCharType="end"/>
      </w:r>
      <w:r w:rsidRPr="00BC513A">
        <w:rPr>
          <w:rFonts w:cs="Arial"/>
          <w:b/>
          <w:color w:val="0070C0"/>
          <w:sz w:val="20"/>
          <w:szCs w:val="20"/>
          <w:lang w:val="bg-BG"/>
        </w:rPr>
        <w:t>. Принос на МИГ, оценен от общините партньори</w:t>
      </w:r>
      <w:bookmarkEnd w:id="194"/>
    </w:p>
    <w:p w14:paraId="5C745757" w14:textId="77777777" w:rsidR="00E8617E" w:rsidRPr="00BC513A" w:rsidRDefault="00E8617E" w:rsidP="00E8617E">
      <w:pPr>
        <w:pStyle w:val="DefaultText"/>
        <w:spacing w:after="120" w:line="300" w:lineRule="atLeast"/>
        <w:ind w:firstLine="709"/>
        <w:rPr>
          <w:rFonts w:cs="Arial"/>
          <w:sz w:val="22"/>
          <w:szCs w:val="22"/>
          <w:lang w:val="bg-BG"/>
        </w:rPr>
      </w:pPr>
      <w:r w:rsidRPr="00BC513A">
        <w:rPr>
          <w:rFonts w:cs="Arial"/>
          <w:sz w:val="22"/>
          <w:szCs w:val="22"/>
          <w:lang w:val="bg-BG"/>
        </w:rPr>
        <w:t>Прилагането на подхода допринася за подобряване на местното управление в няколко аспекта:</w:t>
      </w:r>
    </w:p>
    <w:p w14:paraId="76478D47" w14:textId="77777777" w:rsidR="00E8617E" w:rsidRPr="00BC513A" w:rsidRDefault="00E8617E" w:rsidP="00E8617E">
      <w:pPr>
        <w:pStyle w:val="DefaultText"/>
        <w:numPr>
          <w:ilvl w:val="0"/>
          <w:numId w:val="32"/>
        </w:numPr>
        <w:spacing w:after="120" w:line="300" w:lineRule="atLeast"/>
        <w:rPr>
          <w:rFonts w:cs="Arial"/>
          <w:sz w:val="22"/>
          <w:szCs w:val="22"/>
          <w:lang w:val="bg-BG"/>
        </w:rPr>
      </w:pPr>
      <w:r w:rsidRPr="00BC513A">
        <w:rPr>
          <w:rFonts w:cs="Arial"/>
          <w:sz w:val="22"/>
          <w:szCs w:val="22"/>
          <w:lang w:val="bg-BG"/>
        </w:rPr>
        <w:t>Създаване на местни инициативни групи, които са реален партньор на общинските власти.</w:t>
      </w:r>
    </w:p>
    <w:p w14:paraId="3203D37B" w14:textId="77777777" w:rsidR="00E8617E" w:rsidRPr="00BC513A" w:rsidRDefault="00E8617E" w:rsidP="00E8617E">
      <w:pPr>
        <w:pStyle w:val="DefaultText"/>
        <w:numPr>
          <w:ilvl w:val="0"/>
          <w:numId w:val="32"/>
        </w:numPr>
        <w:spacing w:after="120" w:line="300" w:lineRule="atLeast"/>
        <w:rPr>
          <w:rFonts w:cs="Arial"/>
          <w:sz w:val="22"/>
          <w:szCs w:val="22"/>
          <w:lang w:val="bg-BG"/>
        </w:rPr>
      </w:pPr>
      <w:r w:rsidRPr="00BC513A">
        <w:rPr>
          <w:rFonts w:cs="Arial"/>
          <w:sz w:val="22"/>
          <w:szCs w:val="22"/>
          <w:lang w:val="bg-BG"/>
        </w:rPr>
        <w:t>Активиране на заинтересованите страни.</w:t>
      </w:r>
    </w:p>
    <w:p w14:paraId="57D4E4BB" w14:textId="77777777" w:rsidR="00E8617E" w:rsidRPr="00BC513A" w:rsidRDefault="00E8617E" w:rsidP="00E8617E">
      <w:pPr>
        <w:pStyle w:val="DefaultText"/>
        <w:numPr>
          <w:ilvl w:val="0"/>
          <w:numId w:val="32"/>
        </w:numPr>
        <w:spacing w:after="120" w:line="300" w:lineRule="atLeast"/>
        <w:rPr>
          <w:rFonts w:cs="Arial"/>
          <w:sz w:val="22"/>
          <w:szCs w:val="22"/>
          <w:lang w:val="bg-BG"/>
        </w:rPr>
      </w:pPr>
      <w:r w:rsidRPr="00BC513A">
        <w:rPr>
          <w:rFonts w:cs="Arial"/>
          <w:sz w:val="22"/>
          <w:szCs w:val="22"/>
          <w:lang w:val="bg-BG"/>
        </w:rPr>
        <w:t>Подобряване и улесняване на координацията между различните заинтересовани страни.</w:t>
      </w:r>
    </w:p>
    <w:p w14:paraId="1D57CBFA" w14:textId="77777777" w:rsidR="00E8617E" w:rsidRPr="00BC513A" w:rsidRDefault="00E8617E" w:rsidP="00E8617E">
      <w:pPr>
        <w:pStyle w:val="DefaultText"/>
        <w:numPr>
          <w:ilvl w:val="0"/>
          <w:numId w:val="32"/>
        </w:numPr>
        <w:spacing w:after="120" w:line="300" w:lineRule="atLeast"/>
        <w:rPr>
          <w:rFonts w:cs="Arial"/>
          <w:sz w:val="22"/>
          <w:szCs w:val="22"/>
          <w:lang w:val="bg-BG"/>
        </w:rPr>
      </w:pPr>
      <w:r w:rsidRPr="00BC513A">
        <w:rPr>
          <w:rFonts w:cs="Arial"/>
          <w:sz w:val="22"/>
          <w:szCs w:val="22"/>
          <w:lang w:val="bg-BG"/>
        </w:rPr>
        <w:t xml:space="preserve">Изграждане на местен човешки капацитет от експерти, които да подпомагат местните власти в изработването и управлението на проекти. </w:t>
      </w:r>
    </w:p>
    <w:p w14:paraId="4C38FAD4" w14:textId="77777777" w:rsidR="00E8617E" w:rsidRPr="00BC513A" w:rsidRDefault="00E8617E" w:rsidP="00E8617E">
      <w:pPr>
        <w:pStyle w:val="ListParagraph"/>
        <w:jc w:val="right"/>
        <w:rPr>
          <w:rFonts w:ascii="Arial" w:hAnsi="Arial" w:cs="Arial"/>
          <w:color w:val="0070C0"/>
        </w:rPr>
      </w:pPr>
    </w:p>
    <w:p w14:paraId="40FB7C05" w14:textId="77777777" w:rsidR="00E8617E" w:rsidRPr="00BC513A" w:rsidRDefault="00E8617E" w:rsidP="00E8617E">
      <w:pPr>
        <w:pStyle w:val="Heading3"/>
        <w:numPr>
          <w:ilvl w:val="0"/>
          <w:numId w:val="0"/>
        </w:numPr>
        <w:shd w:val="clear" w:color="auto" w:fill="F2F2F2" w:themeFill="background1" w:themeFillShade="F2"/>
      </w:pPr>
      <w:bookmarkStart w:id="195" w:name="_Toc504136159"/>
      <w:r w:rsidRPr="00BC513A">
        <w:t>Техническа помощ</w:t>
      </w:r>
      <w:bookmarkEnd w:id="195"/>
    </w:p>
    <w:p w14:paraId="0AD19FF7"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Мярка 511 „Техническа помощ“ е инструмент, който осигурява финансова подкрепа за управлението и прилагането на </w:t>
      </w:r>
      <w:r w:rsidR="000F57E9">
        <w:rPr>
          <w:sz w:val="22"/>
          <w:szCs w:val="22"/>
          <w:lang w:val="bg-BG"/>
        </w:rPr>
        <w:t>п</w:t>
      </w:r>
      <w:r w:rsidRPr="00BC513A">
        <w:rPr>
          <w:sz w:val="22"/>
          <w:szCs w:val="22"/>
          <w:lang w:val="bg-BG"/>
        </w:rPr>
        <w:t>рограмата и за изпълнението на Общата селскостопанска политика и на политиката за развитие на селските райони.</w:t>
      </w:r>
    </w:p>
    <w:p w14:paraId="26F27989" w14:textId="1B622C8D"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Целта на Мярка 511 е да подкрепя управлението, изпълнението</w:t>
      </w:r>
      <w:r w:rsidR="001C3365">
        <w:rPr>
          <w:sz w:val="22"/>
          <w:szCs w:val="22"/>
          <w:lang w:val="bg-BG"/>
        </w:rPr>
        <w:t>,</w:t>
      </w:r>
      <w:r w:rsidRPr="00BC513A">
        <w:rPr>
          <w:sz w:val="22"/>
          <w:szCs w:val="22"/>
          <w:lang w:val="bg-BG"/>
        </w:rPr>
        <w:t xml:space="preserve"> наблюдението, контрола, оценката, публичността и информираност на ПРСР 2007-2013 и изграждането и укрепване на административния капацитет на </w:t>
      </w:r>
      <w:r w:rsidR="000F57E9">
        <w:rPr>
          <w:sz w:val="22"/>
          <w:szCs w:val="22"/>
          <w:lang w:val="bg-BG"/>
        </w:rPr>
        <w:t>п</w:t>
      </w:r>
      <w:r w:rsidRPr="00BC513A">
        <w:rPr>
          <w:sz w:val="22"/>
          <w:szCs w:val="22"/>
          <w:lang w:val="bg-BG"/>
        </w:rPr>
        <w:t>рограмата.</w:t>
      </w:r>
    </w:p>
    <w:p w14:paraId="3F2D3617"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Финансовата помощ, отпусната за дейности по линия на техническа помощ е в размер до 100% от общите допустими разходи. Мярка 511 осигурява средства за подготовка, мониторинг, оценка, одит и контрол, административна и техническа подкрепа. По тази мярка се прилагат дейностите за Националната селска мрежа.  </w:t>
      </w:r>
    </w:p>
    <w:p w14:paraId="4480E879"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Специфичните цели на мярка „Техническа помощ“ са :</w:t>
      </w:r>
    </w:p>
    <w:p w14:paraId="206334D0" w14:textId="77777777" w:rsidR="00E8617E" w:rsidRPr="00BC513A" w:rsidRDefault="00E8617E" w:rsidP="00E8617E">
      <w:pPr>
        <w:pStyle w:val="DefaultText"/>
        <w:numPr>
          <w:ilvl w:val="1"/>
          <w:numId w:val="16"/>
        </w:numPr>
        <w:spacing w:after="120" w:line="300" w:lineRule="atLeast"/>
        <w:rPr>
          <w:sz w:val="22"/>
          <w:szCs w:val="22"/>
          <w:lang w:val="bg-BG"/>
        </w:rPr>
      </w:pPr>
      <w:r w:rsidRPr="00BC513A">
        <w:rPr>
          <w:sz w:val="22"/>
          <w:szCs w:val="22"/>
          <w:lang w:val="bg-BG"/>
        </w:rPr>
        <w:t>да се осигури добро ефективно и ефикасно  финансово и оперативно управление на програмата;</w:t>
      </w:r>
    </w:p>
    <w:p w14:paraId="18EDD4A6" w14:textId="02498AB9" w:rsidR="00E8617E" w:rsidRPr="00BC513A" w:rsidRDefault="00E8617E" w:rsidP="00E8617E">
      <w:pPr>
        <w:pStyle w:val="DefaultText"/>
        <w:numPr>
          <w:ilvl w:val="1"/>
          <w:numId w:val="16"/>
        </w:numPr>
        <w:spacing w:after="120" w:line="300" w:lineRule="atLeast"/>
        <w:rPr>
          <w:sz w:val="22"/>
          <w:szCs w:val="22"/>
          <w:lang w:val="bg-BG"/>
        </w:rPr>
      </w:pPr>
      <w:r w:rsidRPr="00BC513A">
        <w:rPr>
          <w:sz w:val="22"/>
          <w:szCs w:val="22"/>
          <w:lang w:val="bg-BG"/>
        </w:rPr>
        <w:t xml:space="preserve">да развие и укрепи административния капацитет на Управляващия орган – Дирекция </w:t>
      </w:r>
      <w:r w:rsidR="001C3365">
        <w:rPr>
          <w:sz w:val="22"/>
          <w:szCs w:val="22"/>
          <w:lang w:val="bg-BG"/>
        </w:rPr>
        <w:t>„Р</w:t>
      </w:r>
      <w:r w:rsidRPr="00BC513A">
        <w:rPr>
          <w:sz w:val="22"/>
          <w:szCs w:val="22"/>
          <w:lang w:val="bg-BG"/>
        </w:rPr>
        <w:t>азвитие на селските райони</w:t>
      </w:r>
      <w:r w:rsidR="001C3365">
        <w:rPr>
          <w:sz w:val="22"/>
          <w:szCs w:val="22"/>
          <w:lang w:val="bg-BG"/>
        </w:rPr>
        <w:t>“</w:t>
      </w:r>
      <w:r w:rsidRPr="00BC513A">
        <w:rPr>
          <w:sz w:val="22"/>
          <w:szCs w:val="22"/>
          <w:lang w:val="bg-BG"/>
        </w:rPr>
        <w:t xml:space="preserve"> към МЗХГ.</w:t>
      </w:r>
    </w:p>
    <w:p w14:paraId="7703A9E9" w14:textId="5A5B7DAC" w:rsidR="00E8617E" w:rsidRPr="00BC513A" w:rsidRDefault="00E8617E" w:rsidP="00E8617E">
      <w:pPr>
        <w:pStyle w:val="DefaultText"/>
        <w:numPr>
          <w:ilvl w:val="1"/>
          <w:numId w:val="16"/>
        </w:numPr>
        <w:spacing w:after="120" w:line="300" w:lineRule="atLeast"/>
        <w:rPr>
          <w:sz w:val="22"/>
          <w:szCs w:val="22"/>
          <w:lang w:val="bg-BG"/>
        </w:rPr>
      </w:pPr>
      <w:r w:rsidRPr="00BC513A">
        <w:rPr>
          <w:sz w:val="22"/>
          <w:szCs w:val="22"/>
          <w:lang w:val="bg-BG"/>
        </w:rPr>
        <w:t>да осигури подготовката, управлението и ефикасното използване на  финансовия ресурс</w:t>
      </w:r>
      <w:r w:rsidR="001C3365">
        <w:rPr>
          <w:sz w:val="22"/>
          <w:szCs w:val="22"/>
          <w:lang w:val="bg-BG"/>
        </w:rPr>
        <w:t>,</w:t>
      </w:r>
      <w:r w:rsidRPr="00BC513A">
        <w:rPr>
          <w:sz w:val="22"/>
          <w:szCs w:val="22"/>
          <w:lang w:val="bg-BG"/>
        </w:rPr>
        <w:t xml:space="preserve"> предоставен за дейността на Националната селска мрежа; </w:t>
      </w:r>
    </w:p>
    <w:p w14:paraId="629A4608" w14:textId="77777777" w:rsidR="00E8617E" w:rsidRPr="00BC513A" w:rsidRDefault="00E8617E" w:rsidP="00E8617E">
      <w:pPr>
        <w:pStyle w:val="DefaultText"/>
        <w:numPr>
          <w:ilvl w:val="1"/>
          <w:numId w:val="16"/>
        </w:numPr>
        <w:spacing w:after="120" w:line="300" w:lineRule="atLeast"/>
        <w:rPr>
          <w:sz w:val="22"/>
          <w:szCs w:val="22"/>
          <w:lang w:val="bg-BG"/>
        </w:rPr>
      </w:pPr>
      <w:r w:rsidRPr="00BC513A">
        <w:rPr>
          <w:sz w:val="22"/>
          <w:szCs w:val="22"/>
          <w:lang w:val="bg-BG"/>
        </w:rPr>
        <w:t xml:space="preserve">да осигури прозрачност, информация , комуникация и популяризиране на програмата;   </w:t>
      </w:r>
    </w:p>
    <w:p w14:paraId="537D7A72"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Бенефициенти по програмата са: УО на ПРСР – дирекция „Развитие на селските райони“ към МЗХГ и  ДФЗ-РА. </w:t>
      </w:r>
    </w:p>
    <w:p w14:paraId="0FCF4394"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По отношение на мярка 511 „Техническа помощ“ не са формулирани индикатори и поради това не са мерени  постигнати резултати и ефекти. Това съответно затруднява оценката и проследяване на напредъка на дейностите по мярката. </w:t>
      </w:r>
    </w:p>
    <w:p w14:paraId="1D604847" w14:textId="77777777" w:rsidR="00E8617E" w:rsidRPr="00BC513A" w:rsidRDefault="00E8617E" w:rsidP="00E8617E">
      <w:pPr>
        <w:pStyle w:val="DefaultText"/>
        <w:keepNext/>
        <w:numPr>
          <w:ilvl w:val="0"/>
          <w:numId w:val="21"/>
        </w:numPr>
        <w:spacing w:before="240" w:after="120"/>
        <w:ind w:left="714" w:hanging="357"/>
        <w:rPr>
          <w:color w:val="0070C0"/>
          <w:sz w:val="22"/>
          <w:szCs w:val="22"/>
          <w:lang w:val="bg-BG"/>
        </w:rPr>
      </w:pPr>
      <w:r w:rsidRPr="00BC513A">
        <w:rPr>
          <w:rFonts w:cs="Arial"/>
          <w:color w:val="0070C0"/>
          <w:sz w:val="22"/>
          <w:szCs w:val="22"/>
          <w:lang w:val="bg-BG"/>
        </w:rPr>
        <w:t>До каква степен мярка „Техническа помощ“ е допринесла за постигането на целите на ПРСР?</w:t>
      </w:r>
    </w:p>
    <w:p w14:paraId="11C19886"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Заложените дейности по мярката са насочени към постигане на ефективно и ефикасно  финансово и оперативно управление на </w:t>
      </w:r>
      <w:r w:rsidR="000F57E9">
        <w:rPr>
          <w:sz w:val="22"/>
          <w:szCs w:val="22"/>
          <w:lang w:val="bg-BG"/>
        </w:rPr>
        <w:t>п</w:t>
      </w:r>
      <w:r w:rsidRPr="00BC513A">
        <w:rPr>
          <w:sz w:val="22"/>
          <w:szCs w:val="22"/>
          <w:lang w:val="bg-BG"/>
        </w:rPr>
        <w:t xml:space="preserve">рограмата. Предвидените дейности се отнасят към повишаване на административния капацитет на служителите на Управляващия орган и ДФЗ-РА, осигуряване на външна консултантска подкрепа (анализи, проучвания, оценки, информационни събития и популяризиране), обучения, материално и техническо обезпечаване. От бюджета на програмата са обособени суми за допълнение към работната заплата на служители на УО и ДФЗ-РА,  както и за трудови възнаграждения за наети допълнителни служители на трудов договор съгласно постановление на Министерски съвет № 230 от 25 септември 2009. Информационните дейности и публичните събития за популяризиране на програмата са основен елемент на Комуникационния план, който е заложен в мярката.  </w:t>
      </w:r>
    </w:p>
    <w:p w14:paraId="4B050028"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В таблицата по-долу планираните дейности по мярката са систематизирани към нейните цели.</w:t>
      </w:r>
    </w:p>
    <w:p w14:paraId="19E3D035" w14:textId="77777777" w:rsidR="00E8617E" w:rsidRPr="00BC513A" w:rsidRDefault="00E8617E" w:rsidP="00E8617E">
      <w:pPr>
        <w:keepNext/>
        <w:spacing w:after="0" w:line="360" w:lineRule="auto"/>
        <w:jc w:val="both"/>
        <w:rPr>
          <w:rFonts w:ascii="Arial" w:hAnsi="Arial" w:cs="Arial"/>
          <w:b/>
          <w:iCs/>
          <w:color w:val="0070C0"/>
          <w:sz w:val="20"/>
          <w:szCs w:val="20"/>
        </w:rPr>
      </w:pPr>
      <w:bookmarkStart w:id="196" w:name="_Toc504136257"/>
      <w:r w:rsidRPr="00BC513A">
        <w:rPr>
          <w:rFonts w:ascii="Arial" w:hAnsi="Arial" w:cs="Arial"/>
          <w:b/>
          <w:iCs/>
          <w:color w:val="0070C0"/>
          <w:sz w:val="20"/>
          <w:szCs w:val="20"/>
        </w:rPr>
        <w:t xml:space="preserve">Таблица </w:t>
      </w:r>
      <w:r w:rsidRPr="00BC513A">
        <w:rPr>
          <w:rFonts w:ascii="Arial" w:hAnsi="Arial" w:cs="Arial"/>
          <w:b/>
          <w:iCs/>
          <w:color w:val="0070C0"/>
          <w:sz w:val="20"/>
          <w:szCs w:val="20"/>
        </w:rPr>
        <w:fldChar w:fldCharType="begin"/>
      </w:r>
      <w:r w:rsidRPr="00BC513A">
        <w:rPr>
          <w:rFonts w:ascii="Arial" w:hAnsi="Arial" w:cs="Arial"/>
          <w:b/>
          <w:iCs/>
          <w:color w:val="0070C0"/>
          <w:sz w:val="20"/>
          <w:szCs w:val="20"/>
        </w:rPr>
        <w:instrText xml:space="preserve"> SEQ Таблица \* ARABIC </w:instrText>
      </w:r>
      <w:r w:rsidRPr="00BC513A">
        <w:rPr>
          <w:rFonts w:ascii="Arial" w:hAnsi="Arial" w:cs="Arial"/>
          <w:b/>
          <w:iCs/>
          <w:color w:val="0070C0"/>
          <w:sz w:val="20"/>
          <w:szCs w:val="20"/>
        </w:rPr>
        <w:fldChar w:fldCharType="separate"/>
      </w:r>
      <w:r w:rsidR="0023010D">
        <w:rPr>
          <w:rFonts w:ascii="Arial" w:hAnsi="Arial" w:cs="Arial"/>
          <w:b/>
          <w:iCs/>
          <w:noProof/>
          <w:color w:val="0070C0"/>
          <w:sz w:val="20"/>
          <w:szCs w:val="20"/>
        </w:rPr>
        <w:t>86</w:t>
      </w:r>
      <w:r w:rsidRPr="00BC513A">
        <w:rPr>
          <w:rFonts w:ascii="Arial" w:hAnsi="Arial" w:cs="Arial"/>
          <w:b/>
          <w:iCs/>
          <w:color w:val="0070C0"/>
          <w:sz w:val="20"/>
          <w:szCs w:val="20"/>
        </w:rPr>
        <w:fldChar w:fldCharType="end"/>
      </w:r>
      <w:r w:rsidRPr="00BC513A">
        <w:rPr>
          <w:rFonts w:ascii="Arial" w:hAnsi="Arial" w:cs="Arial"/>
          <w:b/>
          <w:iCs/>
          <w:color w:val="0070C0"/>
          <w:sz w:val="20"/>
          <w:szCs w:val="20"/>
        </w:rPr>
        <w:t>. Цели, планирани дейности и разходвани средства по мярка 511</w:t>
      </w:r>
      <w:bookmarkEnd w:id="196"/>
    </w:p>
    <w:tbl>
      <w:tblPr>
        <w:tblStyle w:val="TableGrid"/>
        <w:tblW w:w="9209" w:type="dxa"/>
        <w:tblLayout w:type="fixed"/>
        <w:tblLook w:val="04A0" w:firstRow="1" w:lastRow="0" w:firstColumn="1" w:lastColumn="0" w:noHBand="0" w:noVBand="1"/>
      </w:tblPr>
      <w:tblGrid>
        <w:gridCol w:w="1980"/>
        <w:gridCol w:w="5103"/>
        <w:gridCol w:w="1276"/>
        <w:gridCol w:w="850"/>
      </w:tblGrid>
      <w:tr w:rsidR="00E8617E" w:rsidRPr="00BC513A" w14:paraId="404A7A09" w14:textId="77777777" w:rsidTr="0049526E">
        <w:trPr>
          <w:trHeight w:val="487"/>
          <w:tblHeader/>
        </w:trPr>
        <w:tc>
          <w:tcPr>
            <w:tcW w:w="1980" w:type="dxa"/>
            <w:vMerge w:val="restart"/>
            <w:shd w:val="clear" w:color="auto" w:fill="1F4E79" w:themeFill="accent1" w:themeFillShade="80"/>
          </w:tcPr>
          <w:p w14:paraId="53B73447" w14:textId="77777777" w:rsidR="00E8617E" w:rsidRPr="00BC513A" w:rsidRDefault="00E8617E" w:rsidP="00922731">
            <w:pP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Цели </w:t>
            </w:r>
          </w:p>
        </w:tc>
        <w:tc>
          <w:tcPr>
            <w:tcW w:w="5103" w:type="dxa"/>
            <w:vMerge w:val="restart"/>
            <w:shd w:val="clear" w:color="auto" w:fill="1F4E79" w:themeFill="accent1" w:themeFillShade="80"/>
          </w:tcPr>
          <w:p w14:paraId="365D7C62" w14:textId="77777777" w:rsidR="00E8617E" w:rsidRPr="00BC513A" w:rsidRDefault="00E8617E" w:rsidP="00922731">
            <w:pP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Дейности </w:t>
            </w:r>
          </w:p>
        </w:tc>
        <w:tc>
          <w:tcPr>
            <w:tcW w:w="2126" w:type="dxa"/>
            <w:gridSpan w:val="2"/>
            <w:shd w:val="clear" w:color="auto" w:fill="1F4E79" w:themeFill="accent1" w:themeFillShade="80"/>
          </w:tcPr>
          <w:p w14:paraId="3B79875B"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Действителни разходи</w:t>
            </w:r>
          </w:p>
        </w:tc>
      </w:tr>
      <w:tr w:rsidR="00E8617E" w:rsidRPr="00BC513A" w14:paraId="1096533F" w14:textId="77777777" w:rsidTr="0049526E">
        <w:trPr>
          <w:trHeight w:val="422"/>
          <w:tblHeader/>
        </w:trPr>
        <w:tc>
          <w:tcPr>
            <w:tcW w:w="1980" w:type="dxa"/>
            <w:vMerge/>
            <w:shd w:val="clear" w:color="auto" w:fill="1F4E79" w:themeFill="accent1" w:themeFillShade="80"/>
          </w:tcPr>
          <w:p w14:paraId="04388C28" w14:textId="77777777" w:rsidR="00E8617E" w:rsidRPr="00BC513A" w:rsidRDefault="00E8617E" w:rsidP="00922731">
            <w:pPr>
              <w:rPr>
                <w:rFonts w:ascii="Arial" w:hAnsi="Arial" w:cs="Arial"/>
                <w:b/>
                <w:color w:val="FFFFFF" w:themeColor="background1"/>
                <w:sz w:val="20"/>
                <w:szCs w:val="20"/>
              </w:rPr>
            </w:pPr>
          </w:p>
        </w:tc>
        <w:tc>
          <w:tcPr>
            <w:tcW w:w="5103" w:type="dxa"/>
            <w:vMerge/>
            <w:shd w:val="clear" w:color="auto" w:fill="1F4E79" w:themeFill="accent1" w:themeFillShade="80"/>
          </w:tcPr>
          <w:p w14:paraId="086588B1" w14:textId="77777777" w:rsidR="00E8617E" w:rsidRPr="00BC513A" w:rsidRDefault="00E8617E" w:rsidP="00922731">
            <w:pPr>
              <w:rPr>
                <w:rFonts w:ascii="Arial" w:hAnsi="Arial" w:cs="Arial"/>
                <w:b/>
                <w:color w:val="FFFFFF" w:themeColor="background1"/>
                <w:sz w:val="20"/>
                <w:szCs w:val="20"/>
              </w:rPr>
            </w:pPr>
          </w:p>
        </w:tc>
        <w:tc>
          <w:tcPr>
            <w:tcW w:w="1276" w:type="dxa"/>
            <w:shd w:val="clear" w:color="auto" w:fill="1F4E79" w:themeFill="accent1" w:themeFillShade="80"/>
          </w:tcPr>
          <w:p w14:paraId="3A399D95"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евро</w:t>
            </w:r>
          </w:p>
        </w:tc>
        <w:tc>
          <w:tcPr>
            <w:tcW w:w="850" w:type="dxa"/>
            <w:shd w:val="clear" w:color="auto" w:fill="1F4E79" w:themeFill="accent1" w:themeFillShade="80"/>
          </w:tcPr>
          <w:p w14:paraId="4F5F2835" w14:textId="77777777" w:rsidR="00E8617E" w:rsidRPr="00BC513A" w:rsidRDefault="00E8617E" w:rsidP="00922731">
            <w:pPr>
              <w:jc w:val="center"/>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 </w:t>
            </w:r>
          </w:p>
        </w:tc>
      </w:tr>
      <w:tr w:rsidR="00E8617E" w:rsidRPr="00BC513A" w14:paraId="7C6CBA96" w14:textId="77777777" w:rsidTr="00922731">
        <w:tc>
          <w:tcPr>
            <w:tcW w:w="1980" w:type="dxa"/>
          </w:tcPr>
          <w:p w14:paraId="72045121"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Добро ефективно и ефикасно  финансово и оперативно   управление на програмата</w:t>
            </w:r>
          </w:p>
        </w:tc>
        <w:tc>
          <w:tcPr>
            <w:tcW w:w="5103" w:type="dxa"/>
          </w:tcPr>
          <w:p w14:paraId="2AA95680"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 xml:space="preserve">1.Разработване на  анализи, проучвания, на оценки, технически доклади от външни изпълнители. </w:t>
            </w:r>
          </w:p>
          <w:p w14:paraId="3D683B8D"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2.Функциониране на Комитета за наблюдение(КН) и организиране на заседания на КН;</w:t>
            </w:r>
          </w:p>
          <w:p w14:paraId="62C15BE6"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4. Техническо и технологично оборудване (закупуване и поддръжка на компютърни системи, лицензирани софтуер, информационни системи за обмен на информация и за наблюдение и др.)</w:t>
            </w:r>
          </w:p>
          <w:p w14:paraId="2EEF71EE"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 xml:space="preserve">5. Оценки на изпълнението на ПРСР (текуща, междинна, последваща и изготвяне на годишен доклад) </w:t>
            </w:r>
          </w:p>
          <w:p w14:paraId="32F2761A"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6. Последваща оценка на Програма САПАРД;</w:t>
            </w:r>
          </w:p>
        </w:tc>
        <w:tc>
          <w:tcPr>
            <w:tcW w:w="1276" w:type="dxa"/>
          </w:tcPr>
          <w:p w14:paraId="1AA99798"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580 061</w:t>
            </w:r>
          </w:p>
          <w:p w14:paraId="77295504"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212 681</w:t>
            </w:r>
          </w:p>
          <w:p w14:paraId="07AF8081"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3 333 432</w:t>
            </w:r>
          </w:p>
          <w:p w14:paraId="72E186B0"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812 094</w:t>
            </w:r>
          </w:p>
        </w:tc>
        <w:tc>
          <w:tcPr>
            <w:tcW w:w="850" w:type="dxa"/>
          </w:tcPr>
          <w:p w14:paraId="50F9061F" w14:textId="77777777" w:rsidR="00E8617E" w:rsidRPr="00BC513A" w:rsidRDefault="00E8617E" w:rsidP="00922731">
            <w:pPr>
              <w:spacing w:line="276" w:lineRule="auto"/>
              <w:jc w:val="center"/>
              <w:rPr>
                <w:rFonts w:ascii="Arial" w:hAnsi="Arial" w:cs="Arial"/>
                <w:sz w:val="20"/>
                <w:szCs w:val="20"/>
              </w:rPr>
            </w:pPr>
            <w:r w:rsidRPr="00BC513A">
              <w:rPr>
                <w:rFonts w:ascii="Arial" w:hAnsi="Arial" w:cs="Arial"/>
                <w:sz w:val="20"/>
                <w:szCs w:val="20"/>
              </w:rPr>
              <w:t>18%</w:t>
            </w:r>
          </w:p>
        </w:tc>
      </w:tr>
      <w:tr w:rsidR="00E8617E" w:rsidRPr="00BC513A" w14:paraId="4F02946B" w14:textId="77777777" w:rsidTr="00922731">
        <w:tc>
          <w:tcPr>
            <w:tcW w:w="1980" w:type="dxa"/>
          </w:tcPr>
          <w:p w14:paraId="723EF8D6"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 xml:space="preserve">2.Укрепване на  административния капацитет на УО и ДФЗ-РА </w:t>
            </w:r>
          </w:p>
        </w:tc>
        <w:tc>
          <w:tcPr>
            <w:tcW w:w="5103" w:type="dxa"/>
          </w:tcPr>
          <w:p w14:paraId="74DD1CC1" w14:textId="5DCF22C3"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1.Организиране на обучения за  администрацията на УО и ДФЗ-РА по теми</w:t>
            </w:r>
            <w:r w:rsidR="00296BEB">
              <w:rPr>
                <w:rFonts w:ascii="Arial" w:hAnsi="Arial" w:cs="Arial"/>
                <w:sz w:val="20"/>
                <w:szCs w:val="20"/>
              </w:rPr>
              <w:t>,</w:t>
            </w:r>
            <w:r w:rsidRPr="00BC513A">
              <w:rPr>
                <w:rFonts w:ascii="Arial" w:hAnsi="Arial" w:cs="Arial"/>
                <w:sz w:val="20"/>
                <w:szCs w:val="20"/>
              </w:rPr>
              <w:t xml:space="preserve"> свързани с управлението, изпълнението, контрола, мониторинга и оценката на програмата;  </w:t>
            </w:r>
          </w:p>
          <w:p w14:paraId="61A5116C"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2.Участие в конференции и семинари, организирани от ЕС и от страни-членки на ЕС</w:t>
            </w:r>
          </w:p>
        </w:tc>
        <w:tc>
          <w:tcPr>
            <w:tcW w:w="1276" w:type="dxa"/>
          </w:tcPr>
          <w:p w14:paraId="149A3913"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580 061</w:t>
            </w:r>
          </w:p>
        </w:tc>
        <w:tc>
          <w:tcPr>
            <w:tcW w:w="850" w:type="dxa"/>
          </w:tcPr>
          <w:p w14:paraId="7B8C4366" w14:textId="77777777" w:rsidR="00E8617E" w:rsidRPr="00BC513A" w:rsidRDefault="00E8617E" w:rsidP="00922731">
            <w:pPr>
              <w:spacing w:line="276" w:lineRule="auto"/>
              <w:jc w:val="center"/>
              <w:rPr>
                <w:rFonts w:ascii="Arial" w:hAnsi="Arial" w:cs="Arial"/>
                <w:sz w:val="20"/>
                <w:szCs w:val="20"/>
              </w:rPr>
            </w:pPr>
            <w:r w:rsidRPr="00BC513A">
              <w:rPr>
                <w:rFonts w:ascii="Arial" w:hAnsi="Arial" w:cs="Arial"/>
                <w:sz w:val="20"/>
                <w:szCs w:val="20"/>
              </w:rPr>
              <w:t>2%</w:t>
            </w:r>
          </w:p>
        </w:tc>
      </w:tr>
      <w:tr w:rsidR="00E8617E" w:rsidRPr="00BC513A" w14:paraId="71630FBA" w14:textId="77777777" w:rsidTr="00922731">
        <w:tc>
          <w:tcPr>
            <w:tcW w:w="1980" w:type="dxa"/>
          </w:tcPr>
          <w:p w14:paraId="3104AA28" w14:textId="77777777" w:rsidR="00E8617E" w:rsidRPr="00BC513A" w:rsidRDefault="00E8617E" w:rsidP="000F57E9">
            <w:pPr>
              <w:spacing w:line="276" w:lineRule="auto"/>
              <w:rPr>
                <w:rFonts w:ascii="Arial" w:hAnsi="Arial" w:cs="Arial"/>
                <w:sz w:val="20"/>
                <w:szCs w:val="20"/>
              </w:rPr>
            </w:pPr>
            <w:r w:rsidRPr="00BC513A">
              <w:rPr>
                <w:rFonts w:ascii="Arial" w:hAnsi="Arial" w:cs="Arial"/>
                <w:sz w:val="20"/>
                <w:szCs w:val="20"/>
              </w:rPr>
              <w:t xml:space="preserve">3.Информираност, публичност и популяризиране на </w:t>
            </w:r>
            <w:r w:rsidR="000F57E9">
              <w:rPr>
                <w:rFonts w:ascii="Arial" w:hAnsi="Arial" w:cs="Arial"/>
                <w:sz w:val="20"/>
                <w:szCs w:val="20"/>
              </w:rPr>
              <w:t>п</w:t>
            </w:r>
            <w:r w:rsidRPr="00BC513A">
              <w:rPr>
                <w:rFonts w:ascii="Arial" w:hAnsi="Arial" w:cs="Arial"/>
                <w:sz w:val="20"/>
                <w:szCs w:val="20"/>
              </w:rPr>
              <w:t>рограмата</w:t>
            </w:r>
          </w:p>
        </w:tc>
        <w:tc>
          <w:tcPr>
            <w:tcW w:w="5103" w:type="dxa"/>
          </w:tcPr>
          <w:p w14:paraId="1B009FD8" w14:textId="1E5CB360"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1.Подготовка и изпълнение на  Комуникационния план</w:t>
            </w:r>
            <w:r w:rsidR="00296BEB">
              <w:rPr>
                <w:rFonts w:ascii="Arial" w:hAnsi="Arial" w:cs="Arial"/>
                <w:sz w:val="20"/>
                <w:szCs w:val="20"/>
              </w:rPr>
              <w:t>,</w:t>
            </w:r>
            <w:r w:rsidRPr="00BC513A">
              <w:rPr>
                <w:rFonts w:ascii="Arial" w:hAnsi="Arial" w:cs="Arial"/>
                <w:color w:val="000000"/>
                <w:sz w:val="20"/>
                <w:szCs w:val="20"/>
                <w:shd w:val="clear" w:color="auto" w:fill="FEFEFE"/>
              </w:rPr>
              <w:t xml:space="preserve"> в който са включени информационни компании, информация в електронните медии, публични семинари и популяризиране на ПРСР.</w:t>
            </w:r>
          </w:p>
          <w:p w14:paraId="0200D6BF"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 Разпространение на информация  за ПРСР, тази дейност е пряко свързана  с практически аспекти на изпълнението на програмата (включва публикации,  и разпространение на материали (документи, доклади, плакати, брошури, листовки, ръководства, инструкции, правила и др.);</w:t>
            </w:r>
          </w:p>
          <w:p w14:paraId="753B167B"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 xml:space="preserve">- Публични семинари и информационни събития;  </w:t>
            </w:r>
          </w:p>
          <w:p w14:paraId="76DA5642"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 xml:space="preserve">-Поддръжка на уебсайтовете на МЗХГ и РА, които предоставят информация на потенциалните бенефициенти по отношение на възможностите за получаване на подкрепа и за резултатите от изпълнението на програмата. </w:t>
            </w:r>
          </w:p>
          <w:p w14:paraId="312C1033" w14:textId="77777777" w:rsidR="00E8617E" w:rsidRPr="00BC513A" w:rsidRDefault="00E8617E" w:rsidP="00922731">
            <w:pPr>
              <w:spacing w:line="276" w:lineRule="auto"/>
              <w:rPr>
                <w:rFonts w:ascii="Arial" w:hAnsi="Arial" w:cs="Arial"/>
                <w:sz w:val="20"/>
                <w:szCs w:val="20"/>
              </w:rPr>
            </w:pPr>
          </w:p>
        </w:tc>
        <w:tc>
          <w:tcPr>
            <w:tcW w:w="1276" w:type="dxa"/>
          </w:tcPr>
          <w:p w14:paraId="02762F80"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14 576 739</w:t>
            </w:r>
          </w:p>
        </w:tc>
        <w:tc>
          <w:tcPr>
            <w:tcW w:w="850" w:type="dxa"/>
          </w:tcPr>
          <w:p w14:paraId="0B08F31B" w14:textId="77777777" w:rsidR="00E8617E" w:rsidRPr="00BC513A" w:rsidRDefault="00E8617E" w:rsidP="00922731">
            <w:pPr>
              <w:spacing w:line="276" w:lineRule="auto"/>
              <w:jc w:val="center"/>
              <w:rPr>
                <w:rFonts w:ascii="Arial" w:hAnsi="Arial" w:cs="Arial"/>
                <w:sz w:val="20"/>
                <w:szCs w:val="20"/>
              </w:rPr>
            </w:pPr>
            <w:r w:rsidRPr="00BC513A">
              <w:rPr>
                <w:rFonts w:ascii="Arial" w:hAnsi="Arial" w:cs="Arial"/>
                <w:sz w:val="20"/>
                <w:szCs w:val="20"/>
              </w:rPr>
              <w:t>38%</w:t>
            </w:r>
          </w:p>
        </w:tc>
      </w:tr>
      <w:tr w:rsidR="00E8617E" w:rsidRPr="00BC513A" w14:paraId="33341306" w14:textId="77777777" w:rsidTr="00922731">
        <w:tc>
          <w:tcPr>
            <w:tcW w:w="1980" w:type="dxa"/>
          </w:tcPr>
          <w:p w14:paraId="005F36E5"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Национална селска мрежа</w:t>
            </w:r>
          </w:p>
        </w:tc>
        <w:tc>
          <w:tcPr>
            <w:tcW w:w="5103" w:type="dxa"/>
          </w:tcPr>
          <w:p w14:paraId="5FC99BC6"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 xml:space="preserve">1.Създаване и укрепване на мрежа на заинтересованите лица </w:t>
            </w:r>
          </w:p>
          <w:p w14:paraId="5469D7B1"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 xml:space="preserve">2.Разработване на  анализ и проучвания, които  подпомагат  изпълнението на ОСП и </w:t>
            </w:r>
          </w:p>
          <w:p w14:paraId="7B848494"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Политиката за развитие на селските райони</w:t>
            </w:r>
          </w:p>
          <w:p w14:paraId="25DF1575"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3. Организиране на обучителни семинари и</w:t>
            </w:r>
          </w:p>
          <w:p w14:paraId="7A46EE5C"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подкрепа за изграждане на капацитета на потенциални бенефициенти</w:t>
            </w:r>
          </w:p>
          <w:p w14:paraId="0E333CDB"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4. Подкрепа на местните</w:t>
            </w:r>
          </w:p>
          <w:p w14:paraId="5EB253BB"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инициативни групи (МИГ) по подхода ЛИДЕР</w:t>
            </w:r>
          </w:p>
          <w:p w14:paraId="7A431348"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 xml:space="preserve">5.Представяне на мрежата на международно </w:t>
            </w:r>
          </w:p>
          <w:p w14:paraId="7A47B600"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Европейската мрежа за развитие на</w:t>
            </w:r>
          </w:p>
          <w:p w14:paraId="2C1E2027"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селските райони.</w:t>
            </w:r>
          </w:p>
        </w:tc>
        <w:tc>
          <w:tcPr>
            <w:tcW w:w="1276" w:type="dxa"/>
          </w:tcPr>
          <w:p w14:paraId="1AC43F47"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2 817 583</w:t>
            </w:r>
          </w:p>
          <w:p w14:paraId="75BC48BA" w14:textId="77777777" w:rsidR="00E8617E" w:rsidRPr="00BC513A" w:rsidRDefault="00E8617E" w:rsidP="00922731">
            <w:pPr>
              <w:pStyle w:val="ListParagraph"/>
              <w:spacing w:line="276" w:lineRule="auto"/>
              <w:ind w:left="360"/>
              <w:rPr>
                <w:rFonts w:ascii="Arial" w:hAnsi="Arial" w:cs="Arial"/>
                <w:sz w:val="20"/>
                <w:szCs w:val="20"/>
              </w:rPr>
            </w:pPr>
          </w:p>
        </w:tc>
        <w:tc>
          <w:tcPr>
            <w:tcW w:w="850" w:type="dxa"/>
          </w:tcPr>
          <w:p w14:paraId="533F01C7" w14:textId="77777777" w:rsidR="00E8617E" w:rsidRPr="00BC513A" w:rsidRDefault="00E8617E" w:rsidP="00922731">
            <w:pPr>
              <w:spacing w:line="276" w:lineRule="auto"/>
              <w:jc w:val="center"/>
              <w:rPr>
                <w:rFonts w:ascii="Arial" w:hAnsi="Arial" w:cs="Arial"/>
                <w:sz w:val="20"/>
                <w:szCs w:val="20"/>
              </w:rPr>
            </w:pPr>
            <w:r w:rsidRPr="00BC513A">
              <w:rPr>
                <w:rFonts w:ascii="Arial" w:hAnsi="Arial" w:cs="Arial"/>
                <w:sz w:val="20"/>
                <w:szCs w:val="20"/>
              </w:rPr>
              <w:t>7%</w:t>
            </w:r>
          </w:p>
        </w:tc>
      </w:tr>
      <w:tr w:rsidR="00E8617E" w:rsidRPr="00BC513A" w14:paraId="2DAE5E09" w14:textId="77777777" w:rsidTr="00922731">
        <w:tc>
          <w:tcPr>
            <w:tcW w:w="7083" w:type="dxa"/>
            <w:gridSpan w:val="2"/>
          </w:tcPr>
          <w:p w14:paraId="6FCA9DF3" w14:textId="77777777" w:rsidR="00E8617E" w:rsidRPr="00BC513A" w:rsidRDefault="00E8617E" w:rsidP="00922731">
            <w:pPr>
              <w:spacing w:line="276" w:lineRule="auto"/>
              <w:jc w:val="both"/>
              <w:rPr>
                <w:rFonts w:ascii="Arial" w:hAnsi="Arial" w:cs="Arial"/>
                <w:sz w:val="20"/>
                <w:szCs w:val="20"/>
              </w:rPr>
            </w:pPr>
            <w:r w:rsidRPr="00BC513A">
              <w:rPr>
                <w:rFonts w:ascii="Arial" w:hAnsi="Arial" w:cs="Arial"/>
                <w:sz w:val="20"/>
                <w:szCs w:val="20"/>
              </w:rPr>
              <w:t>Работна заплата и допълнително финансово стимулиране</w:t>
            </w:r>
          </w:p>
        </w:tc>
        <w:tc>
          <w:tcPr>
            <w:tcW w:w="1276" w:type="dxa"/>
          </w:tcPr>
          <w:p w14:paraId="4B1A6C23" w14:textId="77777777" w:rsidR="00E8617E" w:rsidRPr="00BC513A" w:rsidRDefault="00E8617E" w:rsidP="00922731">
            <w:pPr>
              <w:spacing w:line="276" w:lineRule="auto"/>
              <w:rPr>
                <w:rFonts w:ascii="Arial" w:eastAsia="Times New Roman" w:hAnsi="Arial" w:cs="Times New Roman"/>
                <w:lang w:eastAsia="nl-NL"/>
              </w:rPr>
            </w:pPr>
            <w:r w:rsidRPr="00BC513A">
              <w:rPr>
                <w:rFonts w:ascii="Arial" w:hAnsi="Arial" w:cs="Arial"/>
                <w:sz w:val="20"/>
                <w:szCs w:val="20"/>
              </w:rPr>
              <w:t>13 167 252</w:t>
            </w:r>
          </w:p>
        </w:tc>
        <w:tc>
          <w:tcPr>
            <w:tcW w:w="850" w:type="dxa"/>
          </w:tcPr>
          <w:p w14:paraId="4FB3541B" w14:textId="77777777" w:rsidR="00E8617E" w:rsidRPr="00BC513A" w:rsidRDefault="00E8617E" w:rsidP="00922731">
            <w:pPr>
              <w:spacing w:line="276" w:lineRule="auto"/>
              <w:jc w:val="center"/>
              <w:rPr>
                <w:rFonts w:ascii="Arial" w:hAnsi="Arial" w:cs="Arial"/>
                <w:sz w:val="20"/>
                <w:szCs w:val="20"/>
              </w:rPr>
            </w:pPr>
            <w:r w:rsidRPr="00BC513A">
              <w:rPr>
                <w:rFonts w:ascii="Arial" w:hAnsi="Arial" w:cs="Arial"/>
                <w:sz w:val="20"/>
                <w:szCs w:val="20"/>
              </w:rPr>
              <w:t>35%</w:t>
            </w:r>
          </w:p>
        </w:tc>
      </w:tr>
      <w:tr w:rsidR="00E8617E" w:rsidRPr="00BC513A" w14:paraId="2C97F307" w14:textId="77777777" w:rsidTr="00922731">
        <w:tc>
          <w:tcPr>
            <w:tcW w:w="7083" w:type="dxa"/>
            <w:gridSpan w:val="2"/>
            <w:shd w:val="clear" w:color="auto" w:fill="DEEAF6" w:themeFill="accent1" w:themeFillTint="33"/>
          </w:tcPr>
          <w:p w14:paraId="155A4B06" w14:textId="77777777" w:rsidR="00E8617E" w:rsidRPr="00BC513A" w:rsidRDefault="00E8617E" w:rsidP="00922731">
            <w:pPr>
              <w:jc w:val="right"/>
              <w:rPr>
                <w:rFonts w:ascii="Arial" w:hAnsi="Arial" w:cs="Arial"/>
                <w:b/>
                <w:sz w:val="20"/>
                <w:szCs w:val="20"/>
              </w:rPr>
            </w:pPr>
            <w:r w:rsidRPr="00BC513A">
              <w:rPr>
                <w:rFonts w:ascii="Arial" w:hAnsi="Arial" w:cs="Arial"/>
                <w:b/>
                <w:sz w:val="20"/>
                <w:szCs w:val="20"/>
              </w:rPr>
              <w:t>Общо</w:t>
            </w:r>
          </w:p>
        </w:tc>
        <w:tc>
          <w:tcPr>
            <w:tcW w:w="1276" w:type="dxa"/>
            <w:shd w:val="clear" w:color="auto" w:fill="DEEAF6" w:themeFill="accent1" w:themeFillTint="33"/>
          </w:tcPr>
          <w:p w14:paraId="43FCF128" w14:textId="77777777" w:rsidR="00E8617E" w:rsidRPr="00BC513A" w:rsidRDefault="00E8617E" w:rsidP="00922731">
            <w:pPr>
              <w:spacing w:line="276" w:lineRule="auto"/>
              <w:rPr>
                <w:rFonts w:ascii="Arial" w:hAnsi="Arial" w:cs="Arial"/>
                <w:sz w:val="20"/>
                <w:szCs w:val="20"/>
              </w:rPr>
            </w:pPr>
            <w:r w:rsidRPr="00BC513A">
              <w:rPr>
                <w:rFonts w:ascii="Arial" w:eastAsia="Times New Roman" w:hAnsi="Arial" w:cs="Arial"/>
                <w:b/>
                <w:bCs/>
                <w:sz w:val="20"/>
                <w:szCs w:val="20"/>
                <w:lang w:eastAsia="bg-BG"/>
              </w:rPr>
              <w:t>38 133 658</w:t>
            </w:r>
          </w:p>
        </w:tc>
        <w:tc>
          <w:tcPr>
            <w:tcW w:w="850" w:type="dxa"/>
            <w:shd w:val="clear" w:color="auto" w:fill="DEEAF6" w:themeFill="accent1" w:themeFillTint="33"/>
          </w:tcPr>
          <w:p w14:paraId="59BC6C6A" w14:textId="77777777" w:rsidR="00E8617E" w:rsidRPr="00320533" w:rsidRDefault="00E8617E" w:rsidP="00922731">
            <w:pPr>
              <w:spacing w:line="276" w:lineRule="auto"/>
              <w:jc w:val="center"/>
              <w:rPr>
                <w:rFonts w:ascii="Arial" w:hAnsi="Arial" w:cs="Arial"/>
                <w:b/>
                <w:sz w:val="20"/>
                <w:szCs w:val="20"/>
              </w:rPr>
            </w:pPr>
            <w:r w:rsidRPr="00320533">
              <w:rPr>
                <w:rFonts w:ascii="Arial" w:hAnsi="Arial" w:cs="Arial"/>
                <w:b/>
                <w:sz w:val="20"/>
                <w:szCs w:val="20"/>
              </w:rPr>
              <w:t>100%</w:t>
            </w:r>
          </w:p>
        </w:tc>
      </w:tr>
    </w:tbl>
    <w:p w14:paraId="5C53292F" w14:textId="77777777" w:rsidR="00E8617E" w:rsidRPr="00320533" w:rsidRDefault="00E8617E" w:rsidP="00E8617E">
      <w:pPr>
        <w:jc w:val="both"/>
        <w:rPr>
          <w:rFonts w:ascii="Arial" w:eastAsia="Times New Roman" w:hAnsi="Arial" w:cs="Arial"/>
          <w:sz w:val="18"/>
          <w:szCs w:val="18"/>
          <w:lang w:eastAsia="en-GB"/>
        </w:rPr>
      </w:pPr>
      <w:r w:rsidRPr="00320533">
        <w:rPr>
          <w:rFonts w:ascii="Arial" w:eastAsia="Times New Roman" w:hAnsi="Arial" w:cs="Arial"/>
          <w:sz w:val="18"/>
          <w:szCs w:val="18"/>
          <w:lang w:eastAsia="en-GB"/>
        </w:rPr>
        <w:t>Източник: По данни на УО на програмата</w:t>
      </w:r>
    </w:p>
    <w:p w14:paraId="7D5FE183" w14:textId="4F441EED"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Правилата за предоставяне на техническа помощ по ПРСР 2007-2013 се определят от Наредба № 13 от 3 април 2008 г. за организацията по предоставяне на финансова помощ за изпълнение на дейностите по линия на техническа помощ от ПРСР 2007-2013. Наредба 13 е променяна няколкократно с цел  подобряване на процедурите и намаляване на административната тежест при одобрение на техническите оферти и процедурите при одобрение и разплащане. В наредбата е описана организацията по предоставяне на финансова помощ за изпълнение на дейностите по линия на техническа помощ, условията за допустимост на разходите, процедурата за предоставяне на финансовата помощ, правилата за публичност и за проверка на документите. </w:t>
      </w:r>
    </w:p>
    <w:p w14:paraId="625B5EF1" w14:textId="4DB47BEA"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Общият бюджет на мярка „511“ на одобрената ПРСР 2007-2013 през 2008</w:t>
      </w:r>
      <w:r w:rsidR="00296BEB">
        <w:rPr>
          <w:sz w:val="22"/>
          <w:szCs w:val="22"/>
          <w:lang w:val="bg-BG"/>
        </w:rPr>
        <w:t xml:space="preserve"> </w:t>
      </w:r>
      <w:r w:rsidRPr="00BC513A">
        <w:rPr>
          <w:sz w:val="22"/>
          <w:szCs w:val="22"/>
          <w:lang w:val="bg-BG"/>
        </w:rPr>
        <w:t>г. е бил в размер на 123</w:t>
      </w:r>
      <w:r w:rsidR="00296BEB">
        <w:rPr>
          <w:sz w:val="22"/>
          <w:szCs w:val="22"/>
          <w:lang w:val="bg-BG"/>
        </w:rPr>
        <w:t> </w:t>
      </w:r>
      <w:r w:rsidRPr="00BC513A">
        <w:rPr>
          <w:sz w:val="22"/>
          <w:szCs w:val="22"/>
          <w:lang w:val="bg-BG"/>
        </w:rPr>
        <w:t>181</w:t>
      </w:r>
      <w:r w:rsidR="00296BEB">
        <w:rPr>
          <w:sz w:val="22"/>
          <w:szCs w:val="22"/>
          <w:lang w:val="bg-BG"/>
        </w:rPr>
        <w:t> </w:t>
      </w:r>
      <w:r w:rsidRPr="00BC513A">
        <w:rPr>
          <w:sz w:val="22"/>
          <w:szCs w:val="22"/>
          <w:lang w:val="bg-BG"/>
        </w:rPr>
        <w:t>289 евро. Поради невъзможност за усвояване, бюджетът значително е редуциран на 39</w:t>
      </w:r>
      <w:r w:rsidR="00296BEB">
        <w:rPr>
          <w:sz w:val="22"/>
          <w:szCs w:val="22"/>
          <w:lang w:val="bg-BG"/>
        </w:rPr>
        <w:t> </w:t>
      </w:r>
      <w:r w:rsidRPr="00BC513A">
        <w:rPr>
          <w:sz w:val="22"/>
          <w:szCs w:val="22"/>
          <w:lang w:val="bg-BG"/>
        </w:rPr>
        <w:t xml:space="preserve">125 000 евро (само 32% от първоначалния бюджет). </w:t>
      </w:r>
    </w:p>
    <w:p w14:paraId="6656233B"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Като процентно разпределение най-много средства от бюджета на мярка 511 са разходвани за информация и публичност (38%), а най-малко (2%) за укрепване на административния капацитет.</w:t>
      </w:r>
    </w:p>
    <w:p w14:paraId="11928CEA"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УО организира и провежда процедурите за възлагане на дейностите по техническа помощ  посредством обществени поръчки по Закона за обществените поръчки (ЗОП). УО на ПРСР изготвя ежегодно списък на дейностите по линия на  техническа помощ, който се съгласуват и одобрява от ръководството на МЗХГ. </w:t>
      </w:r>
    </w:p>
    <w:p w14:paraId="3E34B7DD" w14:textId="1F8CE33B"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Прави впечатление, че значителна част от планираните и обявени за възлагане към трети страни дейности по реда да ЗОП са анулирани или прекратени поради обжалвания на процедури и значителни закъснения при сключване на договорите, което прави дейностите неактуални за нуждите на управлението и изпълненото на </w:t>
      </w:r>
      <w:r w:rsidR="000F57E9">
        <w:rPr>
          <w:sz w:val="22"/>
          <w:szCs w:val="22"/>
          <w:lang w:val="bg-BG"/>
        </w:rPr>
        <w:t>п</w:t>
      </w:r>
      <w:r w:rsidRPr="00BC513A">
        <w:rPr>
          <w:sz w:val="22"/>
          <w:szCs w:val="22"/>
          <w:lang w:val="bg-BG"/>
        </w:rPr>
        <w:t>рограмата. Общо сумата за анулирани дейности за УО и ДФЗ-РА възлиза на  29</w:t>
      </w:r>
      <w:r w:rsidR="00296BEB">
        <w:rPr>
          <w:sz w:val="22"/>
          <w:szCs w:val="22"/>
          <w:lang w:val="bg-BG"/>
        </w:rPr>
        <w:t> </w:t>
      </w:r>
      <w:r w:rsidRPr="00BC513A">
        <w:rPr>
          <w:sz w:val="22"/>
          <w:szCs w:val="22"/>
          <w:lang w:val="bg-BG"/>
        </w:rPr>
        <w:t>808</w:t>
      </w:r>
      <w:r w:rsidR="00296BEB">
        <w:rPr>
          <w:sz w:val="22"/>
          <w:szCs w:val="22"/>
          <w:lang w:val="bg-BG"/>
        </w:rPr>
        <w:t> </w:t>
      </w:r>
      <w:r w:rsidRPr="00BC513A">
        <w:rPr>
          <w:sz w:val="22"/>
          <w:szCs w:val="22"/>
          <w:lang w:val="bg-BG"/>
        </w:rPr>
        <w:t>919</w:t>
      </w:r>
      <w:r w:rsidR="00296BEB">
        <w:rPr>
          <w:sz w:val="22"/>
          <w:szCs w:val="22"/>
          <w:lang w:val="bg-BG"/>
        </w:rPr>
        <w:t xml:space="preserve"> </w:t>
      </w:r>
      <w:r w:rsidRPr="00BC513A">
        <w:rPr>
          <w:sz w:val="22"/>
          <w:szCs w:val="22"/>
          <w:lang w:val="bg-BG"/>
        </w:rPr>
        <w:t>.41 евро</w:t>
      </w:r>
      <w:r w:rsidR="00296BEB">
        <w:rPr>
          <w:sz w:val="22"/>
          <w:szCs w:val="22"/>
          <w:lang w:val="bg-BG"/>
        </w:rPr>
        <w:t>,</w:t>
      </w:r>
      <w:r w:rsidRPr="00BC513A">
        <w:rPr>
          <w:sz w:val="22"/>
          <w:szCs w:val="22"/>
          <w:lang w:val="bg-BG"/>
        </w:rPr>
        <w:t xml:space="preserve"> т.е. 76 % от окончателния бюджет на мярката.</w:t>
      </w:r>
    </w:p>
    <w:p w14:paraId="077E5E5F"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От бюджета на мярката се покриват и разходи, свързани с оперативното текущо управление и изпълнение на програмата, които не са обект на ЗОП, като участие в заседания на Комитета за развитие на селските райони, за технически срещи в дирекция „Земеделие“ на ЕК, за допълнение на работни заплати на служителите и за допълнително нает персонал. </w:t>
      </w:r>
    </w:p>
    <w:p w14:paraId="15F7281F" w14:textId="77777777" w:rsidR="00E8617E" w:rsidRPr="00BC513A" w:rsidRDefault="00E8617E" w:rsidP="00E8617E">
      <w:pPr>
        <w:keepNext/>
        <w:spacing w:before="240" w:after="120" w:line="300" w:lineRule="atLeast"/>
        <w:jc w:val="both"/>
        <w:rPr>
          <w:rFonts w:ascii="Arial" w:hAnsi="Arial" w:cs="Arial"/>
          <w:i/>
          <w:color w:val="0070C0"/>
        </w:rPr>
      </w:pPr>
      <w:r w:rsidRPr="00BC513A">
        <w:rPr>
          <w:rFonts w:ascii="Arial" w:hAnsi="Arial" w:cs="Arial"/>
          <w:i/>
          <w:color w:val="0070C0"/>
        </w:rPr>
        <w:t xml:space="preserve">Дейности, свързани с ефективно и ефикасно управление на програмата </w:t>
      </w:r>
    </w:p>
    <w:p w14:paraId="45CAFD49" w14:textId="77777777" w:rsidR="00E8617E" w:rsidRPr="00BC513A" w:rsidRDefault="00E8617E" w:rsidP="00E8617E">
      <w:pPr>
        <w:pStyle w:val="DefaultText"/>
        <w:spacing w:after="120" w:line="300" w:lineRule="atLeast"/>
        <w:ind w:firstLine="709"/>
        <w:rPr>
          <w:sz w:val="22"/>
          <w:szCs w:val="22"/>
          <w:lang w:val="bg-BG"/>
        </w:rPr>
      </w:pPr>
      <w:r w:rsidRPr="00BC513A">
        <w:rPr>
          <w:b/>
          <w:i/>
          <w:sz w:val="22"/>
          <w:szCs w:val="22"/>
          <w:lang w:val="bg-BG"/>
        </w:rPr>
        <w:t>Проучвания, анализи, оценки</w:t>
      </w:r>
      <w:r w:rsidRPr="00BC513A">
        <w:rPr>
          <w:sz w:val="22"/>
          <w:szCs w:val="22"/>
          <w:lang w:val="bg-BG"/>
        </w:rPr>
        <w:t xml:space="preserve"> - В хода на изпълнение на програмата е оказана консултантска подкрепа за проучвания, анализи, оценки и изработване на годишните доклади за изпълнение на </w:t>
      </w:r>
      <w:r w:rsidR="006C1D34">
        <w:rPr>
          <w:sz w:val="22"/>
          <w:szCs w:val="22"/>
          <w:lang w:val="bg-BG"/>
        </w:rPr>
        <w:t>п</w:t>
      </w:r>
      <w:r w:rsidRPr="00BC513A">
        <w:rPr>
          <w:sz w:val="22"/>
          <w:szCs w:val="22"/>
          <w:lang w:val="bg-BG"/>
        </w:rPr>
        <w:t xml:space="preserve">рограмата както и подкрепа за програмиране на новата ПРСР 2014-2020.  Консултантската експертиза  е съобразена с нуждите на управление и програмиране на УО. Проучванията и анализите са подпомогнали УО при проучване на потенциалните бенефициенти по мерките и нуждите от инвестиции, с което се  постига по-добра концентрация при разпределението финансовия ресурс на </w:t>
      </w:r>
      <w:r w:rsidR="006C1D34">
        <w:rPr>
          <w:sz w:val="22"/>
          <w:szCs w:val="22"/>
          <w:lang w:val="bg-BG"/>
        </w:rPr>
        <w:t>п</w:t>
      </w:r>
      <w:r w:rsidRPr="00BC513A">
        <w:rPr>
          <w:sz w:val="22"/>
          <w:szCs w:val="22"/>
          <w:lang w:val="bg-BG"/>
        </w:rPr>
        <w:t xml:space="preserve">рограмата. </w:t>
      </w:r>
    </w:p>
    <w:p w14:paraId="1763B310" w14:textId="18BB10E9"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Изготвен е обобщен доклад за напредъка </w:t>
      </w:r>
      <w:r w:rsidR="00296BEB">
        <w:rPr>
          <w:sz w:val="22"/>
          <w:szCs w:val="22"/>
          <w:lang w:val="bg-BG"/>
        </w:rPr>
        <w:t xml:space="preserve">на </w:t>
      </w:r>
      <w:r w:rsidRPr="00BC513A">
        <w:rPr>
          <w:sz w:val="22"/>
          <w:szCs w:val="22"/>
          <w:lang w:val="bg-BG"/>
        </w:rPr>
        <w:t xml:space="preserve">изпълнението на Националния стратегически план за развитие на селските райони за периода. Изготвени са анализ на контролните механизми на програмата, анализ за степента на съответствие на действащите национални наредби за прилагане на мерките от оси 1, 2, 3, 4 и техническата помощ на ПРСР 2007-2013, както и други проучвания, които са подпомогнали прилагането на </w:t>
      </w:r>
      <w:r w:rsidR="006C1D34">
        <w:rPr>
          <w:sz w:val="22"/>
          <w:szCs w:val="22"/>
          <w:lang w:val="bg-BG"/>
        </w:rPr>
        <w:t>п</w:t>
      </w:r>
      <w:r w:rsidRPr="00BC513A">
        <w:rPr>
          <w:sz w:val="22"/>
          <w:szCs w:val="22"/>
          <w:lang w:val="bg-BG"/>
        </w:rPr>
        <w:t xml:space="preserve">рограмата. </w:t>
      </w:r>
    </w:p>
    <w:p w14:paraId="66D9229C" w14:textId="7AF60640" w:rsidR="00E8617E" w:rsidRPr="00BC513A" w:rsidRDefault="00E8617E" w:rsidP="00E8617E">
      <w:pPr>
        <w:pStyle w:val="DefaultText"/>
        <w:spacing w:after="120" w:line="300" w:lineRule="atLeast"/>
        <w:ind w:firstLine="709"/>
        <w:rPr>
          <w:sz w:val="22"/>
          <w:szCs w:val="22"/>
          <w:lang w:val="bg-BG"/>
        </w:rPr>
      </w:pPr>
      <w:r w:rsidRPr="00BC513A">
        <w:rPr>
          <w:b/>
          <w:i/>
          <w:sz w:val="22"/>
          <w:szCs w:val="22"/>
          <w:lang w:val="bg-BG"/>
        </w:rPr>
        <w:t xml:space="preserve">Функциониране на Комитета за наблюдение на </w:t>
      </w:r>
      <w:r w:rsidR="006C1D34">
        <w:rPr>
          <w:b/>
          <w:i/>
          <w:sz w:val="22"/>
          <w:szCs w:val="22"/>
          <w:lang w:val="bg-BG"/>
        </w:rPr>
        <w:t>п</w:t>
      </w:r>
      <w:r w:rsidRPr="00BC513A">
        <w:rPr>
          <w:b/>
          <w:i/>
          <w:sz w:val="22"/>
          <w:szCs w:val="22"/>
          <w:lang w:val="bg-BG"/>
        </w:rPr>
        <w:t>рограмата</w:t>
      </w:r>
      <w:r w:rsidRPr="00BC513A">
        <w:rPr>
          <w:sz w:val="22"/>
          <w:szCs w:val="22"/>
          <w:lang w:val="bg-BG"/>
        </w:rPr>
        <w:t xml:space="preserve"> </w:t>
      </w:r>
      <w:r w:rsidR="00296BEB">
        <w:rPr>
          <w:sz w:val="22"/>
          <w:szCs w:val="22"/>
          <w:lang w:val="bg-BG"/>
        </w:rPr>
        <w:t>–</w:t>
      </w:r>
      <w:r w:rsidRPr="00BC513A">
        <w:rPr>
          <w:sz w:val="22"/>
          <w:szCs w:val="22"/>
          <w:lang w:val="bg-BG"/>
        </w:rPr>
        <w:t xml:space="preserve"> Секретариат на КН е обособено звено към отдел „Програмиране и техническа помощ“ в УО. Той отговаря за организацията, провеждането на заседания на Комитета, за осигуряване на информираност и публичност за неговата работа и за създаване и поддържане на  информационна база. Секретариатът администрира успешно КН, съгласно правилата за дейността на КН и може да се каже, че е създаден и е наличен административен капацитет в това отношение, въпреки че са отбелязвани и пропуски, свързани най-вече до неспазване на 20 дневния срок за уведомяване на членовете на Комитета за наблюдение и за изпращане на писмените документи. </w:t>
      </w:r>
    </w:p>
    <w:p w14:paraId="3311A48C" w14:textId="4B5AD1D1" w:rsidR="00E8617E" w:rsidRPr="00BC513A" w:rsidRDefault="00E8617E" w:rsidP="00E8617E">
      <w:pPr>
        <w:pStyle w:val="DefaultText"/>
        <w:spacing w:after="120" w:line="300" w:lineRule="atLeast"/>
        <w:ind w:firstLine="709"/>
        <w:rPr>
          <w:sz w:val="22"/>
          <w:szCs w:val="22"/>
          <w:lang w:val="bg-BG"/>
        </w:rPr>
      </w:pPr>
      <w:r w:rsidRPr="00BC513A">
        <w:rPr>
          <w:b/>
          <w:i/>
          <w:sz w:val="22"/>
          <w:szCs w:val="22"/>
          <w:lang w:val="bg-BG"/>
        </w:rPr>
        <w:t>Техническо и технологично обезпечаване</w:t>
      </w:r>
      <w:r w:rsidRPr="00BC513A">
        <w:rPr>
          <w:sz w:val="22"/>
          <w:szCs w:val="22"/>
          <w:lang w:val="bg-BG"/>
        </w:rPr>
        <w:t xml:space="preserve"> е необходимо условие експертите </w:t>
      </w:r>
      <w:r w:rsidR="00296BEB">
        <w:rPr>
          <w:sz w:val="22"/>
          <w:szCs w:val="22"/>
          <w:lang w:val="bg-BG"/>
        </w:rPr>
        <w:t xml:space="preserve">от </w:t>
      </w:r>
      <w:r w:rsidRPr="00BC513A">
        <w:rPr>
          <w:sz w:val="22"/>
          <w:szCs w:val="22"/>
          <w:lang w:val="bg-BG"/>
        </w:rPr>
        <w:t xml:space="preserve">УО да изпълняват задълженията си по управление на </w:t>
      </w:r>
      <w:r w:rsidR="006C1D34">
        <w:rPr>
          <w:sz w:val="22"/>
          <w:szCs w:val="22"/>
          <w:lang w:val="bg-BG"/>
        </w:rPr>
        <w:t>п</w:t>
      </w:r>
      <w:r w:rsidRPr="00BC513A">
        <w:rPr>
          <w:sz w:val="22"/>
          <w:szCs w:val="22"/>
          <w:lang w:val="bg-BG"/>
        </w:rPr>
        <w:t xml:space="preserve">рограмата. ДФЗ-РА по техническа помощ е закупил офис оборудване, техника за защита базата данни, лицензирани софтуери, копирни машини и друга техника, която осигурява на </w:t>
      </w:r>
      <w:r w:rsidR="00296BEB">
        <w:rPr>
          <w:sz w:val="22"/>
          <w:szCs w:val="22"/>
          <w:lang w:val="bg-BG"/>
        </w:rPr>
        <w:t>Р</w:t>
      </w:r>
      <w:r w:rsidRPr="00BC513A">
        <w:rPr>
          <w:sz w:val="22"/>
          <w:szCs w:val="22"/>
          <w:lang w:val="bg-BG"/>
        </w:rPr>
        <w:t xml:space="preserve">азплащателната агенция възможност да изпълнява дейности за контролните, мониторинг  и проверки на място. </w:t>
      </w:r>
    </w:p>
    <w:p w14:paraId="46E25B96" w14:textId="1963A031"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Повечето договори за </w:t>
      </w:r>
      <w:r w:rsidRPr="00BC513A">
        <w:rPr>
          <w:b/>
          <w:sz w:val="22"/>
          <w:szCs w:val="22"/>
          <w:lang w:val="bg-BG"/>
        </w:rPr>
        <w:t>подобряване на електронизацията и информацията</w:t>
      </w:r>
      <w:r w:rsidRPr="00BC513A">
        <w:rPr>
          <w:sz w:val="22"/>
          <w:szCs w:val="22"/>
          <w:lang w:val="bg-BG"/>
        </w:rPr>
        <w:t xml:space="preserve"> между структурите, ангажирани с управлението, прилагането на програмата, както и подобряване на информираността на бенефициентите са прекратени и не са осъществени. Реализирани са договорите за интерфейс между УО и Разплащателна</w:t>
      </w:r>
      <w:r w:rsidR="00296BEB">
        <w:rPr>
          <w:sz w:val="22"/>
          <w:szCs w:val="22"/>
          <w:lang w:val="bg-BG"/>
        </w:rPr>
        <w:t>та</w:t>
      </w:r>
      <w:r w:rsidRPr="00BC513A">
        <w:rPr>
          <w:sz w:val="22"/>
          <w:szCs w:val="22"/>
          <w:lang w:val="bg-BG"/>
        </w:rPr>
        <w:t xml:space="preserve"> агенция за целите на наблюдението на ПРСР 2007-2013 г. и  информационна система за наблюдение и отчитане на дейностите по ос 4 ЛИДЕР за целите на </w:t>
      </w:r>
      <w:r w:rsidR="006C1D34">
        <w:rPr>
          <w:sz w:val="22"/>
          <w:szCs w:val="22"/>
          <w:lang w:val="bg-BG"/>
        </w:rPr>
        <w:t>п</w:t>
      </w:r>
      <w:r w:rsidRPr="00BC513A">
        <w:rPr>
          <w:sz w:val="22"/>
          <w:szCs w:val="22"/>
          <w:lang w:val="bg-BG"/>
        </w:rPr>
        <w:t>рограмата. Последната не се ползва и не е захранена с данни.</w:t>
      </w:r>
    </w:p>
    <w:p w14:paraId="74E06354" w14:textId="76300F79"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УО не разполага с информационна система за наблюдение и управление както за целите на техническа помощ, така и по основните оси на </w:t>
      </w:r>
      <w:r w:rsidR="006C1D34">
        <w:rPr>
          <w:sz w:val="22"/>
          <w:szCs w:val="22"/>
          <w:lang w:val="bg-BG"/>
        </w:rPr>
        <w:t>п</w:t>
      </w:r>
      <w:r w:rsidRPr="00BC513A">
        <w:rPr>
          <w:sz w:val="22"/>
          <w:szCs w:val="22"/>
          <w:lang w:val="bg-BG"/>
        </w:rPr>
        <w:t>рограмата. За предоставяне на мониторнигова информация се разчита на ДФЗ и информационната система ИСАК. Като цяло получаването на мониторингова информация е затруднено. Въпреки че определени експерти от УО имат достъп до ИСАК, системата като цяло не се ползва от УО или се ползва само ограничено – по отношение на сключени договори и направени плащания.</w:t>
      </w:r>
    </w:p>
    <w:p w14:paraId="5F4F858D"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За периода няма изпълнени задания за разработка и внедряване на ИТ проекти, които да подобрят функционалната зависимост между звената в дирекцията и електронния обмен на документи. УО не разполага с електронен архив.</w:t>
      </w:r>
    </w:p>
    <w:p w14:paraId="08C34BC4" w14:textId="0801687A" w:rsidR="00E8617E" w:rsidRPr="00BC513A" w:rsidRDefault="00E8617E" w:rsidP="00E8617E">
      <w:pPr>
        <w:pStyle w:val="DefaultText"/>
        <w:spacing w:after="120" w:line="300" w:lineRule="atLeast"/>
        <w:ind w:firstLine="709"/>
        <w:rPr>
          <w:sz w:val="22"/>
          <w:szCs w:val="22"/>
          <w:lang w:val="bg-BG"/>
        </w:rPr>
      </w:pPr>
      <w:r w:rsidRPr="00BC513A">
        <w:rPr>
          <w:b/>
          <w:i/>
          <w:sz w:val="22"/>
          <w:szCs w:val="22"/>
          <w:lang w:val="bg-BG"/>
        </w:rPr>
        <w:t xml:space="preserve">Сайтът на </w:t>
      </w:r>
      <w:r w:rsidR="006C1D34">
        <w:rPr>
          <w:b/>
          <w:i/>
          <w:sz w:val="22"/>
          <w:szCs w:val="22"/>
          <w:lang w:val="bg-BG"/>
        </w:rPr>
        <w:t>п</w:t>
      </w:r>
      <w:r w:rsidRPr="00BC513A">
        <w:rPr>
          <w:b/>
          <w:i/>
          <w:sz w:val="22"/>
          <w:szCs w:val="22"/>
          <w:lang w:val="bg-BG"/>
        </w:rPr>
        <w:t>рограмата</w:t>
      </w:r>
      <w:r w:rsidRPr="00BC513A">
        <w:rPr>
          <w:sz w:val="22"/>
          <w:szCs w:val="22"/>
          <w:lang w:val="bg-BG"/>
        </w:rPr>
        <w:t xml:space="preserve"> както по време на изпълнение на </w:t>
      </w:r>
      <w:r w:rsidR="006C1D34">
        <w:rPr>
          <w:sz w:val="22"/>
          <w:szCs w:val="22"/>
          <w:lang w:val="bg-BG"/>
        </w:rPr>
        <w:t>п</w:t>
      </w:r>
      <w:r w:rsidRPr="00BC513A">
        <w:rPr>
          <w:sz w:val="22"/>
          <w:szCs w:val="22"/>
          <w:lang w:val="bg-BG"/>
        </w:rPr>
        <w:t xml:space="preserve">рограмата, така и понастоящем няма съвременна визия и </w:t>
      </w:r>
      <w:r w:rsidR="00296BEB">
        <w:rPr>
          <w:sz w:val="22"/>
          <w:szCs w:val="22"/>
          <w:lang w:val="bg-BG"/>
        </w:rPr>
        <w:t xml:space="preserve">е </w:t>
      </w:r>
      <w:r w:rsidRPr="00BC513A">
        <w:rPr>
          <w:sz w:val="22"/>
          <w:szCs w:val="22"/>
          <w:lang w:val="bg-BG"/>
        </w:rPr>
        <w:t xml:space="preserve">нефункционален. Информацията на него е оскъдна.  Сайтът на ДФЗ е малко по-информативен, </w:t>
      </w:r>
      <w:r w:rsidR="00296BEB">
        <w:rPr>
          <w:sz w:val="22"/>
          <w:szCs w:val="22"/>
          <w:lang w:val="bg-BG"/>
        </w:rPr>
        <w:t>н</w:t>
      </w:r>
      <w:r w:rsidRPr="00BC513A">
        <w:rPr>
          <w:sz w:val="22"/>
          <w:szCs w:val="22"/>
          <w:lang w:val="bg-BG"/>
        </w:rPr>
        <w:t xml:space="preserve">о отново нефункционален и като цяло не предоставя достатъчно информация. </w:t>
      </w:r>
    </w:p>
    <w:p w14:paraId="473E5400" w14:textId="77777777" w:rsidR="00E8617E" w:rsidRPr="00BC513A" w:rsidRDefault="00E8617E" w:rsidP="00E8617E">
      <w:pPr>
        <w:keepNext/>
        <w:spacing w:before="240" w:after="120" w:line="300" w:lineRule="atLeast"/>
        <w:jc w:val="both"/>
        <w:rPr>
          <w:rFonts w:ascii="Arial" w:hAnsi="Arial" w:cs="Arial"/>
          <w:i/>
          <w:color w:val="0070C0"/>
        </w:rPr>
      </w:pPr>
      <w:r w:rsidRPr="00BC513A">
        <w:rPr>
          <w:rFonts w:ascii="Arial" w:hAnsi="Arial" w:cs="Arial"/>
          <w:i/>
          <w:color w:val="0070C0"/>
        </w:rPr>
        <w:t xml:space="preserve">Дейности, свързани с укрепване на Административен капацитет </w:t>
      </w:r>
    </w:p>
    <w:p w14:paraId="3D296DE0" w14:textId="3911BE0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За укрепване на наличния административен капацитет за периода е нает допълнителен персонал </w:t>
      </w:r>
      <w:r w:rsidR="00296BEB">
        <w:rPr>
          <w:sz w:val="22"/>
          <w:szCs w:val="22"/>
          <w:lang w:val="bg-BG"/>
        </w:rPr>
        <w:t>от</w:t>
      </w:r>
      <w:r w:rsidRPr="00BC513A">
        <w:rPr>
          <w:sz w:val="22"/>
          <w:szCs w:val="22"/>
          <w:lang w:val="bg-BG"/>
        </w:rPr>
        <w:t xml:space="preserve"> 20 души в дирекцията „Развитие на селските райони“ и  към Държавен фонд „Земеделие – Разплащателна агенция (180 души).  ДФЗ-РА ползва публичната субсидия</w:t>
      </w:r>
      <w:r w:rsidRPr="0049526E">
        <w:rPr>
          <w:sz w:val="22"/>
          <w:szCs w:val="22"/>
          <w:vertAlign w:val="superscript"/>
          <w:lang w:val="bg-BG"/>
        </w:rPr>
        <w:footnoteReference w:id="42"/>
      </w:r>
      <w:r w:rsidRPr="00BC513A">
        <w:rPr>
          <w:sz w:val="22"/>
          <w:szCs w:val="22"/>
          <w:lang w:val="bg-BG"/>
        </w:rPr>
        <w:t xml:space="preserve"> по техническа помощ. Използван е ресурс от бюджета за допълнително финансово стимулиране на служителите от УО,  ДФЗ и за наемане на експерти  за изпълнение на отделни дейности, свързани с управлението, прилагането, наблюдението и оценката на проекти.</w:t>
      </w:r>
    </w:p>
    <w:p w14:paraId="7968F719" w14:textId="78B3E4BC" w:rsidR="00E8617E" w:rsidRPr="00BC513A" w:rsidRDefault="00E8617E" w:rsidP="00E8617E">
      <w:pPr>
        <w:pStyle w:val="DefaultText"/>
        <w:spacing w:after="120" w:line="300" w:lineRule="atLeast"/>
        <w:ind w:firstLine="709"/>
        <w:rPr>
          <w:sz w:val="22"/>
          <w:szCs w:val="22"/>
          <w:lang w:val="bg-BG"/>
        </w:rPr>
      </w:pPr>
      <w:r w:rsidRPr="00BC513A">
        <w:rPr>
          <w:b/>
          <w:sz w:val="22"/>
          <w:szCs w:val="22"/>
          <w:lang w:val="bg-BG"/>
        </w:rPr>
        <w:t>Обучения за администрацията на УО и ДФЗ-РА</w:t>
      </w:r>
      <w:r w:rsidRPr="00BC513A">
        <w:rPr>
          <w:sz w:val="22"/>
          <w:szCs w:val="22"/>
          <w:lang w:val="bg-BG"/>
        </w:rPr>
        <w:t xml:space="preserve"> – Обучението е важен фактор за изграждане на капацитет и за подобряване на професионализъм на служителите от УО и ДФЗ-РА. Управляващият орган е отговорен за организиране на процеса за анализ на нуждите от обучение, за разработване на специфични програми и тяхното изпълнение. С ресурси от техническата помощ се провеждат обучения за служителите на УО и представители на структурите на бенефициентите.</w:t>
      </w:r>
    </w:p>
    <w:p w14:paraId="4ADC7A49" w14:textId="5EBB74D5"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Общо за периода са организирани  14 броя специализирани обучения, което не достатъчно за поддържане на капацитета и актуализиране на знанията на служителите на УО, на ДФЗ, НССЗ. Организирани са обучения на експертите от дирекцията за прилагането на подхода  ЛИДЕР,  за програмирането и прилагането на мярка 431-2 „Придобиване на умения и постигане на обществена активност за територията на потенциални местни инициативни групи”. УО е провел и обучение за местните структури на МЗХГ по ПРСР. Специализираните обучения са за прилагането на мерките от ос 2 от ПРСР 2007-2013 г. и за прилагане на международни одиторски стандарти на щатния персонал. Обученията на служители на ДФЗ</w:t>
      </w:r>
      <w:r w:rsidR="00296BEB">
        <w:rPr>
          <w:sz w:val="22"/>
          <w:szCs w:val="22"/>
          <w:lang w:val="bg-BG"/>
        </w:rPr>
        <w:t>-</w:t>
      </w:r>
      <w:r w:rsidRPr="00BC513A">
        <w:rPr>
          <w:sz w:val="22"/>
          <w:szCs w:val="22"/>
          <w:lang w:val="bg-BG"/>
        </w:rPr>
        <w:t xml:space="preserve">РА са били насочени към изпълнявани дейности по наблюдението и контрола на </w:t>
      </w:r>
      <w:r w:rsidR="006C1D34">
        <w:rPr>
          <w:sz w:val="22"/>
          <w:szCs w:val="22"/>
          <w:lang w:val="bg-BG"/>
        </w:rPr>
        <w:t>п</w:t>
      </w:r>
      <w:r w:rsidRPr="00BC513A">
        <w:rPr>
          <w:sz w:val="22"/>
          <w:szCs w:val="22"/>
          <w:lang w:val="bg-BG"/>
        </w:rPr>
        <w:t>рограмата. Проведени са обучения за Местните инициативни групи</w:t>
      </w:r>
      <w:r w:rsidR="00296BEB">
        <w:rPr>
          <w:sz w:val="22"/>
          <w:szCs w:val="22"/>
          <w:lang w:val="bg-BG"/>
        </w:rPr>
        <w:t>,</w:t>
      </w:r>
      <w:r w:rsidRPr="00BC513A">
        <w:rPr>
          <w:sz w:val="22"/>
          <w:szCs w:val="22"/>
          <w:lang w:val="bg-BG"/>
        </w:rPr>
        <w:t xml:space="preserve"> свързани с прилагането местните стратегии. Като цяло обученията </w:t>
      </w:r>
      <w:r w:rsidR="00296BEB">
        <w:rPr>
          <w:sz w:val="22"/>
          <w:szCs w:val="22"/>
          <w:lang w:val="bg-BG"/>
        </w:rPr>
        <w:t>с</w:t>
      </w:r>
      <w:r w:rsidR="00296BEB" w:rsidRPr="00BC513A">
        <w:rPr>
          <w:sz w:val="22"/>
          <w:szCs w:val="22"/>
          <w:lang w:val="bg-BG"/>
        </w:rPr>
        <w:t xml:space="preserve">а </w:t>
      </w:r>
      <w:r w:rsidRPr="00BC513A">
        <w:rPr>
          <w:sz w:val="22"/>
          <w:szCs w:val="22"/>
          <w:lang w:val="bg-BG"/>
        </w:rPr>
        <w:t>били спорадични и не са били планирани на база на оценка на нуждите. Участието на служители в учебни семинари, организирани от Европейската комисия и от други европейски страни, показва че от подобни прояви малко от служителите са се възползвали. Поради това може да се заключи, че предоставените по техническа помощ възможности не са използвани изцяло за укрепване на административния капацитет.</w:t>
      </w:r>
    </w:p>
    <w:p w14:paraId="074C1445" w14:textId="77777777" w:rsidR="00E8617E" w:rsidRPr="00BC513A" w:rsidRDefault="00E8617E" w:rsidP="00E8617E">
      <w:pPr>
        <w:keepNext/>
        <w:spacing w:before="240" w:after="120" w:line="300" w:lineRule="atLeast"/>
        <w:jc w:val="both"/>
        <w:rPr>
          <w:rFonts w:ascii="Arial" w:hAnsi="Arial" w:cs="Arial"/>
          <w:i/>
          <w:color w:val="0070C0"/>
        </w:rPr>
      </w:pPr>
      <w:r w:rsidRPr="00BC513A">
        <w:rPr>
          <w:rFonts w:ascii="Arial" w:hAnsi="Arial" w:cs="Arial"/>
          <w:i/>
          <w:color w:val="0070C0"/>
        </w:rPr>
        <w:t xml:space="preserve">Дейности, свързани с информираност и публичност </w:t>
      </w:r>
    </w:p>
    <w:p w14:paraId="0CB25510" w14:textId="780DF8F8"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За страната и за бенефициентите това е първия</w:t>
      </w:r>
      <w:r w:rsidR="00296BEB">
        <w:rPr>
          <w:sz w:val="22"/>
          <w:szCs w:val="22"/>
          <w:lang w:val="bg-BG"/>
        </w:rPr>
        <w:t>т</w:t>
      </w:r>
      <w:r w:rsidRPr="00BC513A">
        <w:rPr>
          <w:sz w:val="22"/>
          <w:szCs w:val="22"/>
          <w:lang w:val="bg-BG"/>
        </w:rPr>
        <w:t xml:space="preserve"> програмен период и популяризирането на мерките по </w:t>
      </w:r>
      <w:r w:rsidR="006C1D34">
        <w:rPr>
          <w:sz w:val="22"/>
          <w:szCs w:val="22"/>
          <w:lang w:val="bg-BG"/>
        </w:rPr>
        <w:t>п</w:t>
      </w:r>
      <w:r w:rsidRPr="00BC513A">
        <w:rPr>
          <w:sz w:val="22"/>
          <w:szCs w:val="22"/>
          <w:lang w:val="bg-BG"/>
        </w:rPr>
        <w:t xml:space="preserve">рограмата е било от съществено значение, за да се осигури информация относно изискванията за подготовка на проекти и да се реализират качествени проекти. </w:t>
      </w:r>
    </w:p>
    <w:p w14:paraId="307610EB" w14:textId="1E7A6006"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Информирането на обществото и целевите групи е задължение на управляващия орган на ПРСР. Предоставяне на информация относно същността, принципите и изискванията за кандидатстване по програмата е фактор за изпълнение на качествени  проекти, които съответстват на залегналите в програмата приоритети и цели. Това от своя страна дава възможност за ефективно усвояване на средствата от ЕЗФРСР и постигане на основната цел за конкурентоспособно и жизнено земеделие и нови възможности за устойчиво развитие на селските райони. </w:t>
      </w:r>
    </w:p>
    <w:p w14:paraId="3C73D380"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Основната цел на Комуникационния план е да информира бенефициентите, заинтересованите лица за програмата, да популяризира общата селскостопанска политика, да привлича обществен  интерес към участие с проекти и  да разяснява възможностите и ползите от приоритетите на </w:t>
      </w:r>
      <w:r w:rsidR="006C1D34">
        <w:rPr>
          <w:sz w:val="22"/>
          <w:szCs w:val="22"/>
          <w:lang w:val="bg-BG"/>
        </w:rPr>
        <w:t>п</w:t>
      </w:r>
      <w:r w:rsidRPr="00BC513A">
        <w:rPr>
          <w:sz w:val="22"/>
          <w:szCs w:val="22"/>
          <w:lang w:val="bg-BG"/>
        </w:rPr>
        <w:t>рограмата  както и да осигури прозрачност и откритост при нейното изпълнение.</w:t>
      </w:r>
    </w:p>
    <w:p w14:paraId="42859DF5"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Дейностите за предоставяне на информация и публичност по </w:t>
      </w:r>
      <w:r w:rsidR="006C1D34">
        <w:rPr>
          <w:sz w:val="22"/>
          <w:szCs w:val="22"/>
          <w:lang w:val="bg-BG"/>
        </w:rPr>
        <w:t>п</w:t>
      </w:r>
      <w:r w:rsidRPr="00BC513A">
        <w:rPr>
          <w:sz w:val="22"/>
          <w:szCs w:val="22"/>
          <w:lang w:val="bg-BG"/>
        </w:rPr>
        <w:t xml:space="preserve">рограмата са представени в Комуникационен план, който е неразделна част от  управлението и изпълнение на </w:t>
      </w:r>
      <w:r w:rsidR="006C1D34">
        <w:rPr>
          <w:sz w:val="22"/>
          <w:szCs w:val="22"/>
          <w:lang w:val="bg-BG"/>
        </w:rPr>
        <w:t>п</w:t>
      </w:r>
      <w:r w:rsidRPr="00BC513A">
        <w:rPr>
          <w:sz w:val="22"/>
          <w:szCs w:val="22"/>
          <w:lang w:val="bg-BG"/>
        </w:rPr>
        <w:t xml:space="preserve">рограмата и се осъществява с финансовите средства по Приоритетна ос 5 „Техническа помощ”. Основни дейности на комуникационния план са публикуване на информация за мерките на програмата, организиране на информационни и публични събития, които дават възможност за изясняване на същността на финансовата помощ, критериите за подпомагане и допустими инвестиции. </w:t>
      </w:r>
    </w:p>
    <w:p w14:paraId="1B098C49"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Комуникационните методи и канали използвани за информираност и публичност са: организиране на информационни и публични събития, отпечатване и разпространение на информационни материали, специализирани публикации в печата, заснемане на информационни видео-клипове, интернет страница на програмата, интервюта и информационни клипове в електронните национални и регионални медии.  Комуникационният план подпомага административната дейност по управлението и изпълнение на програмата, разпространението на постигнатите резултати, насърчава добрите практики и координира потокът от информационния, който се обменя между Управляващия орган и бенефициентите. </w:t>
      </w:r>
    </w:p>
    <w:p w14:paraId="58577C8C" w14:textId="45E8EC7C"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Дейностите от комуникационният план са осъществяване съвместно с дирекция „Връзки с обществеността и протокол“ към МЗХГ</w:t>
      </w:r>
      <w:r w:rsidR="008D2489">
        <w:rPr>
          <w:sz w:val="22"/>
          <w:szCs w:val="22"/>
          <w:lang w:val="bg-BG"/>
        </w:rPr>
        <w:t>, която</w:t>
      </w:r>
      <w:r w:rsidRPr="00BC513A">
        <w:rPr>
          <w:sz w:val="22"/>
          <w:szCs w:val="22"/>
          <w:lang w:val="bg-BG"/>
        </w:rPr>
        <w:t xml:space="preserve"> участва в изпълнението на Комуникационния план като организира публичните събития, подпомага публикуването на печатни материали, следи за  разпространението на информация чрез  национални и регионални медии, за съдържанието на комуникациите, както и за интензитета на информацията по електронните и социалните медии. Организирани са комуникационни събития съвместно с ДФЗ и НССЗ. </w:t>
      </w:r>
    </w:p>
    <w:p w14:paraId="2F51F142" w14:textId="13C53980"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В комуникационния план са обхванати различни целеви групи – потенциални бенефициенти, сдружения с нестопанска цел, журналисти, което показва че броя</w:t>
      </w:r>
      <w:r w:rsidR="008D2489">
        <w:rPr>
          <w:sz w:val="22"/>
          <w:szCs w:val="22"/>
          <w:lang w:val="bg-BG"/>
        </w:rPr>
        <w:t>т</w:t>
      </w:r>
      <w:r w:rsidRPr="00BC513A">
        <w:rPr>
          <w:sz w:val="22"/>
          <w:szCs w:val="22"/>
          <w:lang w:val="bg-BG"/>
        </w:rPr>
        <w:t xml:space="preserve"> на участниците в информационните кампании е бил балансиран. </w:t>
      </w:r>
    </w:p>
    <w:p w14:paraId="75A1481D"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Годишните доклади отчитат изпълнението на комуникационния план, обаче в комуникационния план отсъстват индикатори за резултат и изпълнение, което затруднява проследяването на изпълнението му. </w:t>
      </w:r>
    </w:p>
    <w:p w14:paraId="47588A41"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Не са правени оценки на изпълнението на Комуникационния план и дейности, освен едно проучване на </w:t>
      </w:r>
      <w:r w:rsidR="006C1D34">
        <w:rPr>
          <w:sz w:val="22"/>
          <w:szCs w:val="22"/>
          <w:lang w:val="bg-BG"/>
        </w:rPr>
        <w:t>п</w:t>
      </w:r>
      <w:r w:rsidRPr="00BC513A">
        <w:rPr>
          <w:sz w:val="22"/>
          <w:szCs w:val="22"/>
          <w:lang w:val="bg-BG"/>
        </w:rPr>
        <w:t xml:space="preserve">рограмата в медийното пространство, осъществено през 2010 г. Проучването констатира, че дейностите на Комуникационния план са били ефективни и са подпомогнали бенефициентите да разберат същността на програмата и условията за кандидатстване. </w:t>
      </w:r>
    </w:p>
    <w:p w14:paraId="2ABCB40F" w14:textId="39FDB359" w:rsidR="00E8617E" w:rsidRPr="00BC513A" w:rsidRDefault="00E8617E" w:rsidP="00E8617E">
      <w:pPr>
        <w:pStyle w:val="DefaultText"/>
        <w:spacing w:after="120" w:line="300" w:lineRule="atLeast"/>
        <w:ind w:firstLine="709"/>
        <w:rPr>
          <w:lang w:val="bg-BG"/>
        </w:rPr>
      </w:pPr>
      <w:r w:rsidRPr="00BC513A">
        <w:rPr>
          <w:sz w:val="22"/>
          <w:szCs w:val="22"/>
          <w:lang w:val="bg-BG"/>
        </w:rPr>
        <w:t xml:space="preserve">При изпълнението на </w:t>
      </w:r>
      <w:r w:rsidR="00E23E6B">
        <w:rPr>
          <w:sz w:val="22"/>
          <w:szCs w:val="22"/>
          <w:lang w:val="bg-BG"/>
        </w:rPr>
        <w:t>К</w:t>
      </w:r>
      <w:r w:rsidRPr="00BC513A">
        <w:rPr>
          <w:sz w:val="22"/>
          <w:szCs w:val="22"/>
          <w:lang w:val="bg-BG"/>
        </w:rPr>
        <w:t xml:space="preserve">омуникационния план регулярно се е правил отчет за присъствието на ПРСР в медийното пространство и доколко медийното отразяване е повлияло върху общественото възприемане на </w:t>
      </w:r>
      <w:r w:rsidR="006C1D34">
        <w:rPr>
          <w:sz w:val="22"/>
          <w:szCs w:val="22"/>
          <w:lang w:val="bg-BG"/>
        </w:rPr>
        <w:t>п</w:t>
      </w:r>
      <w:r w:rsidRPr="00BC513A">
        <w:rPr>
          <w:sz w:val="22"/>
          <w:szCs w:val="22"/>
          <w:lang w:val="bg-BG"/>
        </w:rPr>
        <w:t xml:space="preserve">рограмата. При организирането на събития се е набирала информация от участниците относно полезността на събитията.  Липсва обаче цялостна оценка за изпълнението на комуникационния план за периода, което би дало информация на УО, която да е полезна за подобряване и фокусиране на информационните кампании. </w:t>
      </w:r>
    </w:p>
    <w:p w14:paraId="24547220" w14:textId="77777777" w:rsidR="00E8617E" w:rsidRPr="00BC513A" w:rsidRDefault="00E8617E" w:rsidP="00E8617E">
      <w:pPr>
        <w:pStyle w:val="Heading3"/>
        <w:numPr>
          <w:ilvl w:val="0"/>
          <w:numId w:val="0"/>
        </w:numPr>
        <w:shd w:val="clear" w:color="auto" w:fill="F2F2F2" w:themeFill="background1" w:themeFillShade="F2"/>
      </w:pPr>
      <w:bookmarkStart w:id="197" w:name="_Toc504136160"/>
      <w:r w:rsidRPr="00BC513A">
        <w:t>Национална селска мрежа (НСМ)</w:t>
      </w:r>
      <w:bookmarkEnd w:id="197"/>
    </w:p>
    <w:p w14:paraId="56AB04D3" w14:textId="77777777" w:rsidR="00E8617E" w:rsidRPr="00BC513A" w:rsidRDefault="00E8617E" w:rsidP="00E8617E">
      <w:pPr>
        <w:pStyle w:val="DefaultText"/>
        <w:keepNext/>
        <w:numPr>
          <w:ilvl w:val="0"/>
          <w:numId w:val="22"/>
        </w:numPr>
        <w:spacing w:before="240" w:after="120" w:line="300" w:lineRule="atLeast"/>
        <w:ind w:left="709" w:hanging="284"/>
        <w:rPr>
          <w:rFonts w:cs="Arial"/>
          <w:color w:val="0070C0"/>
          <w:sz w:val="22"/>
          <w:szCs w:val="22"/>
          <w:lang w:val="bg-BG"/>
        </w:rPr>
      </w:pPr>
      <w:r w:rsidRPr="00BC513A">
        <w:rPr>
          <w:rFonts w:cs="Arial"/>
          <w:color w:val="0070C0"/>
          <w:sz w:val="22"/>
          <w:szCs w:val="22"/>
          <w:lang w:val="bg-BG"/>
        </w:rPr>
        <w:t xml:space="preserve">До каква степен способността за програмиране и прилагане на Управляващия орган (и на другите звена) са били засилени, чрез дейностите на НСМ? </w:t>
      </w:r>
    </w:p>
    <w:p w14:paraId="79E4EC43" w14:textId="38FB4590"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Националната селска мрежа е компонент на мярка Техническа помощ на ПРСП 2007-2013. Тя се създава с цел да обедини заинтересованите страни (физически лица, организации, администрации, бизнеса), които проявяват интерес за развитие на селските райони на територията на страната. Обединението </w:t>
      </w:r>
      <w:r w:rsidR="00E23E6B">
        <w:rPr>
          <w:sz w:val="22"/>
          <w:szCs w:val="22"/>
          <w:lang w:val="bg-BG"/>
        </w:rPr>
        <w:t>на</w:t>
      </w:r>
      <w:r w:rsidRPr="00BC513A">
        <w:rPr>
          <w:sz w:val="22"/>
          <w:szCs w:val="22"/>
          <w:lang w:val="bg-BG"/>
        </w:rPr>
        <w:t xml:space="preserve"> заинтересованите страни и  активни организации в мрежа цели да допринесе за ефективно изпълнение на програмите за развитие на селските райони, чрез разпространение на информация, обмен на  знания и добри практики, разработване на анализи, които да подкрепят изпълнението на програмите. Участието в НСМ е доброволно и членовете е необходимо да споделят ангажимент за подкрепа и за стимулиране  развитието на селските райони. Мрежата развива и укрепва способността на заинтересованите страни да вземат решения, да правят избори, да установяват и да поддържат обществените институции, да насърчават иновациите в селските райони.  Националната селска мрежа е звено, което на основата на партньорство и сътрудничество свързва държавната администрации, местни организации, физически лица, търговски дружества. </w:t>
      </w:r>
    </w:p>
    <w:p w14:paraId="5E48CFD5"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Управляващият орган е отговорен за прилагането на дейностите по линия на техническа помощ, включително Националната селска мрежа.</w:t>
      </w:r>
    </w:p>
    <w:p w14:paraId="2A5A0435"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Функционирането на НСМ е регламентирано в Европейското законодателство в основните регламенти на ЕЗФРСР. Необходимостта от структура за управление на НСМ, дейностите и управлението й е посочено в чл.68 от Регламент (ЕО) № 1698/2005. </w:t>
      </w:r>
    </w:p>
    <w:p w14:paraId="5A603952"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Дейностите на НСМ са конкретизирани в План за дейностите в съответствие с целите на  </w:t>
      </w:r>
      <w:r w:rsidR="006C1D34">
        <w:rPr>
          <w:sz w:val="22"/>
          <w:szCs w:val="22"/>
          <w:lang w:val="bg-BG"/>
        </w:rPr>
        <w:t>п</w:t>
      </w:r>
      <w:r w:rsidRPr="00BC513A">
        <w:rPr>
          <w:sz w:val="22"/>
          <w:szCs w:val="22"/>
          <w:lang w:val="bg-BG"/>
        </w:rPr>
        <w:t xml:space="preserve">рограмата за развитие на селските райони 2007-2013 г.  УО е отговорен за управлението на селската мрежа. Създава се специализирано звено за управление на селската мрежа, което се отчита пред УО чрез протоколи за извършена дейност, междинен и краен доклад. </w:t>
      </w:r>
    </w:p>
    <w:p w14:paraId="3883F759"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Организацията и институционализирането на НСМ е избор на правителството на страната според чл.41 на Регламент 1974/2006 и НСМ може да бъде институционализирана като структура в рамките на държавната администрация (министерството на земеделието или друга нейна структура) или управлението да се делегира на външен изпълнител след провеждане на тръжна процедура. </w:t>
      </w:r>
    </w:p>
    <w:p w14:paraId="39B4F523" w14:textId="097E17C4"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В Европейските страни механизм</w:t>
      </w:r>
      <w:r w:rsidR="00E23E6B">
        <w:rPr>
          <w:sz w:val="22"/>
          <w:szCs w:val="22"/>
          <w:lang w:val="bg-BG"/>
        </w:rPr>
        <w:t>ът</w:t>
      </w:r>
      <w:r w:rsidRPr="00BC513A">
        <w:rPr>
          <w:sz w:val="22"/>
          <w:szCs w:val="22"/>
          <w:lang w:val="bg-BG"/>
        </w:rPr>
        <w:t xml:space="preserve"> на управление, организация и структуриране  е различ</w:t>
      </w:r>
      <w:r w:rsidR="00E23E6B">
        <w:rPr>
          <w:sz w:val="22"/>
          <w:szCs w:val="22"/>
          <w:lang w:val="bg-BG"/>
        </w:rPr>
        <w:t>е</w:t>
      </w:r>
      <w:r w:rsidRPr="00BC513A">
        <w:rPr>
          <w:sz w:val="22"/>
          <w:szCs w:val="22"/>
          <w:lang w:val="bg-BG"/>
        </w:rPr>
        <w:t xml:space="preserve">н. Практиката на структуриране на НСМ в Европейските страни е систематизирана в таблицата по-долу. </w:t>
      </w:r>
    </w:p>
    <w:p w14:paraId="6E2D1774" w14:textId="77777777" w:rsidR="00E8617E" w:rsidRPr="00BC513A" w:rsidRDefault="00E8617E" w:rsidP="00E8617E">
      <w:pPr>
        <w:keepNext/>
        <w:autoSpaceDE w:val="0"/>
        <w:autoSpaceDN w:val="0"/>
        <w:adjustRightInd w:val="0"/>
        <w:spacing w:before="240" w:after="0"/>
        <w:rPr>
          <w:rFonts w:ascii="Arial" w:hAnsi="Arial" w:cs="Arial"/>
          <w:b/>
          <w:iCs/>
          <w:color w:val="0070C0"/>
          <w:sz w:val="20"/>
          <w:szCs w:val="20"/>
        </w:rPr>
      </w:pPr>
      <w:bookmarkStart w:id="198" w:name="_Toc504136258"/>
      <w:r w:rsidRPr="00BC513A">
        <w:rPr>
          <w:rFonts w:ascii="Arial" w:hAnsi="Arial" w:cs="Arial"/>
          <w:b/>
          <w:iCs/>
          <w:color w:val="0070C0"/>
          <w:sz w:val="20"/>
          <w:szCs w:val="20"/>
        </w:rPr>
        <w:t xml:space="preserve">Таблица </w:t>
      </w:r>
      <w:r w:rsidRPr="00BC513A">
        <w:rPr>
          <w:rFonts w:ascii="Arial" w:hAnsi="Arial" w:cs="Arial"/>
          <w:b/>
          <w:iCs/>
          <w:color w:val="0070C0"/>
          <w:sz w:val="20"/>
          <w:szCs w:val="20"/>
        </w:rPr>
        <w:fldChar w:fldCharType="begin"/>
      </w:r>
      <w:r w:rsidRPr="00BC513A">
        <w:rPr>
          <w:rFonts w:ascii="Arial" w:hAnsi="Arial" w:cs="Arial"/>
          <w:b/>
          <w:iCs/>
          <w:color w:val="0070C0"/>
          <w:sz w:val="20"/>
          <w:szCs w:val="20"/>
        </w:rPr>
        <w:instrText xml:space="preserve"> SEQ Таблица \* ARABIC </w:instrText>
      </w:r>
      <w:r w:rsidRPr="00BC513A">
        <w:rPr>
          <w:rFonts w:ascii="Arial" w:hAnsi="Arial" w:cs="Arial"/>
          <w:b/>
          <w:iCs/>
          <w:color w:val="0070C0"/>
          <w:sz w:val="20"/>
          <w:szCs w:val="20"/>
        </w:rPr>
        <w:fldChar w:fldCharType="separate"/>
      </w:r>
      <w:r w:rsidR="0023010D">
        <w:rPr>
          <w:rFonts w:ascii="Arial" w:hAnsi="Arial" w:cs="Arial"/>
          <w:b/>
          <w:iCs/>
          <w:noProof/>
          <w:color w:val="0070C0"/>
          <w:sz w:val="20"/>
          <w:szCs w:val="20"/>
        </w:rPr>
        <w:t>87</w:t>
      </w:r>
      <w:r w:rsidRPr="00BC513A">
        <w:rPr>
          <w:rFonts w:ascii="Arial" w:hAnsi="Arial" w:cs="Arial"/>
          <w:b/>
          <w:iCs/>
          <w:color w:val="0070C0"/>
          <w:sz w:val="20"/>
          <w:szCs w:val="20"/>
        </w:rPr>
        <w:fldChar w:fldCharType="end"/>
      </w:r>
      <w:r w:rsidRPr="00BC513A">
        <w:rPr>
          <w:rFonts w:ascii="Arial" w:hAnsi="Arial" w:cs="Arial"/>
          <w:b/>
          <w:iCs/>
          <w:color w:val="0070C0"/>
          <w:sz w:val="20"/>
          <w:szCs w:val="20"/>
        </w:rPr>
        <w:t>. Организация и институционализиране на НСМ в страните- членки на ЕС</w:t>
      </w:r>
      <w:bookmarkEnd w:id="198"/>
      <w:r w:rsidRPr="00BC513A">
        <w:rPr>
          <w:rFonts w:ascii="Arial" w:hAnsi="Arial" w:cs="Arial"/>
          <w:b/>
          <w:iCs/>
          <w:color w:val="0070C0"/>
          <w:sz w:val="20"/>
          <w:szCs w:val="20"/>
        </w:rPr>
        <w:t xml:space="preserve"> </w:t>
      </w:r>
    </w:p>
    <w:tbl>
      <w:tblPr>
        <w:tblStyle w:val="TableGrid"/>
        <w:tblW w:w="0" w:type="auto"/>
        <w:tblLayout w:type="fixed"/>
        <w:tblLook w:val="04A0" w:firstRow="1" w:lastRow="0" w:firstColumn="1" w:lastColumn="0" w:noHBand="0" w:noVBand="1"/>
      </w:tblPr>
      <w:tblGrid>
        <w:gridCol w:w="2122"/>
        <w:gridCol w:w="1559"/>
        <w:gridCol w:w="1481"/>
        <w:gridCol w:w="1689"/>
        <w:gridCol w:w="2210"/>
      </w:tblGrid>
      <w:tr w:rsidR="00E8617E" w:rsidRPr="00BC513A" w14:paraId="18C09187" w14:textId="77777777" w:rsidTr="00922731">
        <w:trPr>
          <w:trHeight w:val="1297"/>
        </w:trPr>
        <w:tc>
          <w:tcPr>
            <w:tcW w:w="2122" w:type="dxa"/>
            <w:shd w:val="clear" w:color="auto" w:fill="1F4E79" w:themeFill="accent1" w:themeFillShade="80"/>
          </w:tcPr>
          <w:p w14:paraId="52E9B1E1" w14:textId="77777777" w:rsidR="00E8617E" w:rsidRPr="00BC513A" w:rsidRDefault="00E8617E" w:rsidP="00922731">
            <w:pPr>
              <w:keepNext/>
              <w:autoSpaceDE w:val="0"/>
              <w:autoSpaceDN w:val="0"/>
              <w:adjustRightInd w:val="0"/>
              <w:spacing w:line="276" w:lineRule="auto"/>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Звено за управление на НСМ към УО  </w:t>
            </w:r>
          </w:p>
        </w:tc>
        <w:tc>
          <w:tcPr>
            <w:tcW w:w="1559" w:type="dxa"/>
            <w:shd w:val="clear" w:color="auto" w:fill="1F4E79" w:themeFill="accent1" w:themeFillShade="80"/>
          </w:tcPr>
          <w:p w14:paraId="6A59DE93" w14:textId="77777777" w:rsidR="00E8617E" w:rsidRPr="00BC513A" w:rsidRDefault="00E8617E" w:rsidP="00922731">
            <w:pPr>
              <w:keepNext/>
              <w:autoSpaceDE w:val="0"/>
              <w:autoSpaceDN w:val="0"/>
              <w:adjustRightInd w:val="0"/>
              <w:spacing w:line="276" w:lineRule="auto"/>
              <w:rPr>
                <w:rFonts w:ascii="Arial" w:hAnsi="Arial" w:cs="Arial"/>
                <w:b/>
                <w:color w:val="FFFFFF" w:themeColor="background1"/>
                <w:sz w:val="20"/>
                <w:szCs w:val="20"/>
              </w:rPr>
            </w:pPr>
            <w:r w:rsidRPr="00BC513A">
              <w:rPr>
                <w:rFonts w:ascii="Arial" w:hAnsi="Arial" w:cs="Arial"/>
                <w:b/>
                <w:color w:val="FFFFFF" w:themeColor="background1"/>
                <w:sz w:val="20"/>
                <w:szCs w:val="20"/>
              </w:rPr>
              <w:t>Звено за управление на НСМ към М-во на земеделието или друга публична  институция</w:t>
            </w:r>
          </w:p>
        </w:tc>
        <w:tc>
          <w:tcPr>
            <w:tcW w:w="1481" w:type="dxa"/>
            <w:shd w:val="clear" w:color="auto" w:fill="1F4E79" w:themeFill="accent1" w:themeFillShade="80"/>
          </w:tcPr>
          <w:p w14:paraId="14BCA571" w14:textId="77777777" w:rsidR="00E8617E" w:rsidRPr="00BC513A" w:rsidRDefault="00E8617E" w:rsidP="00922731">
            <w:pPr>
              <w:keepNext/>
              <w:autoSpaceDE w:val="0"/>
              <w:autoSpaceDN w:val="0"/>
              <w:adjustRightInd w:val="0"/>
              <w:spacing w:line="276" w:lineRule="auto"/>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Възлагане на управлението на НСМ на външен изпълнител </w:t>
            </w:r>
          </w:p>
        </w:tc>
        <w:tc>
          <w:tcPr>
            <w:tcW w:w="1689" w:type="dxa"/>
            <w:shd w:val="clear" w:color="auto" w:fill="1F4E79" w:themeFill="accent1" w:themeFillShade="80"/>
          </w:tcPr>
          <w:p w14:paraId="24239314" w14:textId="77777777" w:rsidR="00E8617E" w:rsidRPr="00BC513A" w:rsidRDefault="00E8617E" w:rsidP="00922731">
            <w:pPr>
              <w:keepNext/>
              <w:autoSpaceDE w:val="0"/>
              <w:autoSpaceDN w:val="0"/>
              <w:adjustRightInd w:val="0"/>
              <w:spacing w:line="276" w:lineRule="auto"/>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Звено към УО. Само някои дейности са възложени на външен изпълнител </w:t>
            </w:r>
          </w:p>
        </w:tc>
        <w:tc>
          <w:tcPr>
            <w:tcW w:w="2210" w:type="dxa"/>
            <w:shd w:val="clear" w:color="auto" w:fill="1F4E79" w:themeFill="accent1" w:themeFillShade="80"/>
          </w:tcPr>
          <w:p w14:paraId="03CE347F" w14:textId="77777777" w:rsidR="00E8617E" w:rsidRPr="00BC513A" w:rsidRDefault="00E8617E" w:rsidP="00922731">
            <w:pPr>
              <w:keepNext/>
              <w:autoSpaceDE w:val="0"/>
              <w:autoSpaceDN w:val="0"/>
              <w:adjustRightInd w:val="0"/>
              <w:spacing w:line="276" w:lineRule="auto"/>
              <w:rPr>
                <w:rFonts w:ascii="Arial" w:hAnsi="Arial" w:cs="Arial"/>
                <w:b/>
                <w:color w:val="FFFFFF" w:themeColor="background1"/>
                <w:sz w:val="20"/>
                <w:szCs w:val="20"/>
              </w:rPr>
            </w:pPr>
            <w:r w:rsidRPr="00BC513A">
              <w:rPr>
                <w:rFonts w:ascii="Arial" w:hAnsi="Arial" w:cs="Arial"/>
                <w:b/>
                <w:color w:val="FFFFFF" w:themeColor="background1"/>
                <w:sz w:val="20"/>
                <w:szCs w:val="20"/>
              </w:rPr>
              <w:t>Звеното за управление е в рамките на УО някои дейности се възлагат на структури на м-во или на публична агенция</w:t>
            </w:r>
          </w:p>
        </w:tc>
      </w:tr>
      <w:tr w:rsidR="00E8617E" w:rsidRPr="00BC513A" w14:paraId="3DA611B1" w14:textId="77777777" w:rsidTr="00922731">
        <w:tc>
          <w:tcPr>
            <w:tcW w:w="2122" w:type="dxa"/>
          </w:tcPr>
          <w:p w14:paraId="2E9BB406"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Литва</w:t>
            </w:r>
          </w:p>
        </w:tc>
        <w:tc>
          <w:tcPr>
            <w:tcW w:w="1559" w:type="dxa"/>
          </w:tcPr>
          <w:p w14:paraId="265604B3"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Германия</w:t>
            </w:r>
          </w:p>
        </w:tc>
        <w:tc>
          <w:tcPr>
            <w:tcW w:w="1481" w:type="dxa"/>
          </w:tcPr>
          <w:p w14:paraId="4CFF1B8C"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България</w:t>
            </w:r>
          </w:p>
        </w:tc>
        <w:tc>
          <w:tcPr>
            <w:tcW w:w="1689" w:type="dxa"/>
          </w:tcPr>
          <w:p w14:paraId="71D09F80"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Франция</w:t>
            </w:r>
          </w:p>
        </w:tc>
        <w:tc>
          <w:tcPr>
            <w:tcW w:w="2210" w:type="dxa"/>
          </w:tcPr>
          <w:p w14:paraId="6B83E2F0"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Хърватия</w:t>
            </w:r>
          </w:p>
        </w:tc>
      </w:tr>
      <w:tr w:rsidR="00E8617E" w:rsidRPr="00BC513A" w14:paraId="7B1FA86C" w14:textId="77777777" w:rsidTr="00922731">
        <w:tc>
          <w:tcPr>
            <w:tcW w:w="2122" w:type="dxa"/>
          </w:tcPr>
          <w:p w14:paraId="27017A8F"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Латвия</w:t>
            </w:r>
          </w:p>
        </w:tc>
        <w:tc>
          <w:tcPr>
            <w:tcW w:w="1559" w:type="dxa"/>
          </w:tcPr>
          <w:p w14:paraId="7EC78FD2"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Естония </w:t>
            </w:r>
          </w:p>
        </w:tc>
        <w:tc>
          <w:tcPr>
            <w:tcW w:w="1481" w:type="dxa"/>
          </w:tcPr>
          <w:p w14:paraId="48E55D41"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Белгия (Валония)</w:t>
            </w:r>
          </w:p>
        </w:tc>
        <w:tc>
          <w:tcPr>
            <w:tcW w:w="1689" w:type="dxa"/>
          </w:tcPr>
          <w:p w14:paraId="22376B18"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Гърция </w:t>
            </w:r>
          </w:p>
        </w:tc>
        <w:tc>
          <w:tcPr>
            <w:tcW w:w="2210" w:type="dxa"/>
          </w:tcPr>
          <w:p w14:paraId="43144173"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Дания </w:t>
            </w:r>
          </w:p>
        </w:tc>
      </w:tr>
      <w:tr w:rsidR="00E8617E" w:rsidRPr="00BC513A" w14:paraId="515D7368" w14:textId="77777777" w:rsidTr="00922731">
        <w:tc>
          <w:tcPr>
            <w:tcW w:w="2122" w:type="dxa"/>
          </w:tcPr>
          <w:p w14:paraId="088D3AAA"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Белгия (Фландрия) </w:t>
            </w:r>
          </w:p>
        </w:tc>
        <w:tc>
          <w:tcPr>
            <w:tcW w:w="1559" w:type="dxa"/>
          </w:tcPr>
          <w:p w14:paraId="2D102FF3"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Финландия</w:t>
            </w:r>
          </w:p>
        </w:tc>
        <w:tc>
          <w:tcPr>
            <w:tcW w:w="1481" w:type="dxa"/>
          </w:tcPr>
          <w:p w14:paraId="610C4CD9"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Ирландия </w:t>
            </w:r>
          </w:p>
        </w:tc>
        <w:tc>
          <w:tcPr>
            <w:tcW w:w="1689" w:type="dxa"/>
          </w:tcPr>
          <w:p w14:paraId="2FED1D4A"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Малта </w:t>
            </w:r>
          </w:p>
        </w:tc>
        <w:tc>
          <w:tcPr>
            <w:tcW w:w="2210" w:type="dxa"/>
          </w:tcPr>
          <w:p w14:paraId="36896E69" w14:textId="77777777" w:rsidR="00E8617E" w:rsidRPr="00BC513A" w:rsidRDefault="00E8617E" w:rsidP="00922731">
            <w:pPr>
              <w:autoSpaceDE w:val="0"/>
              <w:autoSpaceDN w:val="0"/>
              <w:adjustRightInd w:val="0"/>
              <w:spacing w:line="276" w:lineRule="auto"/>
              <w:rPr>
                <w:rFonts w:ascii="Arial" w:hAnsi="Arial" w:cs="Arial"/>
                <w:sz w:val="20"/>
                <w:szCs w:val="20"/>
              </w:rPr>
            </w:pPr>
          </w:p>
        </w:tc>
      </w:tr>
      <w:tr w:rsidR="00E8617E" w:rsidRPr="00BC513A" w14:paraId="770B2110" w14:textId="77777777" w:rsidTr="00922731">
        <w:tc>
          <w:tcPr>
            <w:tcW w:w="2122" w:type="dxa"/>
          </w:tcPr>
          <w:p w14:paraId="09213EA4"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Словения</w:t>
            </w:r>
          </w:p>
        </w:tc>
        <w:tc>
          <w:tcPr>
            <w:tcW w:w="1559" w:type="dxa"/>
          </w:tcPr>
          <w:p w14:paraId="5B6CD598"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Унгария </w:t>
            </w:r>
          </w:p>
        </w:tc>
        <w:tc>
          <w:tcPr>
            <w:tcW w:w="1481" w:type="dxa"/>
          </w:tcPr>
          <w:p w14:paraId="794B1503" w14:textId="77777777" w:rsidR="00E8617E" w:rsidRPr="00BC513A" w:rsidRDefault="00E8617E" w:rsidP="00922731">
            <w:pPr>
              <w:autoSpaceDE w:val="0"/>
              <w:autoSpaceDN w:val="0"/>
              <w:adjustRightInd w:val="0"/>
              <w:spacing w:line="276" w:lineRule="auto"/>
              <w:rPr>
                <w:rFonts w:ascii="Arial" w:hAnsi="Arial" w:cs="Arial"/>
                <w:sz w:val="20"/>
                <w:szCs w:val="20"/>
              </w:rPr>
            </w:pPr>
          </w:p>
        </w:tc>
        <w:tc>
          <w:tcPr>
            <w:tcW w:w="1689" w:type="dxa"/>
          </w:tcPr>
          <w:p w14:paraId="50720A67"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Нидерландия</w:t>
            </w:r>
          </w:p>
        </w:tc>
        <w:tc>
          <w:tcPr>
            <w:tcW w:w="2210" w:type="dxa"/>
          </w:tcPr>
          <w:p w14:paraId="4205E410" w14:textId="77777777" w:rsidR="00E8617E" w:rsidRPr="00BC513A" w:rsidRDefault="00E8617E" w:rsidP="00922731">
            <w:pPr>
              <w:autoSpaceDE w:val="0"/>
              <w:autoSpaceDN w:val="0"/>
              <w:adjustRightInd w:val="0"/>
              <w:spacing w:line="276" w:lineRule="auto"/>
              <w:rPr>
                <w:rFonts w:ascii="Arial" w:hAnsi="Arial" w:cs="Arial"/>
                <w:sz w:val="20"/>
                <w:szCs w:val="20"/>
              </w:rPr>
            </w:pPr>
          </w:p>
        </w:tc>
      </w:tr>
      <w:tr w:rsidR="00E8617E" w:rsidRPr="00BC513A" w14:paraId="478BDC87" w14:textId="77777777" w:rsidTr="00922731">
        <w:tc>
          <w:tcPr>
            <w:tcW w:w="2122" w:type="dxa"/>
          </w:tcPr>
          <w:p w14:paraId="01004832"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Швеция </w:t>
            </w:r>
          </w:p>
        </w:tc>
        <w:tc>
          <w:tcPr>
            <w:tcW w:w="1559" w:type="dxa"/>
          </w:tcPr>
          <w:p w14:paraId="02DE5081"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Полша</w:t>
            </w:r>
          </w:p>
        </w:tc>
        <w:tc>
          <w:tcPr>
            <w:tcW w:w="1481" w:type="dxa"/>
          </w:tcPr>
          <w:p w14:paraId="25C30A08" w14:textId="77777777" w:rsidR="00E8617E" w:rsidRPr="00BC513A" w:rsidRDefault="00E8617E" w:rsidP="00922731">
            <w:pPr>
              <w:autoSpaceDE w:val="0"/>
              <w:autoSpaceDN w:val="0"/>
              <w:adjustRightInd w:val="0"/>
              <w:spacing w:line="276" w:lineRule="auto"/>
              <w:rPr>
                <w:rFonts w:ascii="Arial" w:hAnsi="Arial" w:cs="Arial"/>
                <w:sz w:val="20"/>
                <w:szCs w:val="20"/>
              </w:rPr>
            </w:pPr>
          </w:p>
        </w:tc>
        <w:tc>
          <w:tcPr>
            <w:tcW w:w="1689" w:type="dxa"/>
          </w:tcPr>
          <w:p w14:paraId="4664977A"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Румъния </w:t>
            </w:r>
          </w:p>
        </w:tc>
        <w:tc>
          <w:tcPr>
            <w:tcW w:w="2210" w:type="dxa"/>
          </w:tcPr>
          <w:p w14:paraId="1C140837" w14:textId="77777777" w:rsidR="00E8617E" w:rsidRPr="00BC513A" w:rsidRDefault="00E8617E" w:rsidP="00922731">
            <w:pPr>
              <w:autoSpaceDE w:val="0"/>
              <w:autoSpaceDN w:val="0"/>
              <w:adjustRightInd w:val="0"/>
              <w:spacing w:line="276" w:lineRule="auto"/>
              <w:rPr>
                <w:rFonts w:ascii="Arial" w:hAnsi="Arial" w:cs="Arial"/>
                <w:sz w:val="20"/>
                <w:szCs w:val="20"/>
              </w:rPr>
            </w:pPr>
          </w:p>
        </w:tc>
      </w:tr>
      <w:tr w:rsidR="00E8617E" w:rsidRPr="00BC513A" w14:paraId="238C84E6" w14:textId="77777777" w:rsidTr="00922731">
        <w:tc>
          <w:tcPr>
            <w:tcW w:w="2122" w:type="dxa"/>
          </w:tcPr>
          <w:p w14:paraId="5B9809DF"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Великобритания –(Уелс)</w:t>
            </w:r>
          </w:p>
        </w:tc>
        <w:tc>
          <w:tcPr>
            <w:tcW w:w="1559" w:type="dxa"/>
          </w:tcPr>
          <w:p w14:paraId="72BFA040"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Португалия</w:t>
            </w:r>
          </w:p>
        </w:tc>
        <w:tc>
          <w:tcPr>
            <w:tcW w:w="1481" w:type="dxa"/>
          </w:tcPr>
          <w:p w14:paraId="3C73BB33" w14:textId="77777777" w:rsidR="00E8617E" w:rsidRPr="00BC513A" w:rsidRDefault="00E8617E" w:rsidP="00922731">
            <w:pPr>
              <w:autoSpaceDE w:val="0"/>
              <w:autoSpaceDN w:val="0"/>
              <w:adjustRightInd w:val="0"/>
              <w:spacing w:line="276" w:lineRule="auto"/>
              <w:rPr>
                <w:rFonts w:ascii="Arial" w:hAnsi="Arial" w:cs="Arial"/>
                <w:sz w:val="20"/>
                <w:szCs w:val="20"/>
              </w:rPr>
            </w:pPr>
          </w:p>
        </w:tc>
        <w:tc>
          <w:tcPr>
            <w:tcW w:w="1689" w:type="dxa"/>
          </w:tcPr>
          <w:p w14:paraId="3EE1686C"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Испания </w:t>
            </w:r>
          </w:p>
        </w:tc>
        <w:tc>
          <w:tcPr>
            <w:tcW w:w="2210" w:type="dxa"/>
          </w:tcPr>
          <w:p w14:paraId="686FC95B" w14:textId="77777777" w:rsidR="00E8617E" w:rsidRPr="00BC513A" w:rsidRDefault="00E8617E" w:rsidP="00922731">
            <w:pPr>
              <w:autoSpaceDE w:val="0"/>
              <w:autoSpaceDN w:val="0"/>
              <w:adjustRightInd w:val="0"/>
              <w:spacing w:line="276" w:lineRule="auto"/>
              <w:rPr>
                <w:rFonts w:ascii="Arial" w:hAnsi="Arial" w:cs="Arial"/>
                <w:sz w:val="20"/>
                <w:szCs w:val="20"/>
              </w:rPr>
            </w:pPr>
          </w:p>
        </w:tc>
      </w:tr>
      <w:tr w:rsidR="00E8617E" w:rsidRPr="00BC513A" w14:paraId="4DD29E09" w14:textId="77777777" w:rsidTr="00922731">
        <w:tc>
          <w:tcPr>
            <w:tcW w:w="2122" w:type="dxa"/>
          </w:tcPr>
          <w:p w14:paraId="60D3210D"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Великобритания (Англия)</w:t>
            </w:r>
          </w:p>
        </w:tc>
        <w:tc>
          <w:tcPr>
            <w:tcW w:w="1559" w:type="dxa"/>
          </w:tcPr>
          <w:p w14:paraId="1EA7E417"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Словакия </w:t>
            </w:r>
          </w:p>
        </w:tc>
        <w:tc>
          <w:tcPr>
            <w:tcW w:w="1481" w:type="dxa"/>
          </w:tcPr>
          <w:p w14:paraId="29E5FD34" w14:textId="77777777" w:rsidR="00E8617E" w:rsidRPr="00BC513A" w:rsidRDefault="00E8617E" w:rsidP="00922731">
            <w:pPr>
              <w:autoSpaceDE w:val="0"/>
              <w:autoSpaceDN w:val="0"/>
              <w:adjustRightInd w:val="0"/>
              <w:spacing w:line="276" w:lineRule="auto"/>
              <w:rPr>
                <w:rFonts w:ascii="Arial" w:hAnsi="Arial" w:cs="Arial"/>
                <w:sz w:val="20"/>
                <w:szCs w:val="20"/>
              </w:rPr>
            </w:pPr>
          </w:p>
        </w:tc>
        <w:tc>
          <w:tcPr>
            <w:tcW w:w="1689" w:type="dxa"/>
          </w:tcPr>
          <w:p w14:paraId="772F8C3A" w14:textId="77777777" w:rsidR="00E8617E" w:rsidRPr="00BC513A" w:rsidRDefault="00E8617E" w:rsidP="00922731">
            <w:pPr>
              <w:autoSpaceDE w:val="0"/>
              <w:autoSpaceDN w:val="0"/>
              <w:adjustRightInd w:val="0"/>
              <w:spacing w:line="276" w:lineRule="auto"/>
              <w:rPr>
                <w:rFonts w:ascii="Arial" w:hAnsi="Arial" w:cs="Arial"/>
                <w:sz w:val="20"/>
                <w:szCs w:val="20"/>
              </w:rPr>
            </w:pPr>
          </w:p>
        </w:tc>
        <w:tc>
          <w:tcPr>
            <w:tcW w:w="2210" w:type="dxa"/>
          </w:tcPr>
          <w:p w14:paraId="76239330" w14:textId="77777777" w:rsidR="00E8617E" w:rsidRPr="00BC513A" w:rsidRDefault="00E8617E" w:rsidP="00922731">
            <w:pPr>
              <w:autoSpaceDE w:val="0"/>
              <w:autoSpaceDN w:val="0"/>
              <w:adjustRightInd w:val="0"/>
              <w:spacing w:line="276" w:lineRule="auto"/>
              <w:rPr>
                <w:rFonts w:ascii="Arial" w:hAnsi="Arial" w:cs="Arial"/>
                <w:sz w:val="20"/>
                <w:szCs w:val="20"/>
              </w:rPr>
            </w:pPr>
          </w:p>
        </w:tc>
      </w:tr>
    </w:tbl>
    <w:p w14:paraId="24059404" w14:textId="77777777" w:rsidR="00E8617E" w:rsidRPr="00320533" w:rsidRDefault="00E8617E" w:rsidP="00E8617E">
      <w:pPr>
        <w:pStyle w:val="DefaultText"/>
        <w:spacing w:after="120" w:line="300" w:lineRule="atLeast"/>
        <w:rPr>
          <w:szCs w:val="18"/>
          <w:lang w:val="bg-BG"/>
        </w:rPr>
      </w:pPr>
      <w:r w:rsidRPr="00320533">
        <w:rPr>
          <w:szCs w:val="18"/>
          <w:lang w:val="bg-BG"/>
        </w:rPr>
        <w:t xml:space="preserve">Източник: По данни на European Network for Rural Development </w:t>
      </w:r>
      <w:r w:rsidRPr="00320533">
        <w:rPr>
          <w:bCs/>
          <w:szCs w:val="18"/>
          <w:lang w:val="bg-BG"/>
        </w:rPr>
        <w:t>2014 NRN Mapping Report: NRNs in transition, report, 2014</w:t>
      </w:r>
    </w:p>
    <w:p w14:paraId="050C21A4"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Спазвайки регламента Регламент 1974/2006, мрежата и структурата на управление трябваше да бъде създадена до 31 декември 2008 г.  НСМ в България е създадена през 2009 г. от Управляващия орган на ПРСР. За периода ноември 2012 г.- декември 2015 г. ролята на звено за </w:t>
      </w:r>
      <w:r w:rsidR="00320533" w:rsidRPr="00BC513A">
        <w:rPr>
          <w:sz w:val="22"/>
          <w:szCs w:val="22"/>
          <w:lang w:val="bg-BG"/>
        </w:rPr>
        <w:t>управление</w:t>
      </w:r>
      <w:r w:rsidRPr="00BC513A">
        <w:rPr>
          <w:sz w:val="22"/>
          <w:szCs w:val="22"/>
          <w:lang w:val="bg-BG"/>
        </w:rPr>
        <w:t xml:space="preserve"> на НСМ се изпълнява от външен изпълнител</w:t>
      </w:r>
      <w:r w:rsidRPr="00BC513A">
        <w:rPr>
          <w:rStyle w:val="FootnoteReference"/>
          <w:sz w:val="22"/>
          <w:szCs w:val="22"/>
          <w:lang w:val="bg-BG"/>
        </w:rPr>
        <w:footnoteReference w:id="43"/>
      </w:r>
      <w:r w:rsidRPr="00BC513A">
        <w:rPr>
          <w:sz w:val="22"/>
          <w:szCs w:val="22"/>
          <w:lang w:val="bg-BG"/>
        </w:rPr>
        <w:t xml:space="preserve">. </w:t>
      </w:r>
    </w:p>
    <w:p w14:paraId="3D734F4B" w14:textId="0605E9A5"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Макар формално НСМ да е създадена пре</w:t>
      </w:r>
      <w:r w:rsidR="00E23E6B">
        <w:rPr>
          <w:sz w:val="22"/>
          <w:szCs w:val="22"/>
          <w:lang w:val="bg-BG"/>
        </w:rPr>
        <w:t>з</w:t>
      </w:r>
      <w:r w:rsidRPr="00BC513A">
        <w:rPr>
          <w:sz w:val="22"/>
          <w:szCs w:val="22"/>
          <w:lang w:val="bg-BG"/>
        </w:rPr>
        <w:t xml:space="preserve"> 2009 едва в периода 2013-2015 НСМ започва да функционира активно.  Създадена</w:t>
      </w:r>
      <w:r w:rsidR="00E23E6B">
        <w:rPr>
          <w:sz w:val="22"/>
          <w:szCs w:val="22"/>
          <w:lang w:val="bg-BG"/>
        </w:rPr>
        <w:t xml:space="preserve"> е</w:t>
      </w:r>
      <w:r w:rsidRPr="00BC513A">
        <w:rPr>
          <w:sz w:val="22"/>
          <w:szCs w:val="22"/>
          <w:lang w:val="bg-BG"/>
        </w:rPr>
        <w:t xml:space="preserve"> организация и териториална структура в областите на страната, определени са 28 експерт</w:t>
      </w:r>
      <w:r w:rsidR="00E23E6B">
        <w:rPr>
          <w:sz w:val="22"/>
          <w:szCs w:val="22"/>
          <w:lang w:val="bg-BG"/>
        </w:rPr>
        <w:t>и</w:t>
      </w:r>
      <w:r w:rsidRPr="00BC513A">
        <w:rPr>
          <w:sz w:val="22"/>
          <w:szCs w:val="22"/>
          <w:lang w:val="bg-BG"/>
        </w:rPr>
        <w:t xml:space="preserve">-координатори, които да  координират изпълнението на дейностите между членовете на НСМ и МИГ и да подпомагат организирането на работни срещи, на обучителни семинари и др. </w:t>
      </w:r>
    </w:p>
    <w:p w14:paraId="0BB5CB5D"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Към 2015 г. членовете на НСМ са 1057. </w:t>
      </w:r>
    </w:p>
    <w:p w14:paraId="58475D77" w14:textId="77777777" w:rsidR="00E8617E" w:rsidRPr="00BC513A" w:rsidRDefault="00E8617E" w:rsidP="00E8617E">
      <w:pPr>
        <w:autoSpaceDE w:val="0"/>
        <w:autoSpaceDN w:val="0"/>
        <w:adjustRightInd w:val="0"/>
        <w:spacing w:after="0"/>
        <w:jc w:val="center"/>
        <w:rPr>
          <w:rFonts w:ascii="Arial" w:hAnsi="Arial" w:cs="Arial"/>
        </w:rPr>
      </w:pPr>
      <w:r w:rsidRPr="00BC513A">
        <w:rPr>
          <w:rFonts w:ascii="Arial" w:hAnsi="Arial" w:cs="Arial"/>
          <w:noProof/>
          <w:lang w:val="en-US"/>
        </w:rPr>
        <w:drawing>
          <wp:inline distT="0" distB="0" distL="0" distR="0" wp14:anchorId="058BA4D0" wp14:editId="593E841F">
            <wp:extent cx="4324350" cy="2038350"/>
            <wp:effectExtent l="0" t="0" r="0" b="0"/>
            <wp:docPr id="5158" name="Chart 5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14:paraId="44D97E4A" w14:textId="77777777" w:rsidR="00E8617E" w:rsidRPr="00BC513A" w:rsidRDefault="00E8617E" w:rsidP="00E8617E">
      <w:pPr>
        <w:autoSpaceDE w:val="0"/>
        <w:autoSpaceDN w:val="0"/>
        <w:adjustRightInd w:val="0"/>
        <w:spacing w:after="0"/>
        <w:ind w:firstLine="851"/>
        <w:rPr>
          <w:rFonts w:ascii="Arial" w:hAnsi="Arial" w:cs="Arial"/>
          <w:sz w:val="20"/>
          <w:szCs w:val="20"/>
        </w:rPr>
      </w:pPr>
      <w:r w:rsidRPr="00BC513A">
        <w:rPr>
          <w:rFonts w:ascii="Arial" w:hAnsi="Arial" w:cs="Arial"/>
          <w:sz w:val="20"/>
          <w:szCs w:val="20"/>
        </w:rPr>
        <w:t xml:space="preserve">Източник: Заключителен доклад на Звеното за управление на НСМ, 2015 </w:t>
      </w:r>
    </w:p>
    <w:p w14:paraId="66CEB17A" w14:textId="77777777" w:rsidR="00E8617E" w:rsidRPr="00BC513A" w:rsidRDefault="00E8617E" w:rsidP="00E8617E">
      <w:pPr>
        <w:pStyle w:val="DefaultText"/>
        <w:spacing w:after="120" w:line="300" w:lineRule="atLeast"/>
        <w:ind w:firstLine="709"/>
        <w:jc w:val="center"/>
        <w:rPr>
          <w:rFonts w:cs="Arial"/>
          <w:sz w:val="20"/>
          <w:szCs w:val="20"/>
          <w:lang w:val="bg-BG"/>
        </w:rPr>
      </w:pPr>
      <w:bookmarkStart w:id="199" w:name="_Toc506984732"/>
      <w:r w:rsidRPr="00BC513A">
        <w:rPr>
          <w:rFonts w:cs="Arial"/>
          <w:b/>
          <w:color w:val="0070C0"/>
          <w:sz w:val="20"/>
          <w:szCs w:val="20"/>
          <w:lang w:val="bg-BG"/>
        </w:rPr>
        <w:t xml:space="preserve">Фигура </w:t>
      </w:r>
      <w:r w:rsidRPr="00BC513A">
        <w:rPr>
          <w:rFonts w:cs="Arial"/>
          <w:b/>
          <w:color w:val="0070C0"/>
          <w:sz w:val="20"/>
          <w:szCs w:val="20"/>
          <w:lang w:val="bg-BG"/>
        </w:rPr>
        <w:fldChar w:fldCharType="begin"/>
      </w:r>
      <w:r w:rsidRPr="00BC513A">
        <w:rPr>
          <w:rFonts w:cs="Arial"/>
          <w:b/>
          <w:color w:val="0070C0"/>
          <w:sz w:val="20"/>
          <w:szCs w:val="20"/>
          <w:lang w:val="bg-BG"/>
        </w:rPr>
        <w:instrText xml:space="preserve"> SEQ Фигура \* ARABIC </w:instrText>
      </w:r>
      <w:r w:rsidRPr="00BC513A">
        <w:rPr>
          <w:rFonts w:cs="Arial"/>
          <w:b/>
          <w:color w:val="0070C0"/>
          <w:sz w:val="20"/>
          <w:szCs w:val="20"/>
          <w:lang w:val="bg-BG"/>
        </w:rPr>
        <w:fldChar w:fldCharType="separate"/>
      </w:r>
      <w:r w:rsidR="0023010D">
        <w:rPr>
          <w:rFonts w:cs="Arial"/>
          <w:b/>
          <w:noProof/>
          <w:color w:val="0070C0"/>
          <w:sz w:val="20"/>
          <w:szCs w:val="20"/>
          <w:lang w:val="bg-BG"/>
        </w:rPr>
        <w:t>26</w:t>
      </w:r>
      <w:r w:rsidRPr="00BC513A">
        <w:rPr>
          <w:rFonts w:cs="Arial"/>
          <w:b/>
          <w:color w:val="0070C0"/>
          <w:sz w:val="20"/>
          <w:szCs w:val="20"/>
          <w:lang w:val="bg-BG"/>
        </w:rPr>
        <w:fldChar w:fldCharType="end"/>
      </w:r>
      <w:r w:rsidRPr="00BC513A">
        <w:rPr>
          <w:rFonts w:cs="Arial"/>
          <w:b/>
          <w:color w:val="0070C0"/>
          <w:sz w:val="20"/>
          <w:szCs w:val="20"/>
          <w:lang w:val="bg-BG"/>
        </w:rPr>
        <w:t>. Членство в НСМ по групи заинтересовани страни</w:t>
      </w:r>
      <w:bookmarkEnd w:id="199"/>
    </w:p>
    <w:p w14:paraId="227B71EF"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Най-много членове има в области Ловеч, Пазарджик, Пловдив, Силистра, Смолян, Хасково и София-град. Най-малко членове има в области Ямбол, Шумен, София-област, Монтана, Габрово и Варна.</w:t>
      </w:r>
    </w:p>
    <w:p w14:paraId="74CEA4C7"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Към НСМ са създадени тематични работни групи (ТРГ), които да обсъждат определени теми и проблеми, свързани с изпълнението на конкретни мерки по ПРСР 2007-2015 и с прилагането на Общата селскостопанска политика.  Структурирани са 12 тематични работни групи. </w:t>
      </w:r>
    </w:p>
    <w:p w14:paraId="36946705"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Функционирането на звеното за управление на НСМ подобрява достъпа до информация, повишава качеството на практическата подготовка на участниците в селската мрежа, както и създаването на механизъм на взаимодействие между УО и заинтересованите групи. Звеното за управление на НСМ създаде условия за успешна комуникация, за информиране на потенциалните бенефициенти за политиката за развитие на селските райони и възможностите за финансиране. </w:t>
      </w:r>
    </w:p>
    <w:p w14:paraId="7641070D"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Постигнати резултати от дейността на Звеното за управление на НСМ в периода 2013-2015 са представени в таблицата по-долу:</w:t>
      </w:r>
    </w:p>
    <w:p w14:paraId="37B86E91" w14:textId="77777777" w:rsidR="00E8617E" w:rsidRPr="00BC513A" w:rsidRDefault="00E8617E" w:rsidP="00E8617E">
      <w:pPr>
        <w:keepNext/>
        <w:autoSpaceDE w:val="0"/>
        <w:autoSpaceDN w:val="0"/>
        <w:adjustRightInd w:val="0"/>
        <w:spacing w:before="240" w:after="0"/>
        <w:rPr>
          <w:rFonts w:ascii="Arial" w:hAnsi="Arial" w:cs="Arial"/>
          <w:i/>
        </w:rPr>
      </w:pPr>
      <w:bookmarkStart w:id="200" w:name="_Toc504136259"/>
      <w:r w:rsidRPr="00BC513A">
        <w:rPr>
          <w:rFonts w:ascii="Arial" w:hAnsi="Arial" w:cs="Arial"/>
          <w:b/>
          <w:iCs/>
          <w:color w:val="0070C0"/>
          <w:sz w:val="20"/>
          <w:szCs w:val="20"/>
        </w:rPr>
        <w:t xml:space="preserve">Таблица </w:t>
      </w:r>
      <w:r w:rsidRPr="00BC513A">
        <w:rPr>
          <w:rFonts w:ascii="Arial" w:hAnsi="Arial" w:cs="Arial"/>
          <w:b/>
          <w:iCs/>
          <w:color w:val="0070C0"/>
          <w:sz w:val="20"/>
          <w:szCs w:val="20"/>
        </w:rPr>
        <w:fldChar w:fldCharType="begin"/>
      </w:r>
      <w:r w:rsidRPr="00BC513A">
        <w:rPr>
          <w:rFonts w:ascii="Arial" w:hAnsi="Arial" w:cs="Arial"/>
          <w:b/>
          <w:iCs/>
          <w:color w:val="0070C0"/>
          <w:sz w:val="20"/>
          <w:szCs w:val="20"/>
        </w:rPr>
        <w:instrText xml:space="preserve"> SEQ Таблица \* ARABIC </w:instrText>
      </w:r>
      <w:r w:rsidRPr="00BC513A">
        <w:rPr>
          <w:rFonts w:ascii="Arial" w:hAnsi="Arial" w:cs="Arial"/>
          <w:b/>
          <w:iCs/>
          <w:color w:val="0070C0"/>
          <w:sz w:val="20"/>
          <w:szCs w:val="20"/>
        </w:rPr>
        <w:fldChar w:fldCharType="separate"/>
      </w:r>
      <w:r w:rsidR="0023010D">
        <w:rPr>
          <w:rFonts w:ascii="Arial" w:hAnsi="Arial" w:cs="Arial"/>
          <w:b/>
          <w:iCs/>
          <w:noProof/>
          <w:color w:val="0070C0"/>
          <w:sz w:val="20"/>
          <w:szCs w:val="20"/>
        </w:rPr>
        <w:t>88</w:t>
      </w:r>
      <w:r w:rsidRPr="00BC513A">
        <w:rPr>
          <w:rFonts w:ascii="Arial" w:hAnsi="Arial" w:cs="Arial"/>
          <w:b/>
          <w:iCs/>
          <w:color w:val="0070C0"/>
          <w:sz w:val="20"/>
          <w:szCs w:val="20"/>
        </w:rPr>
        <w:fldChar w:fldCharType="end"/>
      </w:r>
      <w:r w:rsidRPr="00BC513A">
        <w:rPr>
          <w:rFonts w:ascii="Arial" w:hAnsi="Arial" w:cs="Arial"/>
          <w:b/>
          <w:iCs/>
          <w:color w:val="0070C0"/>
          <w:sz w:val="20"/>
          <w:szCs w:val="20"/>
        </w:rPr>
        <w:t>. Постигнати резултати от работата на НСМ в периода 2013-2015 г.</w:t>
      </w:r>
      <w:bookmarkEnd w:id="200"/>
    </w:p>
    <w:tbl>
      <w:tblPr>
        <w:tblStyle w:val="TableGrid"/>
        <w:tblW w:w="0" w:type="auto"/>
        <w:tblInd w:w="-5" w:type="dxa"/>
        <w:tblLayout w:type="fixed"/>
        <w:tblLook w:val="04A0" w:firstRow="1" w:lastRow="0" w:firstColumn="1" w:lastColumn="0" w:noHBand="0" w:noVBand="1"/>
      </w:tblPr>
      <w:tblGrid>
        <w:gridCol w:w="4791"/>
        <w:gridCol w:w="992"/>
        <w:gridCol w:w="851"/>
        <w:gridCol w:w="850"/>
        <w:gridCol w:w="993"/>
      </w:tblGrid>
      <w:tr w:rsidR="00E8617E" w:rsidRPr="00BC513A" w14:paraId="4C778A9D" w14:textId="77777777" w:rsidTr="0049526E">
        <w:trPr>
          <w:tblHeader/>
        </w:trPr>
        <w:tc>
          <w:tcPr>
            <w:tcW w:w="4791" w:type="dxa"/>
            <w:shd w:val="clear" w:color="auto" w:fill="1F4E79" w:themeFill="accent1" w:themeFillShade="80"/>
          </w:tcPr>
          <w:p w14:paraId="3976796F" w14:textId="77777777" w:rsidR="00E8617E" w:rsidRPr="00BC513A" w:rsidRDefault="00E8617E" w:rsidP="00922731">
            <w:pPr>
              <w:autoSpaceDE w:val="0"/>
              <w:autoSpaceDN w:val="0"/>
              <w:adjustRightInd w:val="0"/>
              <w:spacing w:line="276" w:lineRule="auto"/>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Показатели </w:t>
            </w:r>
          </w:p>
        </w:tc>
        <w:tc>
          <w:tcPr>
            <w:tcW w:w="992" w:type="dxa"/>
            <w:shd w:val="clear" w:color="auto" w:fill="1F4E79" w:themeFill="accent1" w:themeFillShade="80"/>
          </w:tcPr>
          <w:p w14:paraId="111D591D" w14:textId="77777777" w:rsidR="00E8617E" w:rsidRPr="00BC513A" w:rsidRDefault="00E8617E" w:rsidP="00922731">
            <w:pPr>
              <w:autoSpaceDE w:val="0"/>
              <w:autoSpaceDN w:val="0"/>
              <w:adjustRightInd w:val="0"/>
              <w:spacing w:line="276" w:lineRule="auto"/>
              <w:rPr>
                <w:rFonts w:ascii="Arial" w:hAnsi="Arial" w:cs="Arial"/>
                <w:b/>
                <w:color w:val="FFFFFF" w:themeColor="background1"/>
                <w:sz w:val="20"/>
                <w:szCs w:val="20"/>
              </w:rPr>
            </w:pPr>
            <w:r w:rsidRPr="00BC513A">
              <w:rPr>
                <w:rFonts w:ascii="Arial" w:hAnsi="Arial" w:cs="Arial"/>
                <w:b/>
                <w:color w:val="FFFFFF" w:themeColor="background1"/>
                <w:sz w:val="20"/>
                <w:szCs w:val="20"/>
              </w:rPr>
              <w:t>2013</w:t>
            </w:r>
          </w:p>
        </w:tc>
        <w:tc>
          <w:tcPr>
            <w:tcW w:w="851" w:type="dxa"/>
            <w:shd w:val="clear" w:color="auto" w:fill="1F4E79" w:themeFill="accent1" w:themeFillShade="80"/>
          </w:tcPr>
          <w:p w14:paraId="2DF07372" w14:textId="77777777" w:rsidR="00E8617E" w:rsidRPr="00BC513A" w:rsidRDefault="00E8617E" w:rsidP="00922731">
            <w:pPr>
              <w:autoSpaceDE w:val="0"/>
              <w:autoSpaceDN w:val="0"/>
              <w:adjustRightInd w:val="0"/>
              <w:spacing w:line="276" w:lineRule="auto"/>
              <w:rPr>
                <w:rFonts w:ascii="Arial" w:hAnsi="Arial" w:cs="Arial"/>
                <w:b/>
                <w:color w:val="FFFFFF" w:themeColor="background1"/>
                <w:sz w:val="20"/>
                <w:szCs w:val="20"/>
              </w:rPr>
            </w:pPr>
            <w:r w:rsidRPr="00BC513A">
              <w:rPr>
                <w:rFonts w:ascii="Arial" w:hAnsi="Arial" w:cs="Arial"/>
                <w:b/>
                <w:color w:val="FFFFFF" w:themeColor="background1"/>
                <w:sz w:val="20"/>
                <w:szCs w:val="20"/>
              </w:rPr>
              <w:t>2014</w:t>
            </w:r>
          </w:p>
        </w:tc>
        <w:tc>
          <w:tcPr>
            <w:tcW w:w="850" w:type="dxa"/>
            <w:shd w:val="clear" w:color="auto" w:fill="1F4E79" w:themeFill="accent1" w:themeFillShade="80"/>
          </w:tcPr>
          <w:p w14:paraId="7C89A1F2" w14:textId="77777777" w:rsidR="00E8617E" w:rsidRPr="00BC513A" w:rsidRDefault="00E8617E" w:rsidP="00922731">
            <w:pPr>
              <w:autoSpaceDE w:val="0"/>
              <w:autoSpaceDN w:val="0"/>
              <w:adjustRightInd w:val="0"/>
              <w:spacing w:line="276" w:lineRule="auto"/>
              <w:rPr>
                <w:rFonts w:ascii="Arial" w:hAnsi="Arial" w:cs="Arial"/>
                <w:b/>
                <w:color w:val="FFFFFF" w:themeColor="background1"/>
                <w:sz w:val="20"/>
                <w:szCs w:val="20"/>
              </w:rPr>
            </w:pPr>
            <w:r w:rsidRPr="00BC513A">
              <w:rPr>
                <w:rFonts w:ascii="Arial" w:hAnsi="Arial" w:cs="Arial"/>
                <w:b/>
                <w:color w:val="FFFFFF" w:themeColor="background1"/>
                <w:sz w:val="20"/>
                <w:szCs w:val="20"/>
              </w:rPr>
              <w:t>2015</w:t>
            </w:r>
          </w:p>
        </w:tc>
        <w:tc>
          <w:tcPr>
            <w:tcW w:w="993" w:type="dxa"/>
            <w:shd w:val="clear" w:color="auto" w:fill="1F4E79" w:themeFill="accent1" w:themeFillShade="80"/>
          </w:tcPr>
          <w:p w14:paraId="4716B055" w14:textId="77777777" w:rsidR="00E8617E" w:rsidRPr="00BC513A" w:rsidRDefault="00E8617E" w:rsidP="00922731">
            <w:pPr>
              <w:autoSpaceDE w:val="0"/>
              <w:autoSpaceDN w:val="0"/>
              <w:adjustRightInd w:val="0"/>
              <w:spacing w:line="276" w:lineRule="auto"/>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Общо </w:t>
            </w:r>
          </w:p>
        </w:tc>
      </w:tr>
      <w:tr w:rsidR="00E8617E" w:rsidRPr="00BC513A" w14:paraId="5EC3B865" w14:textId="77777777" w:rsidTr="00922731">
        <w:tc>
          <w:tcPr>
            <w:tcW w:w="4791" w:type="dxa"/>
            <w:shd w:val="clear" w:color="auto" w:fill="DEEAF6" w:themeFill="accent1" w:themeFillTint="33"/>
          </w:tcPr>
          <w:p w14:paraId="210D8BCB"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1.</w:t>
            </w:r>
            <w:r w:rsidRPr="00BC513A">
              <w:rPr>
                <w:rFonts w:ascii="Arial" w:hAnsi="Arial" w:cs="Arial"/>
                <w:b/>
                <w:sz w:val="20"/>
                <w:szCs w:val="20"/>
              </w:rPr>
              <w:t>Брой конференции</w:t>
            </w:r>
          </w:p>
        </w:tc>
        <w:tc>
          <w:tcPr>
            <w:tcW w:w="992" w:type="dxa"/>
            <w:shd w:val="clear" w:color="auto" w:fill="DEEAF6" w:themeFill="accent1" w:themeFillTint="33"/>
          </w:tcPr>
          <w:p w14:paraId="1FB8ADA9"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15</w:t>
            </w:r>
          </w:p>
        </w:tc>
        <w:tc>
          <w:tcPr>
            <w:tcW w:w="851" w:type="dxa"/>
            <w:shd w:val="clear" w:color="auto" w:fill="DEEAF6" w:themeFill="accent1" w:themeFillTint="33"/>
          </w:tcPr>
          <w:p w14:paraId="0AEAE7BE"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17</w:t>
            </w:r>
          </w:p>
        </w:tc>
        <w:tc>
          <w:tcPr>
            <w:tcW w:w="850" w:type="dxa"/>
            <w:shd w:val="clear" w:color="auto" w:fill="DEEAF6" w:themeFill="accent1" w:themeFillTint="33"/>
          </w:tcPr>
          <w:p w14:paraId="70C9121A"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21</w:t>
            </w:r>
          </w:p>
        </w:tc>
        <w:tc>
          <w:tcPr>
            <w:tcW w:w="993" w:type="dxa"/>
            <w:shd w:val="clear" w:color="auto" w:fill="DEEAF6" w:themeFill="accent1" w:themeFillTint="33"/>
          </w:tcPr>
          <w:p w14:paraId="6CC8647B"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53</w:t>
            </w:r>
          </w:p>
        </w:tc>
      </w:tr>
      <w:tr w:rsidR="00E8617E" w:rsidRPr="00BC513A" w14:paraId="1845ADB3" w14:textId="77777777" w:rsidTr="00922731">
        <w:tc>
          <w:tcPr>
            <w:tcW w:w="4791" w:type="dxa"/>
          </w:tcPr>
          <w:p w14:paraId="1585E252"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Брой участници </w:t>
            </w:r>
          </w:p>
        </w:tc>
        <w:tc>
          <w:tcPr>
            <w:tcW w:w="992" w:type="dxa"/>
          </w:tcPr>
          <w:p w14:paraId="4C481F48"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400</w:t>
            </w:r>
          </w:p>
        </w:tc>
        <w:tc>
          <w:tcPr>
            <w:tcW w:w="851" w:type="dxa"/>
          </w:tcPr>
          <w:p w14:paraId="05E4EF8A"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523</w:t>
            </w:r>
          </w:p>
        </w:tc>
        <w:tc>
          <w:tcPr>
            <w:tcW w:w="850" w:type="dxa"/>
          </w:tcPr>
          <w:p w14:paraId="3AC64791"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645</w:t>
            </w:r>
          </w:p>
        </w:tc>
        <w:tc>
          <w:tcPr>
            <w:tcW w:w="993" w:type="dxa"/>
          </w:tcPr>
          <w:p w14:paraId="63B4559F"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1568</w:t>
            </w:r>
          </w:p>
        </w:tc>
      </w:tr>
      <w:tr w:rsidR="00E8617E" w:rsidRPr="00BC513A" w14:paraId="63209562" w14:textId="77777777" w:rsidTr="00922731">
        <w:tc>
          <w:tcPr>
            <w:tcW w:w="4791" w:type="dxa"/>
          </w:tcPr>
          <w:p w14:paraId="442565F2"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Брой на разпространените материали</w:t>
            </w:r>
          </w:p>
        </w:tc>
        <w:tc>
          <w:tcPr>
            <w:tcW w:w="992" w:type="dxa"/>
          </w:tcPr>
          <w:p w14:paraId="69C4DE69"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27</w:t>
            </w:r>
          </w:p>
        </w:tc>
        <w:tc>
          <w:tcPr>
            <w:tcW w:w="851" w:type="dxa"/>
          </w:tcPr>
          <w:p w14:paraId="409558C2"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58</w:t>
            </w:r>
          </w:p>
        </w:tc>
        <w:tc>
          <w:tcPr>
            <w:tcW w:w="850" w:type="dxa"/>
          </w:tcPr>
          <w:p w14:paraId="3C7AD28F"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26</w:t>
            </w:r>
          </w:p>
        </w:tc>
        <w:tc>
          <w:tcPr>
            <w:tcW w:w="993" w:type="dxa"/>
          </w:tcPr>
          <w:p w14:paraId="4EEC87BF"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111</w:t>
            </w:r>
          </w:p>
        </w:tc>
      </w:tr>
      <w:tr w:rsidR="00E8617E" w:rsidRPr="00BC513A" w14:paraId="4FB995AF" w14:textId="77777777" w:rsidTr="00922731">
        <w:trPr>
          <w:trHeight w:val="334"/>
        </w:trPr>
        <w:tc>
          <w:tcPr>
            <w:tcW w:w="4791" w:type="dxa"/>
            <w:shd w:val="clear" w:color="auto" w:fill="DEEAF6" w:themeFill="accent1" w:themeFillTint="33"/>
          </w:tcPr>
          <w:p w14:paraId="740FB920" w14:textId="77777777" w:rsidR="00E8617E" w:rsidRPr="00BC513A" w:rsidRDefault="00E8617E" w:rsidP="00922731">
            <w:pPr>
              <w:autoSpaceDE w:val="0"/>
              <w:autoSpaceDN w:val="0"/>
              <w:adjustRightInd w:val="0"/>
              <w:spacing w:line="276" w:lineRule="auto"/>
              <w:rPr>
                <w:rFonts w:ascii="Arial" w:hAnsi="Arial" w:cs="Arial"/>
                <w:b/>
                <w:sz w:val="20"/>
                <w:szCs w:val="20"/>
              </w:rPr>
            </w:pPr>
            <w:r w:rsidRPr="00BC513A">
              <w:rPr>
                <w:rFonts w:ascii="Arial" w:hAnsi="Arial" w:cs="Arial"/>
                <w:b/>
                <w:sz w:val="20"/>
                <w:szCs w:val="20"/>
              </w:rPr>
              <w:t xml:space="preserve">2.Брой на публикациите </w:t>
            </w:r>
          </w:p>
        </w:tc>
        <w:tc>
          <w:tcPr>
            <w:tcW w:w="992" w:type="dxa"/>
            <w:shd w:val="clear" w:color="auto" w:fill="DEEAF6" w:themeFill="accent1" w:themeFillTint="33"/>
          </w:tcPr>
          <w:p w14:paraId="1A3DE961" w14:textId="77777777" w:rsidR="00E8617E" w:rsidRPr="00BC513A" w:rsidRDefault="00E8617E" w:rsidP="00922731">
            <w:pPr>
              <w:spacing w:line="276" w:lineRule="auto"/>
              <w:rPr>
                <w:rFonts w:ascii="Arial" w:hAnsi="Arial" w:cs="Arial"/>
                <w:sz w:val="20"/>
                <w:szCs w:val="20"/>
              </w:rPr>
            </w:pPr>
            <w:r w:rsidRPr="00BC513A">
              <w:rPr>
                <w:rFonts w:ascii="Arial" w:hAnsi="Arial" w:cs="Arial"/>
                <w:color w:val="000000"/>
                <w:sz w:val="20"/>
                <w:szCs w:val="20"/>
              </w:rPr>
              <w:t>1680</w:t>
            </w:r>
          </w:p>
        </w:tc>
        <w:tc>
          <w:tcPr>
            <w:tcW w:w="851" w:type="dxa"/>
            <w:shd w:val="clear" w:color="auto" w:fill="DEEAF6" w:themeFill="accent1" w:themeFillTint="33"/>
          </w:tcPr>
          <w:p w14:paraId="542EDF51"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1540</w:t>
            </w:r>
          </w:p>
        </w:tc>
        <w:tc>
          <w:tcPr>
            <w:tcW w:w="850" w:type="dxa"/>
            <w:shd w:val="clear" w:color="auto" w:fill="DEEAF6" w:themeFill="accent1" w:themeFillTint="33"/>
          </w:tcPr>
          <w:p w14:paraId="2539FF4B"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880</w:t>
            </w:r>
          </w:p>
        </w:tc>
        <w:tc>
          <w:tcPr>
            <w:tcW w:w="993" w:type="dxa"/>
            <w:shd w:val="clear" w:color="auto" w:fill="DEEAF6" w:themeFill="accent1" w:themeFillTint="33"/>
          </w:tcPr>
          <w:p w14:paraId="3D03A40F"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4340</w:t>
            </w:r>
          </w:p>
        </w:tc>
      </w:tr>
      <w:tr w:rsidR="00E8617E" w:rsidRPr="00BC513A" w14:paraId="5EAAA3D2" w14:textId="77777777" w:rsidTr="00922731">
        <w:tc>
          <w:tcPr>
            <w:tcW w:w="4791" w:type="dxa"/>
          </w:tcPr>
          <w:p w14:paraId="1DB04A4B"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Публикувани новини на уеб-сайт</w:t>
            </w:r>
          </w:p>
        </w:tc>
        <w:tc>
          <w:tcPr>
            <w:tcW w:w="992" w:type="dxa"/>
          </w:tcPr>
          <w:p w14:paraId="0F1EF26B"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386</w:t>
            </w:r>
          </w:p>
        </w:tc>
        <w:tc>
          <w:tcPr>
            <w:tcW w:w="851" w:type="dxa"/>
          </w:tcPr>
          <w:p w14:paraId="3146BE2D"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239</w:t>
            </w:r>
          </w:p>
        </w:tc>
        <w:tc>
          <w:tcPr>
            <w:tcW w:w="850" w:type="dxa"/>
          </w:tcPr>
          <w:p w14:paraId="01FA8CE2"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163</w:t>
            </w:r>
          </w:p>
        </w:tc>
        <w:tc>
          <w:tcPr>
            <w:tcW w:w="993" w:type="dxa"/>
          </w:tcPr>
          <w:p w14:paraId="03FB66FD"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788</w:t>
            </w:r>
          </w:p>
        </w:tc>
      </w:tr>
      <w:tr w:rsidR="00E8617E" w:rsidRPr="00BC513A" w14:paraId="58A35C3E" w14:textId="77777777" w:rsidTr="00922731">
        <w:tc>
          <w:tcPr>
            <w:tcW w:w="4791" w:type="dxa"/>
          </w:tcPr>
          <w:p w14:paraId="535B8AB1"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Публикувани новини във фейсбук </w:t>
            </w:r>
          </w:p>
        </w:tc>
        <w:tc>
          <w:tcPr>
            <w:tcW w:w="992" w:type="dxa"/>
          </w:tcPr>
          <w:p w14:paraId="79E489EE"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1294</w:t>
            </w:r>
          </w:p>
        </w:tc>
        <w:tc>
          <w:tcPr>
            <w:tcW w:w="851" w:type="dxa"/>
          </w:tcPr>
          <w:p w14:paraId="4F8C634D"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1296</w:t>
            </w:r>
          </w:p>
        </w:tc>
        <w:tc>
          <w:tcPr>
            <w:tcW w:w="850" w:type="dxa"/>
          </w:tcPr>
          <w:p w14:paraId="57CA53EB"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962</w:t>
            </w:r>
          </w:p>
        </w:tc>
        <w:tc>
          <w:tcPr>
            <w:tcW w:w="993" w:type="dxa"/>
          </w:tcPr>
          <w:p w14:paraId="08023B23"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3552</w:t>
            </w:r>
          </w:p>
        </w:tc>
      </w:tr>
      <w:tr w:rsidR="00E8617E" w:rsidRPr="00BC513A" w14:paraId="61DACBD6" w14:textId="77777777" w:rsidTr="00922731">
        <w:tc>
          <w:tcPr>
            <w:tcW w:w="4791" w:type="dxa"/>
            <w:shd w:val="clear" w:color="auto" w:fill="DEEAF6" w:themeFill="accent1" w:themeFillTint="33"/>
          </w:tcPr>
          <w:p w14:paraId="0E16AF03" w14:textId="77777777" w:rsidR="00E8617E" w:rsidRPr="00BC513A" w:rsidRDefault="00E8617E" w:rsidP="00922731">
            <w:pPr>
              <w:autoSpaceDE w:val="0"/>
              <w:autoSpaceDN w:val="0"/>
              <w:adjustRightInd w:val="0"/>
              <w:spacing w:line="276" w:lineRule="auto"/>
              <w:rPr>
                <w:rFonts w:ascii="Arial" w:hAnsi="Arial" w:cs="Arial"/>
                <w:b/>
                <w:sz w:val="20"/>
                <w:szCs w:val="20"/>
              </w:rPr>
            </w:pPr>
            <w:r w:rsidRPr="00BC513A">
              <w:rPr>
                <w:rFonts w:ascii="Arial" w:hAnsi="Arial" w:cs="Arial"/>
                <w:b/>
                <w:sz w:val="20"/>
                <w:szCs w:val="20"/>
              </w:rPr>
              <w:t xml:space="preserve">3.Интернет страници на НСМ </w:t>
            </w:r>
          </w:p>
        </w:tc>
        <w:tc>
          <w:tcPr>
            <w:tcW w:w="992" w:type="dxa"/>
            <w:shd w:val="clear" w:color="auto" w:fill="DEEAF6" w:themeFill="accent1" w:themeFillTint="33"/>
          </w:tcPr>
          <w:p w14:paraId="1744BC91" w14:textId="77777777" w:rsidR="00E8617E" w:rsidRPr="00BC513A" w:rsidRDefault="00E8617E" w:rsidP="00922731">
            <w:pPr>
              <w:autoSpaceDE w:val="0"/>
              <w:autoSpaceDN w:val="0"/>
              <w:adjustRightInd w:val="0"/>
              <w:spacing w:line="276" w:lineRule="auto"/>
              <w:rPr>
                <w:rFonts w:ascii="Arial" w:hAnsi="Arial" w:cs="Arial"/>
                <w:sz w:val="20"/>
                <w:szCs w:val="20"/>
              </w:rPr>
            </w:pPr>
          </w:p>
        </w:tc>
        <w:tc>
          <w:tcPr>
            <w:tcW w:w="851" w:type="dxa"/>
            <w:shd w:val="clear" w:color="auto" w:fill="DEEAF6" w:themeFill="accent1" w:themeFillTint="33"/>
          </w:tcPr>
          <w:p w14:paraId="4302BC2D" w14:textId="77777777" w:rsidR="00E8617E" w:rsidRPr="00BC513A" w:rsidRDefault="00E8617E" w:rsidP="00922731">
            <w:pPr>
              <w:autoSpaceDE w:val="0"/>
              <w:autoSpaceDN w:val="0"/>
              <w:adjustRightInd w:val="0"/>
              <w:spacing w:line="276" w:lineRule="auto"/>
              <w:rPr>
                <w:rFonts w:ascii="Arial" w:hAnsi="Arial" w:cs="Arial"/>
                <w:sz w:val="20"/>
                <w:szCs w:val="20"/>
              </w:rPr>
            </w:pPr>
          </w:p>
        </w:tc>
        <w:tc>
          <w:tcPr>
            <w:tcW w:w="850" w:type="dxa"/>
            <w:shd w:val="clear" w:color="auto" w:fill="DEEAF6" w:themeFill="accent1" w:themeFillTint="33"/>
          </w:tcPr>
          <w:p w14:paraId="5AF9D859" w14:textId="77777777" w:rsidR="00E8617E" w:rsidRPr="00BC513A" w:rsidRDefault="00E8617E" w:rsidP="00922731">
            <w:pPr>
              <w:autoSpaceDE w:val="0"/>
              <w:autoSpaceDN w:val="0"/>
              <w:adjustRightInd w:val="0"/>
              <w:spacing w:line="276" w:lineRule="auto"/>
              <w:rPr>
                <w:rFonts w:ascii="Arial" w:hAnsi="Arial" w:cs="Arial"/>
                <w:sz w:val="20"/>
                <w:szCs w:val="20"/>
              </w:rPr>
            </w:pPr>
          </w:p>
        </w:tc>
        <w:tc>
          <w:tcPr>
            <w:tcW w:w="993" w:type="dxa"/>
            <w:shd w:val="clear" w:color="auto" w:fill="DEEAF6" w:themeFill="accent1" w:themeFillTint="33"/>
          </w:tcPr>
          <w:p w14:paraId="3DEDAB8B" w14:textId="77777777" w:rsidR="00E8617E" w:rsidRPr="00BC513A" w:rsidRDefault="00E8617E" w:rsidP="00922731">
            <w:pPr>
              <w:autoSpaceDE w:val="0"/>
              <w:autoSpaceDN w:val="0"/>
              <w:adjustRightInd w:val="0"/>
              <w:spacing w:line="276" w:lineRule="auto"/>
              <w:rPr>
                <w:rFonts w:ascii="Arial" w:hAnsi="Arial" w:cs="Arial"/>
                <w:sz w:val="20"/>
                <w:szCs w:val="20"/>
              </w:rPr>
            </w:pPr>
          </w:p>
        </w:tc>
      </w:tr>
      <w:tr w:rsidR="00E8617E" w:rsidRPr="00BC513A" w14:paraId="1915F2B5" w14:textId="77777777" w:rsidTr="00922731">
        <w:tc>
          <w:tcPr>
            <w:tcW w:w="4791" w:type="dxa"/>
          </w:tcPr>
          <w:p w14:paraId="21CAB081"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Брой посещения </w:t>
            </w:r>
          </w:p>
        </w:tc>
        <w:tc>
          <w:tcPr>
            <w:tcW w:w="992" w:type="dxa"/>
          </w:tcPr>
          <w:p w14:paraId="77E1FD95"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17715</w:t>
            </w:r>
          </w:p>
        </w:tc>
        <w:tc>
          <w:tcPr>
            <w:tcW w:w="851" w:type="dxa"/>
          </w:tcPr>
          <w:p w14:paraId="33CA2A3A"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21125</w:t>
            </w:r>
          </w:p>
        </w:tc>
        <w:tc>
          <w:tcPr>
            <w:tcW w:w="850" w:type="dxa"/>
          </w:tcPr>
          <w:p w14:paraId="6DC2B887"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23929</w:t>
            </w:r>
          </w:p>
        </w:tc>
        <w:tc>
          <w:tcPr>
            <w:tcW w:w="993" w:type="dxa"/>
          </w:tcPr>
          <w:p w14:paraId="622DFB7E"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62769</w:t>
            </w:r>
          </w:p>
        </w:tc>
      </w:tr>
      <w:tr w:rsidR="00E8617E" w:rsidRPr="00BC513A" w14:paraId="5D34E276" w14:textId="77777777" w:rsidTr="00922731">
        <w:tc>
          <w:tcPr>
            <w:tcW w:w="4791" w:type="dxa"/>
          </w:tcPr>
          <w:p w14:paraId="7A0CCCBD"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Брой на качени документи </w:t>
            </w:r>
          </w:p>
        </w:tc>
        <w:tc>
          <w:tcPr>
            <w:tcW w:w="992" w:type="dxa"/>
          </w:tcPr>
          <w:p w14:paraId="58175755"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81</w:t>
            </w:r>
          </w:p>
        </w:tc>
        <w:tc>
          <w:tcPr>
            <w:tcW w:w="851" w:type="dxa"/>
          </w:tcPr>
          <w:p w14:paraId="127E4EA5"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75</w:t>
            </w:r>
          </w:p>
        </w:tc>
        <w:tc>
          <w:tcPr>
            <w:tcW w:w="850" w:type="dxa"/>
          </w:tcPr>
          <w:p w14:paraId="129BBF99"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59</w:t>
            </w:r>
          </w:p>
        </w:tc>
        <w:tc>
          <w:tcPr>
            <w:tcW w:w="993" w:type="dxa"/>
          </w:tcPr>
          <w:p w14:paraId="7C121823" w14:textId="77777777" w:rsidR="00E8617E" w:rsidRPr="00BC513A" w:rsidRDefault="00E8617E" w:rsidP="00922731">
            <w:pPr>
              <w:spacing w:line="276" w:lineRule="auto"/>
              <w:rPr>
                <w:rFonts w:ascii="Arial" w:hAnsi="Arial" w:cs="Arial"/>
                <w:sz w:val="20"/>
                <w:szCs w:val="20"/>
              </w:rPr>
            </w:pPr>
            <w:r w:rsidRPr="00BC513A">
              <w:rPr>
                <w:rFonts w:ascii="Arial" w:hAnsi="Arial" w:cs="Arial"/>
                <w:sz w:val="20"/>
                <w:szCs w:val="20"/>
              </w:rPr>
              <w:t>215</w:t>
            </w:r>
          </w:p>
        </w:tc>
      </w:tr>
      <w:tr w:rsidR="00E8617E" w:rsidRPr="00BC513A" w14:paraId="55F9BDFA" w14:textId="77777777" w:rsidTr="00922731">
        <w:tc>
          <w:tcPr>
            <w:tcW w:w="8477" w:type="dxa"/>
            <w:gridSpan w:val="5"/>
            <w:shd w:val="clear" w:color="auto" w:fill="DEEAF6" w:themeFill="accent1" w:themeFillTint="33"/>
          </w:tcPr>
          <w:p w14:paraId="50E0AA7F"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b/>
                <w:sz w:val="20"/>
                <w:szCs w:val="20"/>
              </w:rPr>
              <w:t xml:space="preserve">4.Обмен на опит в страната и чужбина </w:t>
            </w:r>
          </w:p>
        </w:tc>
      </w:tr>
      <w:tr w:rsidR="00E8617E" w:rsidRPr="00BC513A" w14:paraId="2471A142" w14:textId="77777777" w:rsidTr="00922731">
        <w:tc>
          <w:tcPr>
            <w:tcW w:w="4791" w:type="dxa"/>
          </w:tcPr>
          <w:p w14:paraId="68F9F29D"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Брой на посещенията </w:t>
            </w:r>
          </w:p>
        </w:tc>
        <w:tc>
          <w:tcPr>
            <w:tcW w:w="992" w:type="dxa"/>
          </w:tcPr>
          <w:p w14:paraId="57DD6639"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7</w:t>
            </w:r>
          </w:p>
        </w:tc>
        <w:tc>
          <w:tcPr>
            <w:tcW w:w="851" w:type="dxa"/>
          </w:tcPr>
          <w:p w14:paraId="63A775D7"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4</w:t>
            </w:r>
          </w:p>
        </w:tc>
        <w:tc>
          <w:tcPr>
            <w:tcW w:w="850" w:type="dxa"/>
          </w:tcPr>
          <w:p w14:paraId="2A60B0D8"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5</w:t>
            </w:r>
          </w:p>
        </w:tc>
        <w:tc>
          <w:tcPr>
            <w:tcW w:w="993" w:type="dxa"/>
          </w:tcPr>
          <w:p w14:paraId="5A6D0BFC"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16</w:t>
            </w:r>
          </w:p>
        </w:tc>
      </w:tr>
      <w:tr w:rsidR="00E8617E" w:rsidRPr="00BC513A" w14:paraId="5BF5F1D8" w14:textId="77777777" w:rsidTr="00922731">
        <w:tc>
          <w:tcPr>
            <w:tcW w:w="4791" w:type="dxa"/>
          </w:tcPr>
          <w:p w14:paraId="36442B3B"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 xml:space="preserve">Брой на участниците </w:t>
            </w:r>
          </w:p>
        </w:tc>
        <w:tc>
          <w:tcPr>
            <w:tcW w:w="992" w:type="dxa"/>
          </w:tcPr>
          <w:p w14:paraId="703B507F"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21</w:t>
            </w:r>
          </w:p>
        </w:tc>
        <w:tc>
          <w:tcPr>
            <w:tcW w:w="851" w:type="dxa"/>
          </w:tcPr>
          <w:p w14:paraId="2E8BFEB7"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9</w:t>
            </w:r>
          </w:p>
        </w:tc>
        <w:tc>
          <w:tcPr>
            <w:tcW w:w="850" w:type="dxa"/>
          </w:tcPr>
          <w:p w14:paraId="4BB77F95"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221</w:t>
            </w:r>
          </w:p>
        </w:tc>
        <w:tc>
          <w:tcPr>
            <w:tcW w:w="993" w:type="dxa"/>
          </w:tcPr>
          <w:p w14:paraId="59A64D72" w14:textId="77777777" w:rsidR="00E8617E" w:rsidRPr="00BC513A" w:rsidRDefault="00E8617E" w:rsidP="00922731">
            <w:pPr>
              <w:autoSpaceDE w:val="0"/>
              <w:autoSpaceDN w:val="0"/>
              <w:adjustRightInd w:val="0"/>
              <w:spacing w:line="276" w:lineRule="auto"/>
              <w:rPr>
                <w:rFonts w:ascii="Arial" w:hAnsi="Arial" w:cs="Arial"/>
                <w:sz w:val="20"/>
                <w:szCs w:val="20"/>
              </w:rPr>
            </w:pPr>
            <w:r w:rsidRPr="00BC513A">
              <w:rPr>
                <w:rFonts w:ascii="Arial" w:hAnsi="Arial" w:cs="Arial"/>
                <w:sz w:val="20"/>
                <w:szCs w:val="20"/>
              </w:rPr>
              <w:t>251</w:t>
            </w:r>
          </w:p>
        </w:tc>
      </w:tr>
    </w:tbl>
    <w:p w14:paraId="054BC6BC" w14:textId="77777777" w:rsidR="00E8617E" w:rsidRPr="00BC513A" w:rsidRDefault="00E8617E" w:rsidP="00E8617E">
      <w:pPr>
        <w:autoSpaceDE w:val="0"/>
        <w:autoSpaceDN w:val="0"/>
        <w:adjustRightInd w:val="0"/>
        <w:spacing w:after="0"/>
        <w:rPr>
          <w:rFonts w:ascii="Arial" w:hAnsi="Arial" w:cs="Arial"/>
          <w:sz w:val="20"/>
          <w:szCs w:val="20"/>
        </w:rPr>
      </w:pPr>
      <w:r w:rsidRPr="00BC513A">
        <w:rPr>
          <w:rFonts w:ascii="Arial" w:hAnsi="Arial" w:cs="Arial"/>
          <w:sz w:val="20"/>
          <w:szCs w:val="20"/>
        </w:rPr>
        <w:t xml:space="preserve">Източник: Заключителен доклад на Звеното за управление на НСМ, 2015 </w:t>
      </w:r>
    </w:p>
    <w:p w14:paraId="4713D6EA" w14:textId="77777777" w:rsidR="00E8617E" w:rsidRPr="00BC513A" w:rsidRDefault="00E8617E" w:rsidP="00E8617E">
      <w:pPr>
        <w:autoSpaceDE w:val="0"/>
        <w:autoSpaceDN w:val="0"/>
        <w:adjustRightInd w:val="0"/>
        <w:spacing w:after="0"/>
        <w:rPr>
          <w:rFonts w:ascii="Arial" w:hAnsi="Arial" w:cs="Arial"/>
        </w:rPr>
      </w:pPr>
    </w:p>
    <w:p w14:paraId="5F28A6D2"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Анализите показват, че в периода 2013-2015:</w:t>
      </w:r>
    </w:p>
    <w:p w14:paraId="3594C1FF" w14:textId="732CD779" w:rsidR="00E8617E" w:rsidRPr="00BC513A" w:rsidRDefault="00E8617E" w:rsidP="00E8617E">
      <w:pPr>
        <w:pStyle w:val="DefaultText"/>
        <w:numPr>
          <w:ilvl w:val="0"/>
          <w:numId w:val="38"/>
        </w:numPr>
        <w:spacing w:after="120" w:line="300" w:lineRule="atLeast"/>
        <w:rPr>
          <w:sz w:val="22"/>
          <w:szCs w:val="22"/>
          <w:lang w:val="bg-BG"/>
        </w:rPr>
      </w:pPr>
      <w:r w:rsidRPr="00BC513A">
        <w:rPr>
          <w:sz w:val="22"/>
          <w:szCs w:val="22"/>
          <w:lang w:val="bg-BG"/>
        </w:rPr>
        <w:t>Звеното успя да осигури  ефективно и  безпроблемното функциониране на Националната селска мрежа. Дейностите са изпълнени успешно и принос има създадения</w:t>
      </w:r>
      <w:r w:rsidR="00E23E6B">
        <w:rPr>
          <w:sz w:val="22"/>
          <w:szCs w:val="22"/>
          <w:lang w:val="bg-BG"/>
        </w:rPr>
        <w:t>т</w:t>
      </w:r>
      <w:r w:rsidRPr="00BC513A">
        <w:rPr>
          <w:sz w:val="22"/>
          <w:szCs w:val="22"/>
          <w:lang w:val="bg-BG"/>
        </w:rPr>
        <w:t xml:space="preserve"> социален и експертен капацитет. </w:t>
      </w:r>
    </w:p>
    <w:p w14:paraId="26E32935" w14:textId="77777777" w:rsidR="00E8617E" w:rsidRPr="00BC513A" w:rsidRDefault="00E8617E" w:rsidP="00E8617E">
      <w:pPr>
        <w:pStyle w:val="DefaultText"/>
        <w:numPr>
          <w:ilvl w:val="0"/>
          <w:numId w:val="38"/>
        </w:numPr>
        <w:spacing w:after="120" w:line="300" w:lineRule="atLeast"/>
        <w:rPr>
          <w:sz w:val="22"/>
          <w:szCs w:val="22"/>
          <w:lang w:val="bg-BG"/>
        </w:rPr>
      </w:pPr>
      <w:r w:rsidRPr="00BC513A">
        <w:rPr>
          <w:sz w:val="22"/>
          <w:szCs w:val="22"/>
          <w:lang w:val="bg-BG"/>
        </w:rPr>
        <w:t xml:space="preserve">Звеното за управление на НСМ изгради структура и мрежа, която обединява членове от различни заинтересовани групи. Тематичните групи в рамките на Мрежата помагат да се осъществи интегриран и интерактивен междусекторен подход при обсъждане, планиране и реализация на политиките за развитие на селските райони в страната. </w:t>
      </w:r>
    </w:p>
    <w:p w14:paraId="73B09A5C" w14:textId="77777777" w:rsidR="00E8617E" w:rsidRPr="00BC513A" w:rsidRDefault="00E8617E" w:rsidP="00E8617E">
      <w:pPr>
        <w:pStyle w:val="DefaultText"/>
        <w:numPr>
          <w:ilvl w:val="0"/>
          <w:numId w:val="38"/>
        </w:numPr>
        <w:spacing w:after="120" w:line="300" w:lineRule="atLeast"/>
        <w:rPr>
          <w:sz w:val="22"/>
          <w:szCs w:val="22"/>
          <w:lang w:val="bg-BG"/>
        </w:rPr>
      </w:pPr>
      <w:r w:rsidRPr="00BC513A">
        <w:rPr>
          <w:sz w:val="22"/>
          <w:szCs w:val="22"/>
          <w:lang w:val="bg-BG"/>
        </w:rPr>
        <w:t>Постига се добър диалог на администрацията на МЗХГ със заинтересованите страни, разширява се участието им във вземането на решения и в процеса на планиране.</w:t>
      </w:r>
    </w:p>
    <w:p w14:paraId="591EBFE5" w14:textId="77777777" w:rsidR="00E8617E" w:rsidRPr="00BC513A" w:rsidRDefault="00E8617E" w:rsidP="00E8617E">
      <w:pPr>
        <w:pStyle w:val="DefaultText"/>
        <w:numPr>
          <w:ilvl w:val="0"/>
          <w:numId w:val="38"/>
        </w:numPr>
        <w:spacing w:after="120" w:line="300" w:lineRule="atLeast"/>
        <w:rPr>
          <w:sz w:val="22"/>
          <w:szCs w:val="22"/>
          <w:lang w:val="bg-BG"/>
        </w:rPr>
      </w:pPr>
      <w:r w:rsidRPr="00BC513A">
        <w:rPr>
          <w:sz w:val="22"/>
          <w:szCs w:val="22"/>
          <w:lang w:val="bg-BG"/>
        </w:rPr>
        <w:t xml:space="preserve">Организираните обученията и обмена на информацията допринасят за повишаване на капацитета на участниците в НСМ. Обученията са фокусирани по определена тематика и са включени участници от различни заинтересовани групи. </w:t>
      </w:r>
    </w:p>
    <w:p w14:paraId="0BB4936E" w14:textId="77777777" w:rsidR="00E8617E" w:rsidRPr="00BC513A" w:rsidRDefault="00E8617E" w:rsidP="00E8617E">
      <w:pPr>
        <w:pStyle w:val="DefaultText"/>
        <w:numPr>
          <w:ilvl w:val="0"/>
          <w:numId w:val="38"/>
        </w:numPr>
        <w:spacing w:after="120" w:line="300" w:lineRule="atLeast"/>
        <w:rPr>
          <w:sz w:val="22"/>
          <w:szCs w:val="22"/>
          <w:lang w:val="bg-BG"/>
        </w:rPr>
      </w:pPr>
      <w:r w:rsidRPr="00BC513A">
        <w:rPr>
          <w:sz w:val="22"/>
          <w:szCs w:val="22"/>
          <w:lang w:val="bg-BG"/>
        </w:rPr>
        <w:t xml:space="preserve">НСМ съдейства за укрепване на  капацитета на МИГ  в процеса на изпълнение на стратегиите за местно развитие. </w:t>
      </w:r>
    </w:p>
    <w:p w14:paraId="29889145" w14:textId="77777777" w:rsidR="00E8617E" w:rsidRPr="00BC513A" w:rsidRDefault="00E8617E" w:rsidP="00E8617E">
      <w:pPr>
        <w:pStyle w:val="DefaultText"/>
        <w:numPr>
          <w:ilvl w:val="0"/>
          <w:numId w:val="38"/>
        </w:numPr>
        <w:spacing w:after="120" w:line="300" w:lineRule="atLeast"/>
        <w:rPr>
          <w:sz w:val="22"/>
          <w:szCs w:val="22"/>
          <w:lang w:val="bg-BG"/>
        </w:rPr>
      </w:pPr>
      <w:r w:rsidRPr="00BC513A">
        <w:rPr>
          <w:sz w:val="22"/>
          <w:szCs w:val="22"/>
          <w:lang w:val="bg-BG"/>
        </w:rPr>
        <w:t xml:space="preserve">НСМ постигна добро взаимодействие при изпълнението на ПРСР 2007-2013 и подпомага УО при определяне на спецификата на някои мерки от ПРПС 2014-2020.  </w:t>
      </w:r>
    </w:p>
    <w:p w14:paraId="7739C148" w14:textId="77777777" w:rsidR="00E8617E" w:rsidRPr="00BC513A" w:rsidRDefault="00E8617E" w:rsidP="00E8617E">
      <w:pPr>
        <w:pStyle w:val="DefaultText"/>
        <w:spacing w:after="120" w:line="300" w:lineRule="atLeast"/>
        <w:ind w:firstLine="708"/>
        <w:rPr>
          <w:sz w:val="22"/>
          <w:szCs w:val="22"/>
          <w:lang w:val="bg-BG"/>
        </w:rPr>
      </w:pPr>
      <w:r w:rsidRPr="00BC513A">
        <w:rPr>
          <w:sz w:val="22"/>
          <w:szCs w:val="22"/>
          <w:lang w:val="bg-BG"/>
        </w:rPr>
        <w:t xml:space="preserve">Бюджетните ограничения в договора с външния изпълнител, който поема ролята на звено за управление на НСМ не позволяват да се постигнат по-големи ефекти и да се отговори на нуждите на УО по отношение на предоставяне на информация и анализи. </w:t>
      </w:r>
    </w:p>
    <w:p w14:paraId="7DB8D05A" w14:textId="77777777" w:rsidR="00E8617E" w:rsidRPr="00BC513A" w:rsidRDefault="00E8617E" w:rsidP="00E8617E">
      <w:pPr>
        <w:pStyle w:val="Heading3"/>
        <w:numPr>
          <w:ilvl w:val="0"/>
          <w:numId w:val="0"/>
        </w:numPr>
        <w:shd w:val="clear" w:color="auto" w:fill="F2F2F2" w:themeFill="background1" w:themeFillShade="F2"/>
      </w:pPr>
      <w:bookmarkStart w:id="201" w:name="_Toc504136161"/>
      <w:r w:rsidRPr="00BC513A">
        <w:t>Хоризонтални общи въпроси</w:t>
      </w:r>
      <w:bookmarkEnd w:id="201"/>
      <w:r w:rsidRPr="00BC513A">
        <w:rPr>
          <w:shd w:val="clear" w:color="auto" w:fill="F8E5FF"/>
        </w:rPr>
        <w:t xml:space="preserve"> </w:t>
      </w:r>
    </w:p>
    <w:p w14:paraId="361E0DCC" w14:textId="77777777" w:rsidR="00E8617E" w:rsidRPr="00BC513A" w:rsidRDefault="00E8617E" w:rsidP="00E8617E">
      <w:pPr>
        <w:pStyle w:val="DefaultText"/>
        <w:keepNext/>
        <w:numPr>
          <w:ilvl w:val="0"/>
          <w:numId w:val="23"/>
        </w:numPr>
        <w:spacing w:before="240" w:after="120"/>
        <w:ind w:left="709" w:hanging="284"/>
        <w:rPr>
          <w:rFonts w:cs="Arial"/>
          <w:color w:val="0070C0"/>
          <w:sz w:val="22"/>
          <w:szCs w:val="22"/>
          <w:lang w:val="bg-BG"/>
        </w:rPr>
      </w:pPr>
      <w:r w:rsidRPr="00BC513A">
        <w:rPr>
          <w:rFonts w:cs="Arial"/>
          <w:color w:val="0070C0"/>
          <w:sz w:val="22"/>
          <w:szCs w:val="22"/>
          <w:lang w:val="bg-BG"/>
        </w:rPr>
        <w:t>До каква степен ПРСР е допринесла за смекчаване на промените в климата и приспособяване? (Health Check objective отнасяща се за всички оси)</w:t>
      </w:r>
    </w:p>
    <w:p w14:paraId="3A0423C0"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ПРСР е допринесла за смекчаване на промените в климата и приспособяване, но не в степента в която това е било планирано. Направените изчисления показват създаване на капацитет за производство на енергия от възобновяеми източници, който да замести 30 ktoe конвенционални изкопаеми горива, както и капацитет за поглъщане на парникови газове в обем от 6,8 ktons СО2. Осъществените интервенции са с потенциал да продължат да оказват положителен принос към смекчаването и адаптирането към климатичните промени през следващите десетилетия на този век.</w:t>
      </w:r>
    </w:p>
    <w:p w14:paraId="4BDC5205" w14:textId="77777777" w:rsidR="00E8617E" w:rsidRPr="00BC513A" w:rsidRDefault="00E8617E" w:rsidP="00E8617E">
      <w:pPr>
        <w:pStyle w:val="DefaultText"/>
        <w:keepNext/>
        <w:numPr>
          <w:ilvl w:val="0"/>
          <w:numId w:val="23"/>
        </w:numPr>
        <w:spacing w:before="240" w:after="120"/>
        <w:ind w:left="709" w:hanging="284"/>
        <w:rPr>
          <w:rFonts w:cs="Arial"/>
          <w:color w:val="0070C0"/>
          <w:sz w:val="22"/>
          <w:szCs w:val="22"/>
          <w:lang w:val="bg-BG"/>
        </w:rPr>
      </w:pPr>
      <w:r w:rsidRPr="00BC513A">
        <w:rPr>
          <w:rFonts w:cs="Arial"/>
          <w:color w:val="0070C0"/>
          <w:sz w:val="22"/>
          <w:szCs w:val="22"/>
          <w:lang w:val="bg-BG"/>
        </w:rPr>
        <w:t>До каква степен ПРСР е допринесла за осигуряване на възобновяема енергия? (Health Check objective отнасяща се за всички оси).</w:t>
      </w:r>
    </w:p>
    <w:p w14:paraId="5E43586A" w14:textId="2BE11903"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Мерките на ПРСР с положителен ефект върху производството на енергия от възобновяеми източници са предимно мерки от ос 3 на програмата и особено: М311 и М312.</w:t>
      </w:r>
    </w:p>
    <w:p w14:paraId="58A3C91A"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По данни на Годишния доклад за изпълнение на ПРСР (2015 г.), М311 е финансирала 111 проекта с инвестиции във ВЕИ  с общ размер на инвестициите възлизащ на 25,3 мил. евро, а М312 – 218 проекта с обща стойност на инвестициите 54,5 мил. евро. По линия на ЕПИВ, инвестиции във ВЕИ са осъществени и по М121 (2 проекта, почти 0,2 мил.евро публично финансиране) и М123 (1 мил. евро финансова помощ).</w:t>
      </w:r>
    </w:p>
    <w:p w14:paraId="1E66C82F" w14:textId="312E6844"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По детайлни данни на ниво проект от сайта на ДФЗ-Разплащателна агенция показват, че и други мерки на </w:t>
      </w:r>
      <w:r w:rsidR="001611BA">
        <w:rPr>
          <w:sz w:val="22"/>
          <w:szCs w:val="22"/>
          <w:lang w:val="bg-BG"/>
        </w:rPr>
        <w:t xml:space="preserve">ос </w:t>
      </w:r>
      <w:r w:rsidR="001611BA" w:rsidRPr="00BC513A">
        <w:rPr>
          <w:sz w:val="22"/>
          <w:szCs w:val="22"/>
          <w:lang w:val="bg-BG"/>
        </w:rPr>
        <w:t xml:space="preserve">1 </w:t>
      </w:r>
      <w:r w:rsidRPr="00BC513A">
        <w:rPr>
          <w:sz w:val="22"/>
          <w:szCs w:val="22"/>
          <w:lang w:val="bg-BG"/>
        </w:rPr>
        <w:t xml:space="preserve">и </w:t>
      </w:r>
      <w:r w:rsidR="001611BA">
        <w:rPr>
          <w:sz w:val="22"/>
          <w:szCs w:val="22"/>
          <w:lang w:val="bg-BG"/>
        </w:rPr>
        <w:t xml:space="preserve">ос </w:t>
      </w:r>
      <w:r w:rsidRPr="00BC513A">
        <w:rPr>
          <w:sz w:val="22"/>
          <w:szCs w:val="22"/>
          <w:lang w:val="bg-BG"/>
        </w:rPr>
        <w:t>3 са с принос към производството на възобновяема енергия. По М121 са финансирани проекти за производство на биомаса от бързорастящи видове – включително от видовете акация и пауловния; по М123 са финансирани инсталации за производство на дървесни пелети (47 записа на стойност почти 14 мил. евро), както и активи за производство на енергия от биомаса.</w:t>
      </w:r>
    </w:p>
    <w:p w14:paraId="681A6F77" w14:textId="49A4261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Отделно, част от проектите за туризъм, както и от по-големите проекти</w:t>
      </w:r>
      <w:r w:rsidR="001611BA">
        <w:rPr>
          <w:sz w:val="22"/>
          <w:szCs w:val="22"/>
          <w:lang w:val="bg-BG"/>
        </w:rPr>
        <w:t>,</w:t>
      </w:r>
      <w:r w:rsidRPr="00BC513A">
        <w:rPr>
          <w:sz w:val="22"/>
          <w:szCs w:val="22"/>
          <w:lang w:val="bg-BG"/>
        </w:rPr>
        <w:t xml:space="preserve"> финансирани по М321 и М322, свързани с реконструкция и модернизиране на обществени сгради и улично осветление, включват и инвестиции в енергийна ефективност, и в производство на енергия от възобновяеми източници.</w:t>
      </w:r>
    </w:p>
    <w:p w14:paraId="59331181" w14:textId="5C62C19B"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За съжаление, от мониторинговата система на ДФЗ-РА не е възможно да се извлече обобщена справка с технико-икономическите параметри  на различните проекти за енергийна ефективност и възобновяеми енергийни източници, финансирани по изброените инвестиционни мерки на ПРСР </w:t>
      </w:r>
      <w:r w:rsidR="001611BA">
        <w:rPr>
          <w:sz w:val="22"/>
          <w:szCs w:val="22"/>
          <w:lang w:val="bg-BG"/>
        </w:rPr>
        <w:t>–</w:t>
      </w:r>
      <w:r w:rsidRPr="00BC513A">
        <w:rPr>
          <w:sz w:val="22"/>
          <w:szCs w:val="22"/>
          <w:lang w:val="bg-BG"/>
        </w:rPr>
        <w:t xml:space="preserve"> например, инсталирана мощност, очаквано натоварване и годишно производство на топлинна или електрическа енергия, площи с енергийни насаждения, енергийно съдържание и потенциал за топлинна и електрическа енергия  от засадените площи, потенциал за производство на течни и твърди биогорива с конкретно енергийно съдържание, и т.н. Въпреки това, по-долу е представена обобщена информация за инвестициите във фотоволатични системи подкрепени по М311 и М312 и очакваният им принос за смекчаване на климатичните промени.</w:t>
      </w:r>
    </w:p>
    <w:p w14:paraId="17336393"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Сортирането и филтрирането на данните показва 258 записа, съдържащи „фотоволтаична“ сред общо 4597 записа на проекти на юридически лица. Един от проектите е финансиран по М121, един по М123, а останалите по мерки 311 и 312 на ПРСР. Средната инвестиция възлиза на около 170,000 евро, а средната инсталирана мощност – на около 80 kWp (пикови киловата). Тогава, сумарната инсталирана мощност, подкрепена по ПРСР възлиза на почти 257 МWp (мегаватпика), което по данни на Евростат отговаря на почти 25% от 1029 MW общо инсталирани в България фотоволтаични мощности през 2015 година.  </w:t>
      </w:r>
    </w:p>
    <w:p w14:paraId="297FAC7C"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Това означава, че ако са работили на пълно натоварване през 2015 година, подкрепените соларни инсталации са произвели ¼ от слънчевата електрическа енергия през годината (120 ktoe), тоест приблизително 30 ktoe. Съответно, ако са работили на пълно натоварване в тригодишния период 2013-2015 сумата на произведената от инсталациите енергия би възлязла на 90 ktoe.</w:t>
      </w:r>
    </w:p>
    <w:p w14:paraId="2208DFB9"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Горните изчисления следва да се приемат изключително предпазливо, тъй като са направени на основа договорирани, а не изпълнени проекти. Освен това, са застрашени от големи неточности при изчисляването на средната мощност на инсталациите (за значителна част от проектите липсва размера на инсталираните kWp), както и на допускането, че всички инсталации са били в експлоатационен режим през 2015 г. и са произвеждали енергия при максимално натоварване на мощностите.</w:t>
      </w:r>
    </w:p>
    <w:p w14:paraId="497B8B68"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От друга страна, от гледна точка пълната подкрепа за енергия от възобнов</w:t>
      </w:r>
      <w:r w:rsidR="00320533">
        <w:rPr>
          <w:sz w:val="22"/>
          <w:szCs w:val="22"/>
          <w:lang w:val="bg-BG"/>
        </w:rPr>
        <w:t>я</w:t>
      </w:r>
      <w:r w:rsidRPr="00BC513A">
        <w:rPr>
          <w:sz w:val="22"/>
          <w:szCs w:val="22"/>
          <w:lang w:val="bg-BG"/>
        </w:rPr>
        <w:t>еми източници по всички мерки на ПРСР изчисленият принос към смекчаване на климатичните промени може да се окаже силно подценен, предвид невъзможността да се изчислят приносите на проектите по М121, М123, М321 и М322.</w:t>
      </w:r>
    </w:p>
    <w:p w14:paraId="239FEE66" w14:textId="77777777" w:rsidR="00E8617E" w:rsidRPr="00BC513A" w:rsidRDefault="00E8617E" w:rsidP="00E8617E">
      <w:pPr>
        <w:pStyle w:val="DefaultText"/>
        <w:keepNext/>
        <w:numPr>
          <w:ilvl w:val="0"/>
          <w:numId w:val="23"/>
        </w:numPr>
        <w:spacing w:before="240" w:after="120"/>
        <w:ind w:left="709" w:hanging="284"/>
        <w:rPr>
          <w:rFonts w:cs="Arial"/>
          <w:color w:val="0070C0"/>
          <w:sz w:val="22"/>
          <w:szCs w:val="22"/>
          <w:lang w:val="bg-BG"/>
        </w:rPr>
      </w:pPr>
      <w:r w:rsidRPr="00BC513A">
        <w:rPr>
          <w:rFonts w:cs="Arial"/>
          <w:color w:val="0070C0"/>
          <w:sz w:val="22"/>
          <w:szCs w:val="22"/>
          <w:lang w:val="bg-BG"/>
        </w:rPr>
        <w:t>До каква степен ПРСР е допринесла за подобряване на управлението на водните ресурси? (качество, употреба и количество)? (Health Check objective отнасяща се за всички оси).</w:t>
      </w:r>
    </w:p>
    <w:p w14:paraId="49897BD2"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ПРСР 2007-2013 г. оказва значително положително въздействие върху качеството на водите с оглед на екологосъобразните системи за управление, които се прилагат и финансират по </w:t>
      </w:r>
      <w:r w:rsidR="006C1D34">
        <w:rPr>
          <w:sz w:val="22"/>
          <w:szCs w:val="22"/>
          <w:lang w:val="bg-BG"/>
        </w:rPr>
        <w:t>п</w:t>
      </w:r>
      <w:r w:rsidRPr="00BC513A">
        <w:rPr>
          <w:sz w:val="22"/>
          <w:szCs w:val="22"/>
          <w:lang w:val="bg-BG"/>
        </w:rPr>
        <w:t xml:space="preserve">рограмата. </w:t>
      </w:r>
    </w:p>
    <w:p w14:paraId="3A600D0B"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В ПРСР са заложени изисквания по отделните мерки за спазване на условията за поддържане на земята в добро земеделско и екологично състояние, както и за прилагане на правилата за добра земеделска практика и спазване на ограниченията при извършване на дейности в земи с висока природна стойност и защитени зони от мрежата Натура 2000, посредством които се намалява риска от замърсяването с нитрати. </w:t>
      </w:r>
    </w:p>
    <w:p w14:paraId="11E12C1A"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Една от дейностите по агроекологичната мярка е планирането на правилното усвояване на хранителни вещества, която също има положителен принос към подобряване управлението на водните ресурси.</w:t>
      </w:r>
    </w:p>
    <w:p w14:paraId="06659167" w14:textId="77777777" w:rsidR="00E8617E" w:rsidRPr="00BC513A" w:rsidRDefault="00E8617E" w:rsidP="00E8617E">
      <w:pPr>
        <w:pStyle w:val="DefaultText"/>
        <w:keepNext/>
        <w:numPr>
          <w:ilvl w:val="0"/>
          <w:numId w:val="23"/>
        </w:numPr>
        <w:spacing w:before="240" w:after="120"/>
        <w:ind w:left="709" w:hanging="284"/>
        <w:rPr>
          <w:rFonts w:cs="Arial"/>
          <w:color w:val="0070C0"/>
          <w:sz w:val="22"/>
          <w:szCs w:val="22"/>
          <w:lang w:val="bg-BG"/>
        </w:rPr>
      </w:pPr>
      <w:r w:rsidRPr="00BC513A">
        <w:rPr>
          <w:rFonts w:cs="Arial"/>
          <w:color w:val="0070C0"/>
          <w:sz w:val="22"/>
          <w:szCs w:val="22"/>
          <w:lang w:val="bg-BG"/>
        </w:rPr>
        <w:t>До каква степен ПРСР е допринесла за въвеждане на иновативни подходи? (Health Check objective отнасяща се за всички оси).</w:t>
      </w:r>
    </w:p>
    <w:p w14:paraId="0187D97D" w14:textId="53AA4D65"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Приносът на ПРСР 2007-2013 за въвеждане на иновативни подходи е незначителен предвид на слабото изпълнение на индикаторите за въведени нови технологии и иновативни подходи по повечето от мерките</w:t>
      </w:r>
      <w:r w:rsidR="001611BA">
        <w:rPr>
          <w:sz w:val="22"/>
          <w:szCs w:val="22"/>
          <w:lang w:val="bg-BG"/>
        </w:rPr>
        <w:t>,</w:t>
      </w:r>
      <w:r w:rsidRPr="00BC513A">
        <w:rPr>
          <w:sz w:val="22"/>
          <w:szCs w:val="22"/>
          <w:lang w:val="bg-BG"/>
        </w:rPr>
        <w:t xml:space="preserve"> които подкрепят въвеждането на иновативни технологии – това са мерки 121, 122, 123 и 421. Единствено мярка 123 постига и малко надминава заложената целева стойност. Индикаторът за Брой стопанства/предприятия въвели нови продукти и/или нови технологии, обхващащ подкрепата по ос 1 е изпълнен на 36% </w:t>
      </w:r>
      <w:r w:rsidR="001611BA">
        <w:rPr>
          <w:sz w:val="22"/>
          <w:szCs w:val="22"/>
          <w:lang w:val="bg-BG"/>
        </w:rPr>
        <w:t>–</w:t>
      </w:r>
      <w:r w:rsidRPr="00BC513A">
        <w:rPr>
          <w:sz w:val="22"/>
          <w:szCs w:val="22"/>
          <w:lang w:val="bg-BG"/>
        </w:rPr>
        <w:t xml:space="preserve"> 1</w:t>
      </w:r>
      <w:r w:rsidR="001611BA">
        <w:rPr>
          <w:sz w:val="22"/>
          <w:szCs w:val="22"/>
          <w:lang w:val="bg-BG"/>
        </w:rPr>
        <w:t> </w:t>
      </w:r>
      <w:r w:rsidRPr="00BC513A">
        <w:rPr>
          <w:sz w:val="22"/>
          <w:szCs w:val="22"/>
          <w:lang w:val="bg-BG"/>
        </w:rPr>
        <w:t>497 стопанства/предприятия са въвели иновативни технологии в резултат на подкрепа по програмата. Марка 124 Сътрудничество за разработване на нови продукти, процеси и технологии в земеделието и хранителния сектор не стартира и не е изпълнена.</w:t>
      </w:r>
    </w:p>
    <w:p w14:paraId="53AF454F" w14:textId="77777777"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Като цяло въвеждането на нови технологии не е било от приоритет за бенефициентите. Допълнителна пречка е ниското ниво на сътрудничество между научно-развойните звена и бизнеса в страната. </w:t>
      </w:r>
    </w:p>
    <w:p w14:paraId="0602CAAF" w14:textId="77777777" w:rsidR="00E8617E" w:rsidRPr="00BC513A" w:rsidRDefault="00E8617E" w:rsidP="00E8617E">
      <w:pPr>
        <w:pStyle w:val="DefaultText"/>
        <w:keepNext/>
        <w:numPr>
          <w:ilvl w:val="0"/>
          <w:numId w:val="23"/>
        </w:numPr>
        <w:spacing w:before="240" w:after="120"/>
        <w:ind w:left="709" w:hanging="284"/>
        <w:rPr>
          <w:rFonts w:cs="Arial"/>
          <w:color w:val="0070C0"/>
          <w:sz w:val="22"/>
          <w:szCs w:val="22"/>
          <w:lang w:val="bg-BG"/>
        </w:rPr>
      </w:pPr>
      <w:r w:rsidRPr="00BC513A">
        <w:rPr>
          <w:rFonts w:cs="Arial"/>
          <w:color w:val="0070C0"/>
          <w:sz w:val="22"/>
          <w:szCs w:val="22"/>
          <w:lang w:val="bg-BG"/>
        </w:rPr>
        <w:t>До каква степен НСМ е допринесла за достигане на целите на ПРСР?</w:t>
      </w:r>
    </w:p>
    <w:p w14:paraId="3426587E" w14:textId="4D6AE90B"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НСМ има частичен принос към постигане на целите на ПРСР 2007-2013</w:t>
      </w:r>
      <w:r w:rsidR="001611BA">
        <w:rPr>
          <w:sz w:val="22"/>
          <w:szCs w:val="22"/>
          <w:lang w:val="bg-BG"/>
        </w:rPr>
        <w:t>,</w:t>
      </w:r>
      <w:r w:rsidRPr="00BC513A">
        <w:rPr>
          <w:sz w:val="22"/>
          <w:szCs w:val="22"/>
          <w:lang w:val="bg-BG"/>
        </w:rPr>
        <w:t xml:space="preserve"> тъй като на практика мрежата функционира ефективно само в периода 2013-2015 г. </w:t>
      </w:r>
    </w:p>
    <w:p w14:paraId="3E1DA71A" w14:textId="197B176E" w:rsidR="00E8617E" w:rsidRPr="00BC513A" w:rsidRDefault="00E8617E" w:rsidP="00E8617E">
      <w:pPr>
        <w:pStyle w:val="DefaultText"/>
        <w:spacing w:after="120" w:line="300" w:lineRule="atLeast"/>
        <w:ind w:firstLine="709"/>
        <w:rPr>
          <w:sz w:val="22"/>
          <w:szCs w:val="22"/>
          <w:lang w:val="bg-BG"/>
        </w:rPr>
      </w:pPr>
      <w:r w:rsidRPr="00BC513A">
        <w:rPr>
          <w:sz w:val="22"/>
          <w:szCs w:val="22"/>
          <w:lang w:val="bg-BG"/>
        </w:rPr>
        <w:t xml:space="preserve">Звеното за управление на НСМ се създава със закъснение поради проблеми с провеждане на обществената поръчка. След приключване на договора в края на 2015 </w:t>
      </w:r>
      <w:r w:rsidR="001611BA">
        <w:rPr>
          <w:sz w:val="22"/>
          <w:szCs w:val="22"/>
          <w:lang w:val="bg-BG"/>
        </w:rPr>
        <w:t xml:space="preserve">година </w:t>
      </w:r>
      <w:r w:rsidRPr="00BC513A">
        <w:rPr>
          <w:sz w:val="22"/>
          <w:szCs w:val="22"/>
          <w:lang w:val="bg-BG"/>
        </w:rPr>
        <w:t xml:space="preserve">с избрания външен изпълнител, който поема ролята на звено за управление на мрежата,  все още не е избрано ново звено за управление. Националната селска мрежа е спряла дейността си и не оказва ефективно подкрепа за развитие на селските райони и за изпълнение на ПРСР 2014-2020 г. </w:t>
      </w:r>
    </w:p>
    <w:p w14:paraId="12A0554F" w14:textId="223E8592" w:rsidR="00E8617E" w:rsidRPr="00BC513A" w:rsidRDefault="00E8617E" w:rsidP="00E8617E">
      <w:pPr>
        <w:pStyle w:val="DefaultText"/>
        <w:spacing w:after="120" w:line="300" w:lineRule="atLeast"/>
        <w:ind w:firstLine="709"/>
        <w:rPr>
          <w:lang w:val="bg-BG"/>
        </w:rPr>
      </w:pPr>
      <w:r w:rsidRPr="00BC513A">
        <w:rPr>
          <w:sz w:val="22"/>
          <w:szCs w:val="22"/>
          <w:lang w:val="bg-BG"/>
        </w:rPr>
        <w:t>Възлагането на дейностите на звено за управление на НСМ на външен изпълнител показва както голяма ефективност на изпълнение</w:t>
      </w:r>
      <w:r w:rsidR="001611BA">
        <w:rPr>
          <w:sz w:val="22"/>
          <w:szCs w:val="22"/>
          <w:lang w:val="bg-BG"/>
        </w:rPr>
        <w:t>,</w:t>
      </w:r>
      <w:r w:rsidRPr="00BC513A">
        <w:rPr>
          <w:sz w:val="22"/>
          <w:szCs w:val="22"/>
          <w:lang w:val="bg-BG"/>
        </w:rPr>
        <w:t xml:space="preserve"> така и периоди на липса на реално функциониране на НСМ поради трудности при избор на изпълнител. </w:t>
      </w:r>
    </w:p>
    <w:p w14:paraId="2BF56867" w14:textId="77777777" w:rsidR="00E8617E" w:rsidRPr="00BC513A" w:rsidRDefault="00E8617E" w:rsidP="00E8617E">
      <w:pPr>
        <w:pStyle w:val="DefaultText"/>
        <w:rPr>
          <w:lang w:val="bg-BG"/>
        </w:rPr>
        <w:sectPr w:rsidR="00E8617E" w:rsidRPr="00BC513A" w:rsidSect="00922731">
          <w:footerReference w:type="default" r:id="rId71"/>
          <w:pgSz w:w="11906" w:h="16838" w:code="9"/>
          <w:pgMar w:top="1417" w:right="1417" w:bottom="1417" w:left="1418" w:header="708" w:footer="708" w:gutter="0"/>
          <w:cols w:space="708"/>
          <w:docGrid w:linePitch="360"/>
        </w:sectPr>
      </w:pPr>
    </w:p>
    <w:p w14:paraId="00B313CF" w14:textId="77777777" w:rsidR="00E8617E" w:rsidRPr="00BC513A" w:rsidRDefault="00E8617E" w:rsidP="00E8617E">
      <w:pPr>
        <w:pStyle w:val="Heading1"/>
        <w:numPr>
          <w:ilvl w:val="0"/>
          <w:numId w:val="0"/>
        </w:numPr>
        <w:spacing w:after="480"/>
        <w:rPr>
          <w:lang w:val="bg-BG"/>
        </w:rPr>
      </w:pPr>
      <w:bookmarkStart w:id="202" w:name="_Toc499047435"/>
      <w:bookmarkStart w:id="203" w:name="_Toc504136162"/>
      <w:bookmarkEnd w:id="39"/>
      <w:r w:rsidRPr="00BC513A">
        <w:rPr>
          <w:lang w:val="bg-BG"/>
        </w:rPr>
        <w:t>Раздел VI.</w:t>
      </w:r>
      <w:r w:rsidRPr="00BC513A">
        <w:rPr>
          <w:lang w:val="bg-BG"/>
        </w:rPr>
        <w:tab/>
        <w:t>Заключения и препоръки</w:t>
      </w:r>
      <w:bookmarkEnd w:id="202"/>
      <w:bookmarkEnd w:id="203"/>
      <w:r w:rsidRPr="00BC513A">
        <w:rPr>
          <w:lang w:val="bg-BG"/>
        </w:rPr>
        <w:t xml:space="preserve"> </w:t>
      </w:r>
    </w:p>
    <w:p w14:paraId="710B9E40" w14:textId="77777777" w:rsidR="00E8617E" w:rsidRPr="00BC513A" w:rsidRDefault="00E8617E" w:rsidP="00E8617E">
      <w:pPr>
        <w:pStyle w:val="Heading2"/>
        <w:numPr>
          <w:ilvl w:val="1"/>
          <w:numId w:val="8"/>
        </w:numPr>
        <w:ind w:left="1276" w:hanging="283"/>
      </w:pPr>
      <w:bookmarkStart w:id="204" w:name="_Toc499047436"/>
      <w:bookmarkStart w:id="205" w:name="_Toc504136163"/>
      <w:r w:rsidRPr="00BC513A">
        <w:t>Заключения</w:t>
      </w:r>
      <w:bookmarkEnd w:id="204"/>
      <w:bookmarkEnd w:id="205"/>
      <w:r w:rsidRPr="00BC513A">
        <w:t xml:space="preserve"> </w:t>
      </w:r>
    </w:p>
    <w:p w14:paraId="65C2E3FA" w14:textId="77777777" w:rsidR="00E8617E" w:rsidRPr="00BC513A" w:rsidRDefault="00E8617E" w:rsidP="00E8617E">
      <w:pPr>
        <w:pStyle w:val="Heading3"/>
        <w:numPr>
          <w:ilvl w:val="0"/>
          <w:numId w:val="0"/>
        </w:numPr>
      </w:pPr>
      <w:bookmarkStart w:id="206" w:name="_Toc499047437"/>
      <w:bookmarkStart w:id="207" w:name="_Toc504136164"/>
      <w:r w:rsidRPr="00BC513A">
        <w:t xml:space="preserve">По отношение на свързаност между мерките и целите, баланс между различните мерки на </w:t>
      </w:r>
      <w:r w:rsidR="006C1D34">
        <w:t>п</w:t>
      </w:r>
      <w:r w:rsidRPr="00BC513A">
        <w:t>рограмата</w:t>
      </w:r>
      <w:bookmarkEnd w:id="206"/>
      <w:bookmarkEnd w:id="207"/>
    </w:p>
    <w:p w14:paraId="00B0D467" w14:textId="34074B5C"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sz w:val="22"/>
          <w:szCs w:val="22"/>
          <w:lang w:val="bg-BG"/>
        </w:rPr>
        <w:t xml:space="preserve">Съществува </w:t>
      </w:r>
      <w:r w:rsidRPr="00BC513A">
        <w:rPr>
          <w:b/>
          <w:sz w:val="22"/>
          <w:szCs w:val="22"/>
          <w:lang w:val="bg-BG"/>
        </w:rPr>
        <w:t>добра свързаност</w:t>
      </w:r>
      <w:r w:rsidRPr="00BC513A">
        <w:rPr>
          <w:sz w:val="22"/>
          <w:szCs w:val="22"/>
          <w:lang w:val="bg-BG"/>
        </w:rPr>
        <w:t xml:space="preserve"> между идентифицираните проблеми и целите</w:t>
      </w:r>
      <w:r w:rsidR="00D81295">
        <w:rPr>
          <w:sz w:val="22"/>
          <w:szCs w:val="22"/>
          <w:lang w:val="bg-BG"/>
        </w:rPr>
        <w:t>,</w:t>
      </w:r>
      <w:r w:rsidRPr="00BC513A">
        <w:rPr>
          <w:sz w:val="22"/>
          <w:szCs w:val="22"/>
          <w:lang w:val="bg-BG"/>
        </w:rPr>
        <w:t xml:space="preserve"> както и между целите и мерките, с които е предвидено постигане на целите. Логиката на интервенция на ПРСР 2007-2013 по отношение на целите и приоритетите се запазва валидна през цялото време на изпълнение на </w:t>
      </w:r>
      <w:r w:rsidR="006C1D34">
        <w:rPr>
          <w:sz w:val="22"/>
          <w:szCs w:val="22"/>
          <w:lang w:val="bg-BG"/>
        </w:rPr>
        <w:t>п</w:t>
      </w:r>
      <w:r w:rsidRPr="00BC513A">
        <w:rPr>
          <w:sz w:val="22"/>
          <w:szCs w:val="22"/>
          <w:lang w:val="bg-BG"/>
        </w:rPr>
        <w:t xml:space="preserve">рограмата и значителни промени в това отношение не се налагат и не са правени. </w:t>
      </w:r>
      <w:r w:rsidR="00D81295">
        <w:rPr>
          <w:sz w:val="22"/>
          <w:szCs w:val="22"/>
          <w:lang w:val="bg-BG"/>
        </w:rPr>
        <w:t>П</w:t>
      </w:r>
      <w:r w:rsidRPr="00BC513A">
        <w:rPr>
          <w:sz w:val="22"/>
          <w:szCs w:val="22"/>
          <w:lang w:val="bg-BG"/>
        </w:rPr>
        <w:t>рограмата е изменяна сравнително често (общо 15 изменения)</w:t>
      </w:r>
      <w:r w:rsidR="00D81295">
        <w:rPr>
          <w:sz w:val="22"/>
          <w:szCs w:val="22"/>
          <w:lang w:val="bg-BG"/>
        </w:rPr>
        <w:t>,</w:t>
      </w:r>
      <w:r w:rsidRPr="00BC513A">
        <w:rPr>
          <w:sz w:val="22"/>
          <w:szCs w:val="22"/>
          <w:lang w:val="bg-BG"/>
        </w:rPr>
        <w:t xml:space="preserve"> като тези промени са свързани предимно с начина на прилагане.</w:t>
      </w:r>
    </w:p>
    <w:p w14:paraId="1AD11A15" w14:textId="77777777"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sz w:val="22"/>
          <w:szCs w:val="22"/>
          <w:lang w:val="bg-BG"/>
        </w:rPr>
        <w:t xml:space="preserve">При разработване на </w:t>
      </w:r>
      <w:r w:rsidR="006C1D34">
        <w:rPr>
          <w:sz w:val="22"/>
          <w:szCs w:val="22"/>
          <w:lang w:val="bg-BG"/>
        </w:rPr>
        <w:t>п</w:t>
      </w:r>
      <w:r w:rsidRPr="00BC513A">
        <w:rPr>
          <w:sz w:val="22"/>
          <w:szCs w:val="22"/>
          <w:lang w:val="bg-BG"/>
        </w:rPr>
        <w:t xml:space="preserve">рограмата е търсено </w:t>
      </w:r>
      <w:r w:rsidRPr="00BC513A">
        <w:rPr>
          <w:b/>
          <w:sz w:val="22"/>
          <w:szCs w:val="22"/>
          <w:lang w:val="bg-BG"/>
        </w:rPr>
        <w:t xml:space="preserve">допълване между отделните мерки </w:t>
      </w:r>
      <w:r w:rsidRPr="00BC513A">
        <w:rPr>
          <w:sz w:val="22"/>
          <w:szCs w:val="22"/>
          <w:lang w:val="bg-BG"/>
        </w:rPr>
        <w:t xml:space="preserve">за по-добро постигане на целите. Поради тази причина са програмирани и мерки, които имат допълващ ефект и като цяло са важни за постигане на целите на </w:t>
      </w:r>
      <w:r w:rsidR="006C1D34">
        <w:rPr>
          <w:sz w:val="22"/>
          <w:szCs w:val="22"/>
          <w:lang w:val="bg-BG"/>
        </w:rPr>
        <w:t>п</w:t>
      </w:r>
      <w:r w:rsidRPr="00BC513A">
        <w:rPr>
          <w:sz w:val="22"/>
          <w:szCs w:val="22"/>
          <w:lang w:val="bg-BG"/>
        </w:rPr>
        <w:t xml:space="preserve">рограмата, но не са от основен приоритет за бенефициентите (като мярка 122 и 124), както и мерки, за които не е съществувала готовност за прилагане към момента на стартиране на </w:t>
      </w:r>
      <w:r w:rsidR="006C1D34">
        <w:rPr>
          <w:sz w:val="22"/>
          <w:szCs w:val="22"/>
          <w:lang w:val="bg-BG"/>
        </w:rPr>
        <w:t>п</w:t>
      </w:r>
      <w:r w:rsidRPr="00BC513A">
        <w:rPr>
          <w:sz w:val="22"/>
          <w:szCs w:val="22"/>
          <w:lang w:val="bg-BG"/>
        </w:rPr>
        <w:t xml:space="preserve">рограмата (125, 126, 224). Ниската приоритетност и липсата на подходящи условия за прилагане води до слаб интерес и до отпадането или слабо усвояване на средствата по тези мерки и постигане на заложените цели. </w:t>
      </w:r>
    </w:p>
    <w:p w14:paraId="62E266FA" w14:textId="42708934"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sz w:val="22"/>
          <w:szCs w:val="22"/>
          <w:lang w:val="bg-BG"/>
        </w:rPr>
        <w:t xml:space="preserve">Първоначалният вариант на </w:t>
      </w:r>
      <w:r w:rsidR="006C1D34">
        <w:rPr>
          <w:sz w:val="22"/>
          <w:szCs w:val="22"/>
          <w:lang w:val="bg-BG"/>
        </w:rPr>
        <w:t>п</w:t>
      </w:r>
      <w:r w:rsidRPr="00BC513A">
        <w:rPr>
          <w:sz w:val="22"/>
          <w:szCs w:val="22"/>
          <w:lang w:val="bg-BG"/>
        </w:rPr>
        <w:t xml:space="preserve">рограмата поставя </w:t>
      </w:r>
      <w:r w:rsidRPr="00BC513A">
        <w:rPr>
          <w:b/>
          <w:sz w:val="22"/>
          <w:szCs w:val="22"/>
          <w:lang w:val="bg-BG"/>
        </w:rPr>
        <w:t>фокус върху икономическото развитие</w:t>
      </w:r>
      <w:r w:rsidRPr="00BC513A">
        <w:rPr>
          <w:sz w:val="22"/>
          <w:szCs w:val="22"/>
          <w:lang w:val="bg-BG"/>
        </w:rPr>
        <w:t xml:space="preserve"> на земеделието и свързаните дейности. Заделеният бюджет за ос 1 е 41% от финансовия план на </w:t>
      </w:r>
      <w:r w:rsidR="006C1D34">
        <w:rPr>
          <w:sz w:val="22"/>
          <w:szCs w:val="22"/>
          <w:lang w:val="bg-BG"/>
        </w:rPr>
        <w:t>п</w:t>
      </w:r>
      <w:r w:rsidRPr="00BC513A">
        <w:rPr>
          <w:sz w:val="22"/>
          <w:szCs w:val="22"/>
          <w:lang w:val="bg-BG"/>
        </w:rPr>
        <w:t>рограмата.. Втори</w:t>
      </w:r>
      <w:r w:rsidR="00D4171B">
        <w:rPr>
          <w:sz w:val="22"/>
          <w:szCs w:val="22"/>
          <w:lang w:val="bg-BG"/>
        </w:rPr>
        <w:t>ят</w:t>
      </w:r>
      <w:r w:rsidRPr="00BC513A">
        <w:rPr>
          <w:sz w:val="22"/>
          <w:szCs w:val="22"/>
          <w:lang w:val="bg-BG"/>
        </w:rPr>
        <w:t xml:space="preserve"> приоритет е подобряване на качеството на живот и услугите в селските райони </w:t>
      </w:r>
      <w:r w:rsidR="00D4171B">
        <w:rPr>
          <w:sz w:val="22"/>
          <w:szCs w:val="22"/>
          <w:lang w:val="bg-BG"/>
        </w:rPr>
        <w:t>–</w:t>
      </w:r>
      <w:r w:rsidRPr="00BC513A">
        <w:rPr>
          <w:sz w:val="22"/>
          <w:szCs w:val="22"/>
          <w:lang w:val="bg-BG"/>
        </w:rPr>
        <w:t xml:space="preserve"> ос 3, с бюджет от 29% от бюджетите на оси 1, 2</w:t>
      </w:r>
      <w:r w:rsidR="00154727">
        <w:rPr>
          <w:sz w:val="22"/>
          <w:szCs w:val="22"/>
          <w:lang w:val="bg-BG"/>
        </w:rPr>
        <w:t>,</w:t>
      </w:r>
      <w:r w:rsidRPr="00BC513A">
        <w:rPr>
          <w:sz w:val="22"/>
          <w:szCs w:val="22"/>
          <w:lang w:val="bg-BG"/>
        </w:rPr>
        <w:t xml:space="preserve"> 3 и 4. Бюджетите на ос 2 и ос 4 са на нивото на изискваните от Регламент </w:t>
      </w:r>
      <w:r w:rsidR="00D4171B">
        <w:rPr>
          <w:sz w:val="22"/>
          <w:szCs w:val="22"/>
          <w:lang w:val="bg-BG"/>
        </w:rPr>
        <w:t xml:space="preserve">(ЕО) № </w:t>
      </w:r>
      <w:r w:rsidRPr="00BC513A">
        <w:rPr>
          <w:sz w:val="22"/>
          <w:szCs w:val="22"/>
          <w:lang w:val="bg-BG"/>
        </w:rPr>
        <w:t>1698/2005 прагове – съответно 26% (при минимален праг 25%) и 2,6% (при минимален праг 2,5%). По този начин се гарантира сравнително добър баланс между приоритетите и мерките. Подходът ЛИДЕР се прилага за първи път в България през програмния период 2007-2013 и поради това е разбираема предпазливостта при планиране на средствата за ос 4. Реалното изпълнение обаче, изкривява така направеното първоначално разпределение в посока на инвестиционните мерки за общините по ос 3 и води до значително редуциране в процентно отношение на подкрепата за икономическото развитие от 41% на 3</w:t>
      </w:r>
      <w:r w:rsidR="00B62352">
        <w:rPr>
          <w:sz w:val="22"/>
          <w:szCs w:val="22"/>
          <w:lang w:val="en-US"/>
        </w:rPr>
        <w:t>2</w:t>
      </w:r>
      <w:r w:rsidRPr="00BC513A">
        <w:rPr>
          <w:sz w:val="22"/>
          <w:szCs w:val="22"/>
          <w:lang w:val="bg-BG"/>
        </w:rPr>
        <w:t xml:space="preserve">% и за местен капацитет и инициативи от 2,6% на 1,8%. Редуцирането на подкрепата за икономически растеж и местен капацитет и инициативи намалява очакваното въздействие на </w:t>
      </w:r>
      <w:r w:rsidR="006C1D34">
        <w:rPr>
          <w:sz w:val="22"/>
          <w:szCs w:val="22"/>
          <w:lang w:val="bg-BG"/>
        </w:rPr>
        <w:t>п</w:t>
      </w:r>
      <w:r w:rsidRPr="00BC513A">
        <w:rPr>
          <w:sz w:val="22"/>
          <w:szCs w:val="22"/>
          <w:lang w:val="bg-BG"/>
        </w:rPr>
        <w:t>рограмата в тази посока.</w:t>
      </w:r>
    </w:p>
    <w:p w14:paraId="229577E0" w14:textId="523E902B"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sz w:val="22"/>
          <w:szCs w:val="22"/>
          <w:lang w:val="bg-BG"/>
        </w:rPr>
        <w:t xml:space="preserve">При програмиране на мерките е търсена </w:t>
      </w:r>
      <w:r w:rsidRPr="00BC513A">
        <w:rPr>
          <w:b/>
          <w:sz w:val="22"/>
          <w:szCs w:val="22"/>
          <w:lang w:val="bg-BG"/>
        </w:rPr>
        <w:t>синергия</w:t>
      </w:r>
      <w:r w:rsidRPr="00BC513A">
        <w:rPr>
          <w:sz w:val="22"/>
          <w:szCs w:val="22"/>
          <w:lang w:val="bg-BG"/>
        </w:rPr>
        <w:t xml:space="preserve"> между приоритетите и отделните мерки. Връзката между приоритетите и мерките е ка</w:t>
      </w:r>
      <w:r w:rsidR="00D4171B">
        <w:rPr>
          <w:sz w:val="22"/>
          <w:szCs w:val="22"/>
          <w:lang w:val="bg-BG"/>
        </w:rPr>
        <w:t>к</w:t>
      </w:r>
      <w:r w:rsidRPr="00BC513A">
        <w:rPr>
          <w:sz w:val="22"/>
          <w:szCs w:val="22"/>
          <w:lang w:val="bg-BG"/>
        </w:rPr>
        <w:t>то на ниво въздействие</w:t>
      </w:r>
      <w:r w:rsidR="00D4171B">
        <w:rPr>
          <w:sz w:val="22"/>
          <w:szCs w:val="22"/>
          <w:lang w:val="bg-BG"/>
        </w:rPr>
        <w:t>,</w:t>
      </w:r>
      <w:r w:rsidRPr="00BC513A">
        <w:rPr>
          <w:sz w:val="22"/>
          <w:szCs w:val="22"/>
          <w:lang w:val="bg-BG"/>
        </w:rPr>
        <w:t xml:space="preserve"> така и на оперативно ниво. На ниво въздействие голяма част от мерките по ос 1 и ос 3 са програмирани така</w:t>
      </w:r>
      <w:r w:rsidR="00D4171B">
        <w:rPr>
          <w:sz w:val="22"/>
          <w:szCs w:val="22"/>
          <w:lang w:val="bg-BG"/>
        </w:rPr>
        <w:t>,</w:t>
      </w:r>
      <w:r w:rsidRPr="00BC513A">
        <w:rPr>
          <w:sz w:val="22"/>
          <w:szCs w:val="22"/>
          <w:lang w:val="bg-BG"/>
        </w:rPr>
        <w:t xml:space="preserve"> че да генерират допълнителни въздействия по отношение на опазване на околната среда (ос 2) в това число мерки за предотвратяване на замърсяването на водите от торове и отпадъчни води от земеделските стопанства и населените места, използване на възобновяеми източници на енергия, подобряване на енергийната е ресурсна ефективност. Мерките по ос 1 и ос 3 се допълват по отношение на създаване на предпоставки за оживяване на селската икономика и създаване на условия за икономически растеж и заетост. Ос 4 ЛИДЕР е хоризонтална по своя характер и е планирана да има допълнителен принос към постигане на целите на оси 1, 2 и 3. Мерките за плащания в необлагодетелствани райони (211 и 212) имат директен принос към намаляване на проблемите, свързани с изоставяне на земи и обезлюдяване на селските райони. По отношение на изпълнението на мерките също са търсени синергични ефекти. Мерките за предоставяне на обучение и консултации имат хоризонтален характер.</w:t>
      </w:r>
    </w:p>
    <w:p w14:paraId="5B248F82" w14:textId="77777777" w:rsidR="00E8617E" w:rsidRPr="00BC513A" w:rsidRDefault="00E8617E" w:rsidP="00E8617E">
      <w:pPr>
        <w:pStyle w:val="Heading3"/>
        <w:numPr>
          <w:ilvl w:val="0"/>
          <w:numId w:val="0"/>
        </w:numPr>
      </w:pPr>
      <w:bookmarkStart w:id="208" w:name="_Toc499047438"/>
      <w:bookmarkStart w:id="209" w:name="_Toc504136165"/>
      <w:r w:rsidRPr="00BC513A">
        <w:t xml:space="preserve">По отношение на степен на постигане на специфичните цели на </w:t>
      </w:r>
      <w:r w:rsidR="006C1D34">
        <w:t>п</w:t>
      </w:r>
      <w:r w:rsidRPr="00BC513A">
        <w:t>рограмата, националните цели и целите на Общността</w:t>
      </w:r>
      <w:bookmarkEnd w:id="208"/>
      <w:bookmarkEnd w:id="209"/>
    </w:p>
    <w:p w14:paraId="24A264D7" w14:textId="1590FE3C"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sz w:val="22"/>
          <w:szCs w:val="22"/>
          <w:lang w:val="bg-BG"/>
        </w:rPr>
        <w:t xml:space="preserve">ПРСР 2017-2013 има съществен принос за </w:t>
      </w:r>
      <w:r w:rsidRPr="000024B6">
        <w:rPr>
          <w:b/>
          <w:sz w:val="22"/>
          <w:szCs w:val="22"/>
          <w:lang w:val="bg-BG"/>
        </w:rPr>
        <w:t>придадена нетна добавена стойност</w:t>
      </w:r>
      <w:r w:rsidRPr="00BC513A">
        <w:rPr>
          <w:sz w:val="22"/>
          <w:szCs w:val="22"/>
          <w:lang w:val="bg-BG"/>
        </w:rPr>
        <w:t xml:space="preserve"> в подпомогнатите стопанства и създадена добавена стойност на </w:t>
      </w:r>
      <w:r w:rsidR="00174633">
        <w:rPr>
          <w:sz w:val="22"/>
          <w:szCs w:val="22"/>
          <w:lang w:val="bg-BG"/>
        </w:rPr>
        <w:t>г</w:t>
      </w:r>
      <w:r w:rsidRPr="00BC513A">
        <w:rPr>
          <w:sz w:val="22"/>
          <w:szCs w:val="22"/>
          <w:lang w:val="bg-BG"/>
        </w:rPr>
        <w:t>одишна работна единица. Наблюдава се засилване на концентрацията на подпомогнатите стопанства в общия обем на създаваната брутна продукция от земеделие от 69% преди началото на програмния период до 82% през 2015 г. Като цяло подкрепените предприятия в хранителната индустрия успяват до голяма степен да се възползват от помощта, като добавената стойност в този отрасъл нараства забележимо, което свидетелства за повишаване на конкурентоспособността.</w:t>
      </w:r>
    </w:p>
    <w:p w14:paraId="05035431" w14:textId="77777777"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sz w:val="22"/>
          <w:szCs w:val="22"/>
          <w:lang w:val="bg-BG"/>
        </w:rPr>
        <w:t xml:space="preserve">ПРСР 2007-2013 оказва положително въздействие върху </w:t>
      </w:r>
      <w:r w:rsidRPr="00BC513A">
        <w:rPr>
          <w:b/>
          <w:sz w:val="22"/>
          <w:szCs w:val="22"/>
          <w:lang w:val="bg-BG"/>
        </w:rPr>
        <w:t>околната среда</w:t>
      </w:r>
      <w:r w:rsidRPr="00BC513A">
        <w:rPr>
          <w:sz w:val="22"/>
          <w:szCs w:val="22"/>
          <w:lang w:val="bg-BG"/>
        </w:rPr>
        <w:t xml:space="preserve">, но това въздействие е трудно да се измери и оцени. В голяма степен това се дължи и на липсата на реални наблюдения на въздействията, както и някои пропуски на системата за мониторинг. Повечето от индикаторите за измерване на въздействията не могат непосредствено да се измерят чрез системата за мониторинг и за оценка на въздействията са необходими допълнителни проучвания като например за „индекса за селскостопански птици“. При индикаторите, свързани с възобновяемата енергия, не е въведено уеднаквено събиране и докладване на информацията, което препятства по-доброто отчитане на приноса на проектите за производство на енергия от възобновяеми източници. </w:t>
      </w:r>
    </w:p>
    <w:p w14:paraId="6BC1853C" w14:textId="7676067B"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sz w:val="22"/>
          <w:szCs w:val="22"/>
          <w:lang w:val="bg-BG"/>
        </w:rPr>
        <w:t xml:space="preserve">Основното въздействие от </w:t>
      </w:r>
      <w:r w:rsidR="006C1D34">
        <w:rPr>
          <w:sz w:val="22"/>
          <w:szCs w:val="22"/>
          <w:lang w:val="bg-BG"/>
        </w:rPr>
        <w:t>п</w:t>
      </w:r>
      <w:r w:rsidRPr="00BC513A">
        <w:rPr>
          <w:sz w:val="22"/>
          <w:szCs w:val="22"/>
          <w:lang w:val="bg-BG"/>
        </w:rPr>
        <w:t xml:space="preserve">рограмата по </w:t>
      </w:r>
      <w:r w:rsidRPr="000024B6">
        <w:rPr>
          <w:sz w:val="22"/>
          <w:szCs w:val="22"/>
          <w:lang w:val="bg-BG"/>
        </w:rPr>
        <w:t>ос 3</w:t>
      </w:r>
      <w:r w:rsidRPr="00BC513A">
        <w:rPr>
          <w:sz w:val="22"/>
          <w:szCs w:val="22"/>
          <w:lang w:val="bg-BG"/>
        </w:rPr>
        <w:t xml:space="preserve"> е по отношение на </w:t>
      </w:r>
      <w:r w:rsidRPr="000024B6">
        <w:rPr>
          <w:b/>
          <w:sz w:val="22"/>
          <w:szCs w:val="22"/>
          <w:lang w:val="bg-BG"/>
        </w:rPr>
        <w:t>подобряване на инфраструктурата</w:t>
      </w:r>
      <w:r w:rsidRPr="00BC513A">
        <w:rPr>
          <w:sz w:val="22"/>
          <w:szCs w:val="22"/>
          <w:lang w:val="bg-BG"/>
        </w:rPr>
        <w:t xml:space="preserve"> и услугите в  селските общини и от тук и качеството на живот и на територията на селските райони. Сравнително по-малко е въздействието по отношение съживяване на местната икономика, повишаване на икономическата активност на населението, намаляване на безработицата и повишаване на жизнения стандарт. Това е така поради значително преизпълнение както по отношение на финансов ресурс, така и </w:t>
      </w:r>
      <w:r w:rsidR="000024B6">
        <w:rPr>
          <w:sz w:val="22"/>
          <w:szCs w:val="22"/>
          <w:lang w:val="bg-BG"/>
        </w:rPr>
        <w:t xml:space="preserve">като </w:t>
      </w:r>
      <w:r w:rsidRPr="00BC513A">
        <w:rPr>
          <w:sz w:val="22"/>
          <w:szCs w:val="22"/>
          <w:lang w:val="bg-BG"/>
        </w:rPr>
        <w:t xml:space="preserve">резултати на инфраструктурните мерки за общините и постигнатите по-слаби резултати по мерките за съживяване на селската икономика. По мерки 311 и 312 не са предвидени секторни приоритети за разнообразяване на икономическите дейности. Това се оказва не особено удачно, тъй като проектните предложения се фокусират основно в две сфери – финансиране на къщи за гости и фотоволтаични централи, което от своя страна не води до постигане на заложената цел за диверсификация на икономиката в селските региони. Създаването на нови и обновяването на съществуващи ИКТ центрове в населените места не намира пряко отражение или конкретен принос към създаването на достъп до широколентов интернет. Приносът на </w:t>
      </w:r>
      <w:r w:rsidR="006C1D34">
        <w:rPr>
          <w:sz w:val="22"/>
          <w:szCs w:val="22"/>
          <w:lang w:val="bg-BG"/>
        </w:rPr>
        <w:t>п</w:t>
      </w:r>
      <w:r w:rsidRPr="00BC513A">
        <w:rPr>
          <w:sz w:val="22"/>
          <w:szCs w:val="22"/>
          <w:lang w:val="bg-BG"/>
        </w:rPr>
        <w:t>рограмата в това отношение е силно ограничен.</w:t>
      </w:r>
    </w:p>
    <w:p w14:paraId="7A2139CB" w14:textId="28E38FDA"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b/>
          <w:sz w:val="22"/>
          <w:szCs w:val="22"/>
          <w:lang w:val="bg-BG"/>
        </w:rPr>
        <w:t xml:space="preserve">Ос 4 ЛИДЕР </w:t>
      </w:r>
      <w:r w:rsidRPr="00BC513A">
        <w:rPr>
          <w:sz w:val="22"/>
          <w:szCs w:val="22"/>
          <w:lang w:val="bg-BG"/>
        </w:rPr>
        <w:t>поставя началото на изграждане на местен капацитет за прилагане на подход „отдолу-нагоре“ чрез създаване на местни инициативни групи. През програмния период 2007-2013 г. е подкрепено изпълнен</w:t>
      </w:r>
      <w:r w:rsidR="00D654CD">
        <w:rPr>
          <w:sz w:val="22"/>
          <w:szCs w:val="22"/>
          <w:lang w:val="bg-BG"/>
        </w:rPr>
        <w:t>ие</w:t>
      </w:r>
      <w:r w:rsidRPr="00BC513A">
        <w:rPr>
          <w:sz w:val="22"/>
          <w:szCs w:val="22"/>
          <w:lang w:val="bg-BG"/>
        </w:rPr>
        <w:t>то на местни стратегии за развитие на 35 МИГ, действащи на територията на 57 общини (2</w:t>
      </w:r>
      <w:r w:rsidR="009D6552">
        <w:rPr>
          <w:sz w:val="22"/>
          <w:szCs w:val="22"/>
          <w:lang w:val="bg-BG"/>
        </w:rPr>
        <w:t>8</w:t>
      </w:r>
      <w:r w:rsidRPr="00BC513A">
        <w:rPr>
          <w:sz w:val="22"/>
          <w:szCs w:val="22"/>
          <w:lang w:val="bg-BG"/>
        </w:rPr>
        <w:t>% от територията на селските райони). Липсата на достатъчно средства, допълнително редуцирани от съкращаване на бюджета по ЛИДЕР, както и съпроводеното с трудности изпълнение в началото</w:t>
      </w:r>
      <w:r w:rsidR="00D654CD">
        <w:rPr>
          <w:sz w:val="22"/>
          <w:szCs w:val="22"/>
          <w:lang w:val="bg-BG"/>
        </w:rPr>
        <w:t>,</w:t>
      </w:r>
      <w:r w:rsidRPr="00BC513A">
        <w:rPr>
          <w:sz w:val="22"/>
          <w:szCs w:val="22"/>
          <w:lang w:val="bg-BG"/>
        </w:rPr>
        <w:t xml:space="preserve"> са основната причина за непостигане на още по-голямо въздействие. Дублирането на функции между Управляващия орган и Разплащателната агенция по отношение на оценката на проектни предложения</w:t>
      </w:r>
      <w:r w:rsidR="00D654CD">
        <w:rPr>
          <w:sz w:val="22"/>
          <w:szCs w:val="22"/>
          <w:lang w:val="bg-BG"/>
        </w:rPr>
        <w:t>,</w:t>
      </w:r>
      <w:r w:rsidRPr="00BC513A">
        <w:rPr>
          <w:sz w:val="22"/>
          <w:szCs w:val="22"/>
          <w:lang w:val="bg-BG"/>
        </w:rPr>
        <w:t xml:space="preserve"> както и твърде консервативния подход на оценка на проектите, който не е съобразен с размера на инвестициите, водят до забава в изпълнението и съответно редуциране на първоначалния ентусиазъм и времето, което е било налично за изпълнение на стратегиите за местно развитие. Въпреки трудностите интересът към подхода от страна на местните общности остава голям.</w:t>
      </w:r>
    </w:p>
    <w:p w14:paraId="67B30945" w14:textId="5C0B6EBC"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sz w:val="22"/>
          <w:szCs w:val="22"/>
          <w:lang w:val="bg-BG"/>
        </w:rPr>
        <w:t xml:space="preserve">Програмата не постига очакваното въздействие по отношение на </w:t>
      </w:r>
      <w:r w:rsidRPr="00BC513A">
        <w:rPr>
          <w:b/>
          <w:sz w:val="22"/>
          <w:szCs w:val="22"/>
          <w:lang w:val="bg-BG"/>
        </w:rPr>
        <w:t>създаване на заетост</w:t>
      </w:r>
      <w:r w:rsidRPr="00BC513A">
        <w:rPr>
          <w:sz w:val="22"/>
          <w:szCs w:val="22"/>
          <w:lang w:val="bg-BG"/>
        </w:rPr>
        <w:t>. Причина за това е, че голяма част от подкрепата – например ос 2, инфраструктурните мерки по ос 3, инвестициите във ВЕИ нямат реален принос към създаване на заетост, а мерките които имат пряк принос</w:t>
      </w:r>
      <w:r w:rsidR="00D654CD">
        <w:rPr>
          <w:sz w:val="22"/>
          <w:szCs w:val="22"/>
          <w:lang w:val="bg-BG"/>
        </w:rPr>
        <w:t>,</w:t>
      </w:r>
      <w:r w:rsidRPr="00BC513A">
        <w:rPr>
          <w:sz w:val="22"/>
          <w:szCs w:val="22"/>
          <w:lang w:val="bg-BG"/>
        </w:rPr>
        <w:t xml:space="preserve"> не са постигнали целите си в това отношение. От друга страна, повишаване на ефективността на стопанствата и предприятията и на тяхната конкурентоспособност, с подкрепа за модернизиране и обновяване влиза в конфликт с целта за повишаване на заетостта. За периода 2007-2013 г. са отпаднали около 240 хил. стопанства, докато съкращението на работната сила, изразена в </w:t>
      </w:r>
      <w:r w:rsidR="00143EB1">
        <w:rPr>
          <w:sz w:val="22"/>
          <w:szCs w:val="22"/>
          <w:lang w:val="bg-BG"/>
        </w:rPr>
        <w:t>г</w:t>
      </w:r>
      <w:r w:rsidRPr="00BC513A">
        <w:rPr>
          <w:sz w:val="22"/>
          <w:szCs w:val="22"/>
          <w:lang w:val="bg-BG"/>
        </w:rPr>
        <w:t xml:space="preserve">одишни работни единици е около </w:t>
      </w:r>
      <w:r w:rsidR="00612710">
        <w:rPr>
          <w:sz w:val="22"/>
          <w:szCs w:val="22"/>
          <w:lang w:val="bg-BG"/>
        </w:rPr>
        <w:t>170</w:t>
      </w:r>
      <w:r w:rsidR="00612710" w:rsidRPr="00BC513A">
        <w:rPr>
          <w:sz w:val="22"/>
          <w:szCs w:val="22"/>
          <w:lang w:val="bg-BG"/>
        </w:rPr>
        <w:t xml:space="preserve"> </w:t>
      </w:r>
      <w:r w:rsidRPr="00BC513A">
        <w:rPr>
          <w:sz w:val="22"/>
          <w:szCs w:val="22"/>
          <w:lang w:val="bg-BG"/>
        </w:rPr>
        <w:t>хил., което показва, че има повишение на производителността на труда, но се усилват социалните проблеми</w:t>
      </w:r>
      <w:r w:rsidR="00D654CD">
        <w:rPr>
          <w:sz w:val="22"/>
          <w:szCs w:val="22"/>
          <w:lang w:val="bg-BG"/>
        </w:rPr>
        <w:t>,</w:t>
      </w:r>
      <w:r w:rsidRPr="00BC513A">
        <w:rPr>
          <w:sz w:val="22"/>
          <w:szCs w:val="22"/>
          <w:lang w:val="bg-BG"/>
        </w:rPr>
        <w:t xml:space="preserve"> свързани с безработицата в селските райони.</w:t>
      </w:r>
    </w:p>
    <w:p w14:paraId="5A7784E4" w14:textId="06B21938"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sz w:val="22"/>
          <w:szCs w:val="22"/>
          <w:lang w:val="bg-BG"/>
        </w:rPr>
        <w:t>Приносът на ПРСР 2007-2013 за въвеждане на иновативни подходи е незначителен. Всички мерки, подкрепящи въвеждането на иновативни подходи и технологии без една</w:t>
      </w:r>
      <w:r w:rsidR="00D654CD">
        <w:rPr>
          <w:sz w:val="22"/>
          <w:szCs w:val="22"/>
          <w:lang w:val="bg-BG"/>
        </w:rPr>
        <w:t>,</w:t>
      </w:r>
      <w:r w:rsidRPr="00BC513A">
        <w:rPr>
          <w:sz w:val="22"/>
          <w:szCs w:val="22"/>
          <w:lang w:val="bg-BG"/>
        </w:rPr>
        <w:t xml:space="preserve"> не постигат целевите си стойности. Основната мярка, насочена към сътрудничество и разработване на нови продукти, процеси и технологии</w:t>
      </w:r>
      <w:r w:rsidR="00D654CD">
        <w:rPr>
          <w:sz w:val="22"/>
          <w:szCs w:val="22"/>
          <w:lang w:val="bg-BG"/>
        </w:rPr>
        <w:t>,</w:t>
      </w:r>
      <w:r w:rsidRPr="00BC513A">
        <w:rPr>
          <w:sz w:val="22"/>
          <w:szCs w:val="22"/>
          <w:lang w:val="bg-BG"/>
        </w:rPr>
        <w:t xml:space="preserve"> не стартира и не е изпълнена.  Като цяло въвеждането на нови технологии не е било водещ приоритет за бенефициентите, а стои на следващ план след модернизацията и технологичните подобрения. Допълнителна пречка е ниското ниво на сътрудничество между научно-развойните звена и бизнеса в страната. </w:t>
      </w:r>
    </w:p>
    <w:p w14:paraId="3631FD17" w14:textId="5D9BFD50"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b/>
          <w:sz w:val="22"/>
          <w:szCs w:val="22"/>
          <w:lang w:val="bg-BG"/>
        </w:rPr>
        <w:t>Мярка 511 „Техническа помощ“</w:t>
      </w:r>
      <w:r w:rsidRPr="00BC513A">
        <w:rPr>
          <w:sz w:val="22"/>
          <w:szCs w:val="22"/>
          <w:lang w:val="bg-BG"/>
        </w:rPr>
        <w:t xml:space="preserve"> частично е допринесла </w:t>
      </w:r>
      <w:r w:rsidR="00D654CD">
        <w:rPr>
          <w:sz w:val="22"/>
          <w:szCs w:val="22"/>
          <w:lang w:val="bg-BG"/>
        </w:rPr>
        <w:t xml:space="preserve">за </w:t>
      </w:r>
      <w:r w:rsidRPr="00BC513A">
        <w:rPr>
          <w:sz w:val="22"/>
          <w:szCs w:val="22"/>
          <w:lang w:val="bg-BG"/>
        </w:rPr>
        <w:t xml:space="preserve">постигане на целите на </w:t>
      </w:r>
      <w:r w:rsidR="006C1D34">
        <w:rPr>
          <w:sz w:val="22"/>
          <w:szCs w:val="22"/>
          <w:lang w:val="bg-BG"/>
        </w:rPr>
        <w:t>п</w:t>
      </w:r>
      <w:r w:rsidRPr="00BC513A">
        <w:rPr>
          <w:sz w:val="22"/>
          <w:szCs w:val="22"/>
          <w:lang w:val="bg-BG"/>
        </w:rPr>
        <w:t xml:space="preserve">рограмата. Много от заложените дейности, свързани </w:t>
      </w:r>
      <w:r w:rsidR="00D654CD">
        <w:rPr>
          <w:sz w:val="22"/>
          <w:szCs w:val="22"/>
          <w:lang w:val="bg-BG"/>
        </w:rPr>
        <w:t xml:space="preserve">с </w:t>
      </w:r>
      <w:r w:rsidRPr="00BC513A">
        <w:rPr>
          <w:sz w:val="22"/>
          <w:szCs w:val="22"/>
          <w:lang w:val="bg-BG"/>
        </w:rPr>
        <w:t>въвеждането на информационни технологии и анализи и проучвания</w:t>
      </w:r>
      <w:r w:rsidR="00D654CD">
        <w:rPr>
          <w:sz w:val="22"/>
          <w:szCs w:val="22"/>
          <w:lang w:val="bg-BG"/>
        </w:rPr>
        <w:t>,</w:t>
      </w:r>
      <w:r w:rsidRPr="00BC513A">
        <w:rPr>
          <w:sz w:val="22"/>
          <w:szCs w:val="22"/>
          <w:lang w:val="bg-BG"/>
        </w:rPr>
        <w:t xml:space="preserve"> не са реализирани. Ефектите върху укрепване на капацитета на УО и РА по отношение на повишаване на компетентността на служителите са минимални, тъй като провежданите обучения са били спорадични и не са се базирали на анализ на нуждите. УО</w:t>
      </w:r>
      <w:r w:rsidR="000024B6">
        <w:rPr>
          <w:sz w:val="22"/>
          <w:szCs w:val="22"/>
          <w:lang w:val="bg-BG"/>
        </w:rPr>
        <w:t>,</w:t>
      </w:r>
      <w:r w:rsidRPr="00BC513A">
        <w:rPr>
          <w:sz w:val="22"/>
          <w:szCs w:val="22"/>
          <w:lang w:val="bg-BG"/>
        </w:rPr>
        <w:t xml:space="preserve"> по време на изпълнението на </w:t>
      </w:r>
      <w:r w:rsidR="006C1D34">
        <w:rPr>
          <w:sz w:val="22"/>
          <w:szCs w:val="22"/>
          <w:lang w:val="bg-BG"/>
        </w:rPr>
        <w:t>п</w:t>
      </w:r>
      <w:r w:rsidRPr="00BC513A">
        <w:rPr>
          <w:sz w:val="22"/>
          <w:szCs w:val="22"/>
          <w:lang w:val="bg-BG"/>
        </w:rPr>
        <w:t>рограмата</w:t>
      </w:r>
      <w:r w:rsidR="000024B6">
        <w:rPr>
          <w:sz w:val="22"/>
          <w:szCs w:val="22"/>
          <w:lang w:val="bg-BG"/>
        </w:rPr>
        <w:t>,</w:t>
      </w:r>
      <w:r w:rsidRPr="00BC513A">
        <w:rPr>
          <w:sz w:val="22"/>
          <w:szCs w:val="22"/>
          <w:lang w:val="bg-BG"/>
        </w:rPr>
        <w:t xml:space="preserve"> не е разполагал и понастоящем не разполага с ефективна информационна и мониторингова система и електронен архив. Интернет страниците както на УО</w:t>
      </w:r>
      <w:r w:rsidR="00D654CD">
        <w:rPr>
          <w:sz w:val="22"/>
          <w:szCs w:val="22"/>
          <w:lang w:val="bg-BG"/>
        </w:rPr>
        <w:t>,</w:t>
      </w:r>
      <w:r w:rsidRPr="00BC513A">
        <w:rPr>
          <w:sz w:val="22"/>
          <w:szCs w:val="22"/>
          <w:lang w:val="bg-BG"/>
        </w:rPr>
        <w:t xml:space="preserve"> така и на ДФЗ</w:t>
      </w:r>
      <w:r w:rsidR="00D654CD">
        <w:rPr>
          <w:sz w:val="22"/>
          <w:szCs w:val="22"/>
          <w:lang w:val="bg-BG"/>
        </w:rPr>
        <w:t>,</w:t>
      </w:r>
      <w:r w:rsidRPr="00BC513A">
        <w:rPr>
          <w:sz w:val="22"/>
          <w:szCs w:val="22"/>
          <w:lang w:val="bg-BG"/>
        </w:rPr>
        <w:t xml:space="preserve"> не са достатъчно информативни, добре структурирани и лесни за ползване от потребителите. </w:t>
      </w:r>
    </w:p>
    <w:p w14:paraId="36C7222A" w14:textId="77777777"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sz w:val="22"/>
          <w:szCs w:val="22"/>
          <w:lang w:val="bg-BG"/>
        </w:rPr>
        <w:t xml:space="preserve">Основните цели на </w:t>
      </w:r>
      <w:r w:rsidRPr="00BC513A">
        <w:rPr>
          <w:b/>
          <w:sz w:val="22"/>
          <w:szCs w:val="22"/>
          <w:lang w:val="bg-BG"/>
        </w:rPr>
        <w:t>Комуникационния план</w:t>
      </w:r>
      <w:r w:rsidRPr="00BC513A">
        <w:rPr>
          <w:sz w:val="22"/>
          <w:szCs w:val="22"/>
          <w:lang w:val="bg-BG"/>
        </w:rPr>
        <w:t xml:space="preserve"> по отношение на популяризиране на </w:t>
      </w:r>
      <w:r w:rsidR="006C1D34">
        <w:rPr>
          <w:sz w:val="22"/>
          <w:szCs w:val="22"/>
          <w:lang w:val="bg-BG"/>
        </w:rPr>
        <w:t>п</w:t>
      </w:r>
      <w:r w:rsidRPr="00BC513A">
        <w:rPr>
          <w:sz w:val="22"/>
          <w:szCs w:val="22"/>
          <w:lang w:val="bg-BG"/>
        </w:rPr>
        <w:t xml:space="preserve">рограмата и запознаване на потенциалните кандидати с възможностите за кандидатстване са постигнати чрез провеждане на множество информационни кампании, за което са заделени значителна част от средствата по техническа помощ. Липсата на независима оценка и анализ на изпълнение на комуникационните дейности е довела до липса на обективна информация относно постигане на целите и не е дала възможност на УО да фокусира и подобри кампаниите с цел постигане на по-големи ефекти. </w:t>
      </w:r>
    </w:p>
    <w:p w14:paraId="107671B0" w14:textId="4451C73F" w:rsidR="00E8617E" w:rsidRPr="00BC513A" w:rsidRDefault="00E8617E" w:rsidP="00E8617E">
      <w:pPr>
        <w:pStyle w:val="DefaultText"/>
        <w:numPr>
          <w:ilvl w:val="0"/>
          <w:numId w:val="34"/>
        </w:numPr>
        <w:spacing w:after="120" w:line="300" w:lineRule="atLeast"/>
        <w:ind w:left="0" w:firstLine="993"/>
        <w:rPr>
          <w:b/>
          <w:color w:val="000000" w:themeColor="text1"/>
          <w:sz w:val="32"/>
          <w:szCs w:val="32"/>
          <w:lang w:val="bg-BG"/>
        </w:rPr>
      </w:pPr>
      <w:r w:rsidRPr="00BC513A">
        <w:rPr>
          <w:b/>
          <w:sz w:val="22"/>
          <w:szCs w:val="22"/>
          <w:lang w:val="bg-BG"/>
        </w:rPr>
        <w:t>НСМ</w:t>
      </w:r>
      <w:r w:rsidRPr="00BC513A">
        <w:rPr>
          <w:sz w:val="22"/>
          <w:szCs w:val="22"/>
          <w:lang w:val="bg-BG"/>
        </w:rPr>
        <w:t xml:space="preserve"> има частичен принос към осигуряване на подкрепа за ефективното изпълнение на ПРСР 2007-2013 г. тъй като на практика мрежата функционира само в периода 2013-2015 г. Мрежата се създава със закъснение поради проблеми с провеждане на обществената поръчка. След приключване на договора с избрания изпълнител, който изпълнява ролята на звено за управление на НСМ, в края на 2015 все още не е избрано ново звено за управление. </w:t>
      </w:r>
    </w:p>
    <w:p w14:paraId="2AF42AE8" w14:textId="77777777" w:rsidR="00E8617E" w:rsidRPr="00BC513A" w:rsidRDefault="00E8617E" w:rsidP="00E8617E">
      <w:pPr>
        <w:pStyle w:val="Heading2"/>
        <w:numPr>
          <w:ilvl w:val="1"/>
          <w:numId w:val="8"/>
        </w:numPr>
        <w:ind w:left="1276" w:hanging="283"/>
      </w:pPr>
      <w:bookmarkStart w:id="210" w:name="_Toc499047439"/>
      <w:bookmarkStart w:id="211" w:name="_Toc504136166"/>
      <w:r w:rsidRPr="00BC513A">
        <w:t>Препоръки</w:t>
      </w:r>
      <w:bookmarkEnd w:id="210"/>
      <w:bookmarkEnd w:id="211"/>
      <w:r w:rsidRPr="00BC513A">
        <w:t xml:space="preserve"> </w:t>
      </w:r>
    </w:p>
    <w:p w14:paraId="741EC212" w14:textId="77777777" w:rsidR="00E8617E" w:rsidRPr="00BC513A" w:rsidRDefault="00E8617E" w:rsidP="00E8617E">
      <w:pPr>
        <w:pStyle w:val="DefaultText"/>
        <w:spacing w:after="240" w:line="300" w:lineRule="atLeast"/>
        <w:ind w:firstLine="851"/>
        <w:rPr>
          <w:sz w:val="22"/>
          <w:szCs w:val="22"/>
          <w:lang w:val="bg-BG"/>
        </w:rPr>
      </w:pPr>
      <w:r w:rsidRPr="00BC513A">
        <w:rPr>
          <w:sz w:val="22"/>
          <w:szCs w:val="22"/>
          <w:lang w:val="bg-BG"/>
        </w:rPr>
        <w:t xml:space="preserve">Представените препоръки са обвързани с направените в точка 6.1 заключения. Поради това всяка препоръка е отнесена към определено заключение от 6.1 като в колоната в ляво е посочен номер на заключението. </w:t>
      </w:r>
    </w:p>
    <w:tbl>
      <w:tblPr>
        <w:tblW w:w="0" w:type="auto"/>
        <w:tblLook w:val="04A0" w:firstRow="1" w:lastRow="0" w:firstColumn="1" w:lastColumn="0" w:noHBand="0" w:noVBand="1"/>
      </w:tblPr>
      <w:tblGrid>
        <w:gridCol w:w="5353"/>
        <w:gridCol w:w="3934"/>
      </w:tblGrid>
      <w:tr w:rsidR="00E8617E" w:rsidRPr="00BC513A" w14:paraId="3CE612C4" w14:textId="77777777" w:rsidTr="00922731">
        <w:tc>
          <w:tcPr>
            <w:tcW w:w="5353" w:type="dxa"/>
            <w:shd w:val="clear" w:color="auto" w:fill="1F4E79" w:themeFill="accent1" w:themeFillShade="80"/>
          </w:tcPr>
          <w:p w14:paraId="5B082ACB" w14:textId="77777777" w:rsidR="00E8617E" w:rsidRPr="00BC513A" w:rsidRDefault="00E8617E" w:rsidP="00922731">
            <w:pPr>
              <w:pStyle w:val="DefaultText"/>
              <w:rPr>
                <w:b/>
                <w:color w:val="FFFFFF" w:themeColor="background1"/>
                <w:sz w:val="20"/>
                <w:szCs w:val="20"/>
                <w:lang w:val="bg-BG"/>
              </w:rPr>
            </w:pPr>
            <w:r w:rsidRPr="00BC513A">
              <w:rPr>
                <w:b/>
                <w:color w:val="FFFFFF" w:themeColor="background1"/>
                <w:sz w:val="20"/>
                <w:szCs w:val="20"/>
                <w:lang w:val="bg-BG"/>
              </w:rPr>
              <w:t>Заключение (№)</w:t>
            </w:r>
          </w:p>
        </w:tc>
        <w:tc>
          <w:tcPr>
            <w:tcW w:w="3934" w:type="dxa"/>
            <w:shd w:val="clear" w:color="auto" w:fill="1F4E79" w:themeFill="accent1" w:themeFillShade="80"/>
          </w:tcPr>
          <w:p w14:paraId="635E8A21" w14:textId="77777777" w:rsidR="00E8617E" w:rsidRPr="00BC513A" w:rsidRDefault="00E8617E" w:rsidP="00922731">
            <w:pPr>
              <w:pStyle w:val="DefaultText"/>
              <w:rPr>
                <w:b/>
                <w:color w:val="FFFFFF" w:themeColor="background1"/>
                <w:sz w:val="20"/>
                <w:szCs w:val="20"/>
                <w:lang w:val="bg-BG"/>
              </w:rPr>
            </w:pPr>
            <w:r w:rsidRPr="00BC513A">
              <w:rPr>
                <w:b/>
                <w:color w:val="FFFFFF" w:themeColor="background1"/>
                <w:sz w:val="20"/>
                <w:szCs w:val="20"/>
                <w:lang w:val="bg-BG"/>
              </w:rPr>
              <w:t>Препоръка</w:t>
            </w:r>
          </w:p>
        </w:tc>
      </w:tr>
      <w:tr w:rsidR="00E8617E" w:rsidRPr="00BC513A" w14:paraId="22FA85B1" w14:textId="77777777" w:rsidTr="00922731">
        <w:tc>
          <w:tcPr>
            <w:tcW w:w="5353" w:type="dxa"/>
          </w:tcPr>
          <w:p w14:paraId="616ACFEE" w14:textId="77777777" w:rsidR="00E8617E" w:rsidRPr="00BC513A" w:rsidRDefault="00E8617E" w:rsidP="00922731">
            <w:pPr>
              <w:pStyle w:val="DefaultText"/>
              <w:rPr>
                <w:sz w:val="20"/>
                <w:szCs w:val="20"/>
                <w:lang w:val="bg-BG"/>
              </w:rPr>
            </w:pPr>
            <w:r w:rsidRPr="00BC513A">
              <w:rPr>
                <w:b/>
                <w:color w:val="000000" w:themeColor="text1"/>
                <w:sz w:val="40"/>
                <w:szCs w:val="40"/>
                <w:lang w:val="bg-BG"/>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6 </w:t>
            </w:r>
            <w:r w:rsidRPr="00BC513A">
              <w:rPr>
                <w:sz w:val="20"/>
                <w:szCs w:val="20"/>
                <w:lang w:val="bg-BG"/>
              </w:rPr>
              <w:t xml:space="preserve">Липсата на реални наблюдения на въздействията, както и някои пропуски на системата за мониторинг, не позволява да се оцени в достатъчна степен въздействието на мерките върху околната среда. </w:t>
            </w:r>
          </w:p>
        </w:tc>
        <w:tc>
          <w:tcPr>
            <w:tcW w:w="3934" w:type="dxa"/>
          </w:tcPr>
          <w:p w14:paraId="59B7B86C" w14:textId="77777777" w:rsidR="00E8617E" w:rsidRPr="00BC513A" w:rsidRDefault="00E8617E" w:rsidP="00922731">
            <w:pPr>
              <w:pStyle w:val="DefaultText"/>
              <w:spacing w:after="120"/>
              <w:rPr>
                <w:sz w:val="20"/>
                <w:szCs w:val="20"/>
                <w:lang w:val="bg-BG"/>
              </w:rPr>
            </w:pPr>
            <w:r w:rsidRPr="00BC513A">
              <w:rPr>
                <w:sz w:val="20"/>
                <w:szCs w:val="20"/>
                <w:lang w:val="bg-BG"/>
              </w:rPr>
              <w:t xml:space="preserve">Препоръчва се УО да възложи допълнителни проучвания и анализи за оценка на въздействието от мерките на ПРСР 2007-2013 върху околната среда. </w:t>
            </w:r>
          </w:p>
          <w:p w14:paraId="782AF4B4" w14:textId="77777777" w:rsidR="00E8617E" w:rsidRPr="00BC513A" w:rsidRDefault="00E8617E" w:rsidP="00922731">
            <w:pPr>
              <w:pStyle w:val="DefaultText"/>
              <w:spacing w:after="120"/>
              <w:rPr>
                <w:sz w:val="20"/>
                <w:szCs w:val="20"/>
                <w:lang w:val="bg-BG"/>
              </w:rPr>
            </w:pPr>
            <w:r w:rsidRPr="00BC513A">
              <w:rPr>
                <w:sz w:val="20"/>
                <w:szCs w:val="20"/>
                <w:lang w:val="bg-BG"/>
              </w:rPr>
              <w:t xml:space="preserve">Препоръчва се да се анализира ефективността на създадената система за набиране на данни за резултатите от мерките в ПРСР 2014-2020 върху околната среда, с цел да се осигури набирането на данни, които да позволят отчитане на постигнатите резултати и ефекти върху околната среда.  </w:t>
            </w:r>
          </w:p>
        </w:tc>
      </w:tr>
      <w:tr w:rsidR="00E8617E" w:rsidRPr="00BC513A" w14:paraId="38611F09" w14:textId="77777777" w:rsidTr="00922731">
        <w:tc>
          <w:tcPr>
            <w:tcW w:w="5353" w:type="dxa"/>
            <w:shd w:val="clear" w:color="auto" w:fill="DEEAF6" w:themeFill="accent1" w:themeFillTint="33"/>
          </w:tcPr>
          <w:p w14:paraId="7FE7AB24" w14:textId="77777777" w:rsidR="00E8617E" w:rsidRPr="00BC513A" w:rsidRDefault="00E8617E" w:rsidP="006C1D34">
            <w:pPr>
              <w:pStyle w:val="DefaultText"/>
              <w:rPr>
                <w:sz w:val="20"/>
                <w:szCs w:val="20"/>
                <w:lang w:val="bg-BG"/>
              </w:rPr>
            </w:pPr>
            <w:r w:rsidRPr="00BC513A">
              <w:rPr>
                <w:b/>
                <w:color w:val="000000" w:themeColor="text1"/>
                <w:sz w:val="40"/>
                <w:szCs w:val="40"/>
                <w:lang w:val="bg-BG"/>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7 </w:t>
            </w:r>
            <w:r w:rsidRPr="00BC513A">
              <w:rPr>
                <w:sz w:val="20"/>
                <w:szCs w:val="20"/>
                <w:lang w:val="bg-BG"/>
              </w:rPr>
              <w:t xml:space="preserve">Подкрепените проекти по мерките за съживяване на селската икономика по ос 3 се фокусират основно в две сфери – финансиране на къщи за гости и фотоволтаични централи, което не спомага за постигане на заложената цел за диверсификация на икономиката в селските региони. Приносът на </w:t>
            </w:r>
            <w:r w:rsidR="006C1D34">
              <w:rPr>
                <w:sz w:val="20"/>
                <w:szCs w:val="20"/>
                <w:lang w:val="bg-BG"/>
              </w:rPr>
              <w:t>п</w:t>
            </w:r>
            <w:r w:rsidRPr="00BC513A">
              <w:rPr>
                <w:sz w:val="20"/>
                <w:szCs w:val="20"/>
                <w:lang w:val="bg-BG"/>
              </w:rPr>
              <w:t>рограмата в това отношение е силно ограничен.</w:t>
            </w:r>
          </w:p>
        </w:tc>
        <w:tc>
          <w:tcPr>
            <w:tcW w:w="3934" w:type="dxa"/>
            <w:shd w:val="clear" w:color="auto" w:fill="DEEAF6" w:themeFill="accent1" w:themeFillTint="33"/>
          </w:tcPr>
          <w:p w14:paraId="759D8E18" w14:textId="77777777" w:rsidR="00E8617E" w:rsidRPr="00BC513A" w:rsidRDefault="00E8617E" w:rsidP="00922731">
            <w:pPr>
              <w:pStyle w:val="DefaultText"/>
              <w:rPr>
                <w:sz w:val="20"/>
                <w:szCs w:val="20"/>
                <w:lang w:val="bg-BG"/>
              </w:rPr>
            </w:pPr>
            <w:r w:rsidRPr="00BC513A">
              <w:rPr>
                <w:sz w:val="20"/>
                <w:szCs w:val="20"/>
                <w:lang w:val="bg-BG"/>
              </w:rPr>
              <w:t xml:space="preserve">Препоръчително е при подкрепата за разнообразяване на икономическите дейности по ПРСР 2014-2020 да се приложат секторни приоритети или други способи, които да осигурят по-добри ефекти при изпълнение на мерките, насочени към разнообразяване и създаване на възможности за развитие на икономиката на селските райони. </w:t>
            </w:r>
          </w:p>
        </w:tc>
      </w:tr>
      <w:tr w:rsidR="00E8617E" w:rsidRPr="00BC513A" w14:paraId="4C53851D" w14:textId="77777777" w:rsidTr="00922731">
        <w:tc>
          <w:tcPr>
            <w:tcW w:w="5353" w:type="dxa"/>
          </w:tcPr>
          <w:p w14:paraId="00F080E7" w14:textId="77777777" w:rsidR="00E8617E" w:rsidRPr="00BC513A" w:rsidRDefault="00E8617E" w:rsidP="00922731">
            <w:pPr>
              <w:pStyle w:val="DefaultText"/>
              <w:rPr>
                <w:sz w:val="20"/>
                <w:szCs w:val="20"/>
                <w:lang w:val="bg-BG"/>
              </w:rPr>
            </w:pPr>
            <w:r w:rsidRPr="00BC513A">
              <w:rPr>
                <w:b/>
                <w:color w:val="000000" w:themeColor="text1"/>
                <w:sz w:val="40"/>
                <w:szCs w:val="40"/>
                <w:lang w:val="bg-BG"/>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8 </w:t>
            </w:r>
            <w:r w:rsidRPr="00BC513A">
              <w:rPr>
                <w:sz w:val="20"/>
                <w:szCs w:val="20"/>
                <w:lang w:val="bg-BG"/>
              </w:rPr>
              <w:t>Подходът ЛИДЕР е приет много добре и с ентусиазъм от местните общности и в същото време води до допълнителни ефекти и спомага за постигане на целите на ПРСР, особено по отношение на създаване на заетост, оживяване на местната икономика и създаване на партньорства. Това са области, в които като цяло ПРСР 2007-2013 по-трудно постига целите си. Наблюдават се обнадеждаващи положителни ефекти. В периода 2007-2013 очакваното въздействие от ЛИДЕР е намалено поради несъобразена с размера и естеството на проектите на МИГ административна тежест и закъснения поради дублиране на функции от страна на УО и РА. .</w:t>
            </w:r>
          </w:p>
        </w:tc>
        <w:tc>
          <w:tcPr>
            <w:tcW w:w="3934" w:type="dxa"/>
          </w:tcPr>
          <w:p w14:paraId="258DCF39" w14:textId="77777777" w:rsidR="00E8617E" w:rsidRPr="00BC513A" w:rsidRDefault="00E8617E" w:rsidP="00A37A31">
            <w:pPr>
              <w:pStyle w:val="DefaultText"/>
              <w:rPr>
                <w:sz w:val="20"/>
                <w:szCs w:val="20"/>
                <w:lang w:val="bg-BG"/>
              </w:rPr>
            </w:pPr>
            <w:r w:rsidRPr="00BC513A">
              <w:rPr>
                <w:sz w:val="20"/>
                <w:szCs w:val="20"/>
                <w:lang w:val="bg-BG"/>
              </w:rPr>
              <w:t>Прилагането на подхода Водено от общностите местно развитие в ПРСР 20</w:t>
            </w:r>
            <w:r w:rsidR="00A37A31">
              <w:rPr>
                <w:sz w:val="20"/>
                <w:szCs w:val="20"/>
                <w:lang w:val="bg-BG"/>
              </w:rPr>
              <w:t>14-2020 трябва да бъде админист</w:t>
            </w:r>
            <w:r w:rsidRPr="00BC513A">
              <w:rPr>
                <w:sz w:val="20"/>
                <w:szCs w:val="20"/>
                <w:lang w:val="bg-BG"/>
              </w:rPr>
              <w:t>р</w:t>
            </w:r>
            <w:r w:rsidR="00A37A31">
              <w:rPr>
                <w:sz w:val="20"/>
                <w:szCs w:val="20"/>
                <w:lang w:val="bg-BG"/>
              </w:rPr>
              <w:t>ативно</w:t>
            </w:r>
            <w:r w:rsidRPr="00BC513A">
              <w:rPr>
                <w:sz w:val="20"/>
                <w:szCs w:val="20"/>
                <w:lang w:val="bg-BG"/>
              </w:rPr>
              <w:t xml:space="preserve"> облекчено и където възможно децентрализирано с делегиране на повече правомощия на МИГ при подбора и оценката на проекти. УО и ДФЗ могат да осъществяват контрол чрез проверки на база на анализ на риска.</w:t>
            </w:r>
          </w:p>
        </w:tc>
      </w:tr>
      <w:tr w:rsidR="00E8617E" w:rsidRPr="00BC513A" w14:paraId="0E7A8DBD" w14:textId="77777777" w:rsidTr="00922731">
        <w:tc>
          <w:tcPr>
            <w:tcW w:w="5353" w:type="dxa"/>
            <w:shd w:val="clear" w:color="auto" w:fill="DEEAF6" w:themeFill="accent1" w:themeFillTint="33"/>
          </w:tcPr>
          <w:p w14:paraId="3B2692D9" w14:textId="105585EB" w:rsidR="00E8617E" w:rsidRPr="00BC513A" w:rsidRDefault="00E8617E" w:rsidP="00F3155A">
            <w:pPr>
              <w:pStyle w:val="DefaultText"/>
              <w:rPr>
                <w:sz w:val="20"/>
                <w:szCs w:val="20"/>
                <w:lang w:val="bg-BG"/>
              </w:rPr>
            </w:pPr>
            <w:r w:rsidRPr="00BC513A">
              <w:rPr>
                <w:b/>
                <w:color w:val="000000" w:themeColor="text1"/>
                <w:sz w:val="40"/>
                <w:szCs w:val="40"/>
                <w:lang w:val="bg-BG"/>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11 </w:t>
            </w:r>
            <w:r w:rsidRPr="00BC513A">
              <w:rPr>
                <w:sz w:val="20"/>
                <w:szCs w:val="20"/>
                <w:lang w:val="bg-BG"/>
              </w:rPr>
              <w:t>Ефектите върху укрепване на капацитета на УО и РА по отношение на повишаване на компетентността на служителите са минимални, тъй като провежданите обучения са били спорадични и не са базирани на анализ на нуждите.</w:t>
            </w:r>
          </w:p>
        </w:tc>
        <w:tc>
          <w:tcPr>
            <w:tcW w:w="3934" w:type="dxa"/>
            <w:shd w:val="clear" w:color="auto" w:fill="DEEAF6" w:themeFill="accent1" w:themeFillTint="33"/>
          </w:tcPr>
          <w:p w14:paraId="51DC60CE" w14:textId="77777777" w:rsidR="00E8617E" w:rsidRPr="00BC513A" w:rsidRDefault="00E8617E" w:rsidP="00A37A31">
            <w:pPr>
              <w:pStyle w:val="DefaultText"/>
              <w:rPr>
                <w:sz w:val="20"/>
                <w:szCs w:val="20"/>
                <w:lang w:val="bg-BG"/>
              </w:rPr>
            </w:pPr>
            <w:r w:rsidRPr="00BC513A">
              <w:rPr>
                <w:sz w:val="20"/>
                <w:szCs w:val="20"/>
                <w:lang w:val="bg-BG"/>
              </w:rPr>
              <w:t xml:space="preserve">В </w:t>
            </w:r>
            <w:r w:rsidR="00A37A31">
              <w:rPr>
                <w:sz w:val="20"/>
                <w:szCs w:val="20"/>
                <w:lang w:val="bg-BG"/>
              </w:rPr>
              <w:t>настоящия</w:t>
            </w:r>
            <w:r w:rsidRPr="00BC513A">
              <w:rPr>
                <w:sz w:val="20"/>
                <w:szCs w:val="20"/>
                <w:lang w:val="bg-BG"/>
              </w:rPr>
              <w:t xml:space="preserve"> програмен </w:t>
            </w:r>
            <w:r w:rsidR="00A37A31" w:rsidRPr="00BC513A">
              <w:rPr>
                <w:sz w:val="20"/>
                <w:szCs w:val="20"/>
                <w:lang w:val="bg-BG"/>
              </w:rPr>
              <w:t xml:space="preserve">период </w:t>
            </w:r>
            <w:r w:rsidR="00A37A31">
              <w:rPr>
                <w:sz w:val="20"/>
                <w:szCs w:val="20"/>
                <w:lang w:val="bg-BG"/>
              </w:rPr>
              <w:t xml:space="preserve">(2014-2020) </w:t>
            </w:r>
            <w:r w:rsidRPr="00BC513A">
              <w:rPr>
                <w:sz w:val="20"/>
                <w:szCs w:val="20"/>
                <w:lang w:val="bg-BG"/>
              </w:rPr>
              <w:t xml:space="preserve">се препоръчва обученията за експертите в УО и РА да бъдат по-добре структурирани и планирани на база на анализ на нуждите. Необходимо е да се осигурят равномерни и непрекъснати дейности в тази посока. </w:t>
            </w:r>
          </w:p>
        </w:tc>
      </w:tr>
      <w:tr w:rsidR="00E8617E" w:rsidRPr="00BC513A" w14:paraId="223DBB11" w14:textId="77777777" w:rsidTr="00922731">
        <w:tc>
          <w:tcPr>
            <w:tcW w:w="5353" w:type="dxa"/>
          </w:tcPr>
          <w:p w14:paraId="0E9C4968" w14:textId="77777777" w:rsidR="00E8617E" w:rsidRPr="00BC513A" w:rsidRDefault="00E8617E" w:rsidP="006C1D34">
            <w:pPr>
              <w:pStyle w:val="DefaultText"/>
              <w:rPr>
                <w:sz w:val="20"/>
                <w:szCs w:val="20"/>
                <w:lang w:val="bg-BG"/>
              </w:rPr>
            </w:pPr>
            <w:r w:rsidRPr="00BC513A">
              <w:rPr>
                <w:b/>
                <w:color w:val="000000" w:themeColor="text1"/>
                <w:sz w:val="40"/>
                <w:szCs w:val="40"/>
                <w:lang w:val="bg-BG"/>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11 </w:t>
            </w:r>
            <w:r w:rsidRPr="00BC513A">
              <w:rPr>
                <w:sz w:val="20"/>
                <w:szCs w:val="20"/>
                <w:lang w:val="bg-BG"/>
              </w:rPr>
              <w:t xml:space="preserve">УО по време на изпълнението на </w:t>
            </w:r>
            <w:r w:rsidR="006C1D34">
              <w:rPr>
                <w:sz w:val="20"/>
                <w:szCs w:val="20"/>
                <w:lang w:val="bg-BG"/>
              </w:rPr>
              <w:t>п</w:t>
            </w:r>
            <w:r w:rsidRPr="00BC513A">
              <w:rPr>
                <w:sz w:val="20"/>
                <w:szCs w:val="20"/>
                <w:lang w:val="bg-BG"/>
              </w:rPr>
              <w:t>рограмата не е разполагал и понастоящем не разполага с ефективна информационна и мониторингова система и електронен архив. Това е затруднило работата на експертите. Предвид на увеличаващата се документация по настоящата ПРСР 2014-2020 и тенденцията повечето от документите да се подават в електронен вид, използването на електронни и информационни системи и изграждането на електронен архив е наложително.</w:t>
            </w:r>
          </w:p>
        </w:tc>
        <w:tc>
          <w:tcPr>
            <w:tcW w:w="3934" w:type="dxa"/>
          </w:tcPr>
          <w:p w14:paraId="1CB8C1AC" w14:textId="77777777" w:rsidR="00E8617E" w:rsidRPr="00BC513A" w:rsidRDefault="00E8617E" w:rsidP="00922731">
            <w:pPr>
              <w:pStyle w:val="DefaultText"/>
              <w:rPr>
                <w:sz w:val="20"/>
                <w:szCs w:val="20"/>
                <w:lang w:val="bg-BG"/>
              </w:rPr>
            </w:pPr>
            <w:r w:rsidRPr="00BC513A">
              <w:rPr>
                <w:sz w:val="20"/>
                <w:szCs w:val="20"/>
                <w:lang w:val="bg-BG"/>
              </w:rPr>
              <w:t>Да се планира изработването и да се въведат информационни системи, които да подпомагат съхранението и структурирането на информацията и процеса на мониторинг.</w:t>
            </w:r>
          </w:p>
          <w:p w14:paraId="76EAA15F" w14:textId="77777777" w:rsidR="00E8617E" w:rsidRPr="00BC513A" w:rsidRDefault="00E8617E" w:rsidP="00922731">
            <w:pPr>
              <w:pStyle w:val="DefaultText"/>
              <w:rPr>
                <w:sz w:val="20"/>
                <w:szCs w:val="20"/>
                <w:lang w:val="bg-BG"/>
              </w:rPr>
            </w:pPr>
            <w:r w:rsidRPr="00BC513A">
              <w:rPr>
                <w:sz w:val="20"/>
                <w:szCs w:val="20"/>
                <w:lang w:val="bg-BG"/>
              </w:rPr>
              <w:t>Да се разработи и въведе електронен архив.</w:t>
            </w:r>
          </w:p>
        </w:tc>
      </w:tr>
      <w:tr w:rsidR="00E8617E" w:rsidRPr="00BC513A" w14:paraId="09F1E1B8" w14:textId="77777777" w:rsidTr="00922731">
        <w:tc>
          <w:tcPr>
            <w:tcW w:w="5353" w:type="dxa"/>
            <w:shd w:val="clear" w:color="auto" w:fill="DEEAF6" w:themeFill="accent1" w:themeFillTint="33"/>
          </w:tcPr>
          <w:p w14:paraId="353E30E6" w14:textId="77777777" w:rsidR="00E8617E" w:rsidRPr="00BC513A" w:rsidRDefault="00E8617E" w:rsidP="006C1D34">
            <w:pPr>
              <w:pStyle w:val="DefaultText"/>
              <w:rPr>
                <w:sz w:val="20"/>
                <w:szCs w:val="20"/>
                <w:lang w:val="bg-BG"/>
              </w:rPr>
            </w:pPr>
            <w:r w:rsidRPr="00BC513A">
              <w:rPr>
                <w:b/>
                <w:color w:val="000000" w:themeColor="text1"/>
                <w:sz w:val="40"/>
                <w:szCs w:val="40"/>
                <w:lang w:val="bg-BG"/>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11 </w:t>
            </w:r>
            <w:r w:rsidRPr="00BC513A">
              <w:rPr>
                <w:sz w:val="20"/>
                <w:szCs w:val="20"/>
                <w:lang w:val="bg-BG"/>
              </w:rPr>
              <w:t>Интернет страниците както на УО</w:t>
            </w:r>
            <w:r w:rsidR="00B95793">
              <w:rPr>
                <w:sz w:val="20"/>
                <w:szCs w:val="20"/>
                <w:lang w:val="bg-BG"/>
              </w:rPr>
              <w:t>,</w:t>
            </w:r>
            <w:r w:rsidRPr="00BC513A">
              <w:rPr>
                <w:sz w:val="20"/>
                <w:szCs w:val="20"/>
                <w:lang w:val="bg-BG"/>
              </w:rPr>
              <w:t xml:space="preserve"> така и на ДФЗ не са достатъчно информативни, добре структурирани и лесни за ползване от потребителите. Това намалява прозрачността на </w:t>
            </w:r>
            <w:r w:rsidR="006C1D34">
              <w:rPr>
                <w:sz w:val="20"/>
                <w:szCs w:val="20"/>
                <w:lang w:val="bg-BG"/>
              </w:rPr>
              <w:t>п</w:t>
            </w:r>
            <w:r w:rsidRPr="00BC513A">
              <w:rPr>
                <w:sz w:val="20"/>
                <w:szCs w:val="20"/>
                <w:lang w:val="bg-BG"/>
              </w:rPr>
              <w:t xml:space="preserve">рограмата и редуцира възможностите за лесен достъп до информация от страна на заинтересованите страни. </w:t>
            </w:r>
          </w:p>
        </w:tc>
        <w:tc>
          <w:tcPr>
            <w:tcW w:w="3934" w:type="dxa"/>
            <w:shd w:val="clear" w:color="auto" w:fill="DEEAF6" w:themeFill="accent1" w:themeFillTint="33"/>
          </w:tcPr>
          <w:p w14:paraId="2DE6CA76" w14:textId="77777777" w:rsidR="00E8617E" w:rsidRPr="00BC513A" w:rsidRDefault="00E8617E" w:rsidP="006C1D34">
            <w:pPr>
              <w:pStyle w:val="DefaultText"/>
              <w:rPr>
                <w:sz w:val="20"/>
                <w:szCs w:val="20"/>
                <w:lang w:val="bg-BG"/>
              </w:rPr>
            </w:pPr>
            <w:r w:rsidRPr="00BC513A">
              <w:rPr>
                <w:sz w:val="20"/>
                <w:szCs w:val="20"/>
                <w:lang w:val="bg-BG"/>
              </w:rPr>
              <w:t xml:space="preserve">Да се подобри интернет страницата на ПРСР. На страницата да се предоставя изчерпателна информация за </w:t>
            </w:r>
            <w:r w:rsidR="006C1D34">
              <w:rPr>
                <w:sz w:val="20"/>
                <w:szCs w:val="20"/>
                <w:lang w:val="bg-BG"/>
              </w:rPr>
              <w:t>п</w:t>
            </w:r>
            <w:r w:rsidRPr="00BC513A">
              <w:rPr>
                <w:sz w:val="20"/>
                <w:szCs w:val="20"/>
                <w:lang w:val="bg-BG"/>
              </w:rPr>
              <w:t xml:space="preserve">рограмата и нейните мерки, наредби и инструменти, сключени договори с бенефициенти, постигнати резултати, добри практики както и изготвени анализи и оценки. Страницата трябва да осигурява лесен достъп до информация и да гарантира висока прозрачност на изпълнение на </w:t>
            </w:r>
            <w:r w:rsidR="006C1D34">
              <w:rPr>
                <w:sz w:val="20"/>
                <w:szCs w:val="20"/>
                <w:lang w:val="bg-BG"/>
              </w:rPr>
              <w:t>п</w:t>
            </w:r>
            <w:r w:rsidRPr="00BC513A">
              <w:rPr>
                <w:sz w:val="20"/>
                <w:szCs w:val="20"/>
                <w:lang w:val="bg-BG"/>
              </w:rPr>
              <w:t xml:space="preserve">рограмата. </w:t>
            </w:r>
          </w:p>
        </w:tc>
      </w:tr>
      <w:tr w:rsidR="00E8617E" w:rsidRPr="00BC513A" w14:paraId="6AADA0CD" w14:textId="77777777" w:rsidTr="00922731">
        <w:tc>
          <w:tcPr>
            <w:tcW w:w="5353" w:type="dxa"/>
          </w:tcPr>
          <w:p w14:paraId="1F6D02F2" w14:textId="77777777" w:rsidR="00E8617E" w:rsidRPr="00BC513A" w:rsidRDefault="00E8617E" w:rsidP="00922731">
            <w:pPr>
              <w:pStyle w:val="DefaultText"/>
              <w:rPr>
                <w:sz w:val="20"/>
                <w:szCs w:val="20"/>
                <w:lang w:val="bg-BG"/>
              </w:rPr>
            </w:pPr>
            <w:r w:rsidRPr="00BC513A">
              <w:rPr>
                <w:b/>
                <w:color w:val="000000" w:themeColor="text1"/>
                <w:sz w:val="40"/>
                <w:szCs w:val="40"/>
                <w:lang w:val="bg-BG"/>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12 </w:t>
            </w:r>
            <w:r w:rsidRPr="00BC513A">
              <w:rPr>
                <w:sz w:val="20"/>
                <w:szCs w:val="20"/>
                <w:lang w:val="bg-BG"/>
              </w:rPr>
              <w:t>Липсата на независима оценка и анализ на изпълнение на комуникационните дейности е довела до липса на обективна информация относно постигане на целите и не е дала възможност на УО да фокусира и подобри кампаниите с цел постигане на по-големи ефекти.</w:t>
            </w:r>
          </w:p>
        </w:tc>
        <w:tc>
          <w:tcPr>
            <w:tcW w:w="3934" w:type="dxa"/>
          </w:tcPr>
          <w:p w14:paraId="3416D31C" w14:textId="77777777" w:rsidR="00E8617E" w:rsidRPr="00BC513A" w:rsidRDefault="00E8617E" w:rsidP="00922731">
            <w:pPr>
              <w:pStyle w:val="DefaultText"/>
              <w:rPr>
                <w:sz w:val="20"/>
                <w:szCs w:val="20"/>
                <w:lang w:val="bg-BG"/>
              </w:rPr>
            </w:pPr>
            <w:r w:rsidRPr="00BC513A">
              <w:rPr>
                <w:sz w:val="20"/>
                <w:szCs w:val="20"/>
                <w:lang w:val="bg-BG"/>
              </w:rPr>
              <w:t xml:space="preserve">УО да вземе предвид нуждата от осъществяване на независим анализ и оценка на комуникационните дейности в рамките на ПРСР 2014-2020 с цел постигане на по-добри резултати от тези дейности. </w:t>
            </w:r>
          </w:p>
        </w:tc>
      </w:tr>
      <w:tr w:rsidR="00E8617E" w:rsidRPr="00BC513A" w14:paraId="7A5D3A7A" w14:textId="77777777" w:rsidTr="00922731">
        <w:tc>
          <w:tcPr>
            <w:tcW w:w="5353" w:type="dxa"/>
            <w:shd w:val="clear" w:color="auto" w:fill="DEEAF6" w:themeFill="accent1" w:themeFillTint="33"/>
          </w:tcPr>
          <w:p w14:paraId="21FECB31" w14:textId="166127FB" w:rsidR="00E8617E" w:rsidRPr="00BC513A" w:rsidRDefault="00E8617E" w:rsidP="00922731">
            <w:pPr>
              <w:pStyle w:val="DefaultText"/>
              <w:rPr>
                <w:sz w:val="20"/>
                <w:szCs w:val="20"/>
                <w:lang w:val="bg-BG"/>
              </w:rPr>
            </w:pPr>
            <w:r w:rsidRPr="00BC513A">
              <w:rPr>
                <w:b/>
                <w:color w:val="000000" w:themeColor="text1"/>
                <w:sz w:val="40"/>
                <w:szCs w:val="40"/>
                <w:lang w:val="bg-BG"/>
                <w14:shadow w14:blurRad="12700" w14:dist="38100" w14:dir="2700000" w14:sx="100000" w14:sy="100000" w14:kx="0" w14:ky="0" w14:algn="tl">
                  <w14:schemeClr w14:val="bg1">
                    <w14:lumMod w14:val="50000"/>
                  </w14:schemeClr>
                </w14:shadow>
                <w14:textOutline w14:w="9525" w14:cap="flat" w14:cmpd="sng" w14:algn="ctr">
                  <w14:solidFill>
                    <w14:schemeClr w14:val="bg1"/>
                  </w14:solidFill>
                  <w14:prstDash w14:val="solid"/>
                  <w14:round/>
                </w14:textOutline>
              </w:rPr>
              <w:t xml:space="preserve">13 </w:t>
            </w:r>
            <w:r w:rsidRPr="00BC513A">
              <w:rPr>
                <w:sz w:val="20"/>
                <w:szCs w:val="20"/>
                <w:lang w:val="bg-BG"/>
              </w:rPr>
              <w:t>Възлагането на дейностите на звено за управление на НСМ на външен изпълнител показва както голяма ефективност на изпълнение</w:t>
            </w:r>
            <w:r w:rsidR="00F3155A">
              <w:rPr>
                <w:sz w:val="20"/>
                <w:szCs w:val="20"/>
                <w:lang w:val="bg-BG"/>
              </w:rPr>
              <w:t>,</w:t>
            </w:r>
            <w:r w:rsidRPr="00BC513A">
              <w:rPr>
                <w:sz w:val="20"/>
                <w:szCs w:val="20"/>
                <w:lang w:val="bg-BG"/>
              </w:rPr>
              <w:t xml:space="preserve"> така и периоди на липса на реално функциониране на НСМ поради трудности при избор на изпълнител. </w:t>
            </w:r>
          </w:p>
          <w:p w14:paraId="46C5CDCC" w14:textId="77777777" w:rsidR="00E8617E" w:rsidRPr="00BC513A" w:rsidRDefault="00E8617E" w:rsidP="00922731">
            <w:pPr>
              <w:pStyle w:val="DefaultText"/>
              <w:rPr>
                <w:sz w:val="20"/>
                <w:szCs w:val="20"/>
                <w:lang w:val="bg-BG"/>
              </w:rPr>
            </w:pPr>
            <w:r w:rsidRPr="00BC513A">
              <w:rPr>
                <w:sz w:val="20"/>
                <w:szCs w:val="20"/>
                <w:lang w:val="bg-BG"/>
              </w:rPr>
              <w:t>Практиката на другите страни показва, че има успешни модели на действие чрез институционализиране на НСМ в съществуващи административни структури с цел избягване на риска от нефункциониране на мрежата в дълги периоди от време поради липса на звено за управление.</w:t>
            </w:r>
          </w:p>
        </w:tc>
        <w:tc>
          <w:tcPr>
            <w:tcW w:w="3934" w:type="dxa"/>
            <w:shd w:val="clear" w:color="auto" w:fill="DEEAF6" w:themeFill="accent1" w:themeFillTint="33"/>
          </w:tcPr>
          <w:p w14:paraId="2D74F163" w14:textId="77777777" w:rsidR="00E8617E" w:rsidRPr="00BC513A" w:rsidRDefault="00E8617E" w:rsidP="00922731">
            <w:pPr>
              <w:pStyle w:val="DefaultText"/>
              <w:rPr>
                <w:sz w:val="20"/>
                <w:szCs w:val="20"/>
                <w:lang w:val="bg-BG"/>
              </w:rPr>
            </w:pPr>
            <w:r w:rsidRPr="00BC513A">
              <w:rPr>
                <w:sz w:val="20"/>
                <w:szCs w:val="20"/>
                <w:lang w:val="bg-BG"/>
              </w:rPr>
              <w:t xml:space="preserve">Да се разгледа възможността функцията на звено за управление на НСМ да бъде институционализирано в администрацията (например в НССЗ) като специфични задачи се възлагат на външни изпълнители. По този начин ще се гарантира непрекъснатост на функциониране на мрежата. </w:t>
            </w:r>
          </w:p>
        </w:tc>
      </w:tr>
    </w:tbl>
    <w:p w14:paraId="65996084" w14:textId="77777777" w:rsidR="00E8617E" w:rsidRPr="00BC513A" w:rsidRDefault="00E8617E" w:rsidP="00E8617E">
      <w:pPr>
        <w:pStyle w:val="DefaultText"/>
        <w:rPr>
          <w:lang w:val="bg-BG"/>
        </w:rPr>
      </w:pPr>
    </w:p>
    <w:p w14:paraId="48188E15" w14:textId="77777777" w:rsidR="00E8617E" w:rsidRPr="00BC513A" w:rsidRDefault="00E8617E" w:rsidP="00E8617E">
      <w:pPr>
        <w:sectPr w:rsidR="00E8617E" w:rsidRPr="00BC513A" w:rsidSect="00922731">
          <w:pgSz w:w="11906" w:h="16838" w:code="9"/>
          <w:pgMar w:top="1417" w:right="1417" w:bottom="1417" w:left="1418" w:header="708" w:footer="708" w:gutter="0"/>
          <w:cols w:space="708"/>
          <w:docGrid w:linePitch="360"/>
        </w:sectPr>
      </w:pPr>
    </w:p>
    <w:p w14:paraId="710F8535" w14:textId="77777777" w:rsidR="00E8617E" w:rsidRPr="00BC513A" w:rsidRDefault="00E8617E" w:rsidP="00E8617E">
      <w:pPr>
        <w:pStyle w:val="Heading1"/>
        <w:numPr>
          <w:ilvl w:val="0"/>
          <w:numId w:val="0"/>
        </w:numPr>
        <w:rPr>
          <w:lang w:val="bg-BG"/>
        </w:rPr>
      </w:pPr>
      <w:bookmarkStart w:id="212" w:name="_Toc504136167"/>
      <w:r w:rsidRPr="00BC513A">
        <w:rPr>
          <w:lang w:val="bg-BG"/>
        </w:rPr>
        <w:t>Приложения</w:t>
      </w:r>
      <w:bookmarkEnd w:id="212"/>
    </w:p>
    <w:p w14:paraId="7B762A53" w14:textId="77777777" w:rsidR="00E8617E" w:rsidRPr="00BC513A" w:rsidRDefault="00E8617E" w:rsidP="00E8617E">
      <w:pPr>
        <w:pStyle w:val="Heading2"/>
        <w:numPr>
          <w:ilvl w:val="0"/>
          <w:numId w:val="0"/>
        </w:numPr>
      </w:pPr>
      <w:bookmarkStart w:id="213" w:name="_Toc504136168"/>
      <w:r w:rsidRPr="00BC513A">
        <w:t>Приложение 1 Използвани документи</w:t>
      </w:r>
      <w:bookmarkEnd w:id="213"/>
    </w:p>
    <w:p w14:paraId="7F42BDE4"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Cambria" w:hAnsi="Arial" w:cs="Arial"/>
          <w:color w:val="000000"/>
        </w:rPr>
        <w:t>Стратегически насоки на Общността (</w:t>
      </w:r>
      <w:r w:rsidRPr="00BC513A">
        <w:rPr>
          <w:rFonts w:ascii="Arial" w:eastAsia="Cambria" w:hAnsi="Arial" w:cs="Arial"/>
          <w:i/>
          <w:color w:val="000000"/>
        </w:rPr>
        <w:t>Council decision 2006/144/EC of 20 February 2006 on Community strategic guidelines for rural development</w:t>
      </w:r>
      <w:r w:rsidRPr="00BC513A">
        <w:rPr>
          <w:rFonts w:ascii="Arial" w:eastAsia="Cambria" w:hAnsi="Arial" w:cs="Arial"/>
          <w:color w:val="000000"/>
        </w:rPr>
        <w:t>);</w:t>
      </w:r>
    </w:p>
    <w:p w14:paraId="3E7BCAE4" w14:textId="77777777" w:rsidR="00E8617E" w:rsidRPr="00BC513A" w:rsidRDefault="000161DB" w:rsidP="00E8617E">
      <w:pPr>
        <w:widowControl w:val="0"/>
        <w:autoSpaceDE w:val="0"/>
        <w:autoSpaceDN w:val="0"/>
        <w:adjustRightInd w:val="0"/>
        <w:spacing w:after="120" w:line="276" w:lineRule="auto"/>
        <w:ind w:left="357"/>
        <w:jc w:val="both"/>
        <w:rPr>
          <w:rFonts w:ascii="Arial" w:eastAsia="Times New Roman" w:hAnsi="Arial" w:cs="Arial"/>
        </w:rPr>
      </w:pPr>
      <w:hyperlink r:id="rId72" w:tgtFrame="_blank" w:history="1">
        <w:r w:rsidR="00E8617E" w:rsidRPr="00BC513A">
          <w:rPr>
            <w:rFonts w:ascii="Arial" w:eastAsia="Cambria" w:hAnsi="Arial" w:cs="Arial"/>
            <w:color w:val="000000"/>
          </w:rPr>
          <w:t xml:space="preserve">Национален стратегически план за развитие на селските райони 2007-2013 г.; </w:t>
        </w:r>
      </w:hyperlink>
    </w:p>
    <w:p w14:paraId="2E23586F"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 xml:space="preserve">Доклад на Комисията до Съвета, до Европейския парламент, до Европейския икономически съвет и до Комитета на Регионите относно изпълнението на националните стратегически планове и стратегическите насоки на Общността за развитие на селските райони (2007-2013 г.); </w:t>
      </w:r>
    </w:p>
    <w:p w14:paraId="1D04585E" w14:textId="77777777" w:rsidR="00E8617E" w:rsidRPr="002153B5"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Съобщение на Комисията до Европейския парламент, Съвета, Европейския икономически и социален комитет и Комитета на регионите „Общата селскостопанска политика през 2020 г.: подготовка за бъдещите предизвикателства в областта на хранителното снабдяване, природните ресурси и териториалния баланс.</w:t>
      </w:r>
    </w:p>
    <w:p w14:paraId="4ABED0E9"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Програма за развитие на селските райони 2007-2013 г.</w:t>
      </w:r>
    </w:p>
    <w:p w14:paraId="15614E6B" w14:textId="77777777" w:rsidR="00E8617E" w:rsidRPr="00BC513A" w:rsidRDefault="00320533"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Програма</w:t>
      </w:r>
      <w:r w:rsidR="00E8617E" w:rsidRPr="00BC513A">
        <w:rPr>
          <w:rFonts w:ascii="Arial" w:eastAsia="Times New Roman" w:hAnsi="Arial" w:cs="Arial"/>
        </w:rPr>
        <w:t xml:space="preserve"> за развитие на селските райони 2014-2020 г.</w:t>
      </w:r>
    </w:p>
    <w:p w14:paraId="510A1532"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Регламент (ЕО) № 1698/2005 на ЕК за подкрепа на развитието на селските райони, чрез Европейския земеделски фонд за развитие на селските райони (ЕСФРСР) и неговите изменения;</w:t>
      </w:r>
    </w:p>
    <w:p w14:paraId="0ADBED18"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Регламент (ЕО) № 1698/2005 на ЕК за подкрепа на развитието на селските райони, чрез Европейския земеделски фонд за развитие на селските райони (ЕСФРСР) и неговите изменения;</w:t>
      </w:r>
    </w:p>
    <w:p w14:paraId="32236199"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Регламент (ЕО) № 1974/2006 на ЕК за определянето на подробни правила за прилагане на Регламент (ЕО) № 1698/2005 на Съвета относно подпомагане на развитието на селските райони от Европейския земеделски фонд за развитие на селските райони (ЕЗФРСР), и неговите изменения;</w:t>
      </w:r>
    </w:p>
    <w:p w14:paraId="1264070C"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14:paraId="226F1062"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Регламент (ЕО)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w:t>
      </w:r>
    </w:p>
    <w:p w14:paraId="19D43BD9"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Регламент (ЕО) № 1305/2013 на ЕК за подкрепа на развитието на селските райони чрез Европейския земеделски фонд за развитие на селските райони (ЕЗФРСР);</w:t>
      </w:r>
    </w:p>
    <w:p w14:paraId="7E08A8CE"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Регламент (ЕС) № 1306/2013 на Европейския парламент и на Съвета от 17 декември 2013 година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w:t>
      </w:r>
    </w:p>
    <w:p w14:paraId="2D40D0C9"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1308/2013на Европейския парламент и на Съвета във връзка с прилагането им през 2014 г.</w:t>
      </w:r>
    </w:p>
    <w:p w14:paraId="2A9682DE"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Наредби за прилагане на мерките по ПРСР 2007-2013 г.</w:t>
      </w:r>
    </w:p>
    <w:p w14:paraId="6B273BF0"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Влияние на общата селскостопанска политика на ЕС върху българското земеделие, МЗХГ, 2017 г.</w:t>
      </w:r>
    </w:p>
    <w:p w14:paraId="5B33565B"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Регионални планове за развитие</w:t>
      </w:r>
    </w:p>
    <w:p w14:paraId="5B84B7C0"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Общински планове за развитие</w:t>
      </w:r>
    </w:p>
    <w:p w14:paraId="0D8A20A9"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Стратегии за местно развитие на Местни инициативни групи.</w:t>
      </w:r>
    </w:p>
    <w:p w14:paraId="0713BA0E"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 xml:space="preserve">Годишни доклади за изпълнение на </w:t>
      </w:r>
      <w:r w:rsidR="006C1D34">
        <w:rPr>
          <w:rFonts w:ascii="Arial" w:eastAsia="Times New Roman" w:hAnsi="Arial" w:cs="Arial"/>
        </w:rPr>
        <w:t>п</w:t>
      </w:r>
      <w:r w:rsidRPr="00BC513A">
        <w:rPr>
          <w:rFonts w:ascii="Arial" w:eastAsia="Times New Roman" w:hAnsi="Arial" w:cs="Arial"/>
        </w:rPr>
        <w:t>рограмата</w:t>
      </w:r>
    </w:p>
    <w:p w14:paraId="1AD56994" w14:textId="77777777" w:rsidR="00E8617E" w:rsidRPr="00BC513A" w:rsidRDefault="00E8617E" w:rsidP="00E8617E">
      <w:pPr>
        <w:widowControl w:val="0"/>
        <w:autoSpaceDE w:val="0"/>
        <w:autoSpaceDN w:val="0"/>
        <w:adjustRightInd w:val="0"/>
        <w:spacing w:after="120" w:line="276" w:lineRule="auto"/>
        <w:ind w:left="357"/>
        <w:jc w:val="both"/>
        <w:rPr>
          <w:rFonts w:ascii="Arial" w:eastAsia="Cambria" w:hAnsi="Arial" w:cs="Arial"/>
          <w:color w:val="000000"/>
        </w:rPr>
      </w:pPr>
      <w:r w:rsidRPr="00BC513A">
        <w:rPr>
          <w:rFonts w:ascii="Arial" w:eastAsia="Cambria" w:hAnsi="Arial" w:cs="Arial"/>
          <w:color w:val="000000"/>
        </w:rPr>
        <w:t xml:space="preserve">Обща рамка за наблюдение и оценка (ОРНО) – </w:t>
      </w:r>
      <w:r w:rsidRPr="00BC513A">
        <w:rPr>
          <w:rFonts w:ascii="Arial" w:eastAsia="Cambria" w:hAnsi="Arial" w:cs="Arial"/>
          <w:i/>
          <w:color w:val="000000"/>
        </w:rPr>
        <w:t xml:space="preserve">Common monitoring end evaluation framework (CMEF) </w:t>
      </w:r>
    </w:p>
    <w:p w14:paraId="084018FA" w14:textId="0D351CB6"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 xml:space="preserve">Ръководство за последваща оценка на програмите за развитие на селските райони (2007-2013 г.) </w:t>
      </w:r>
      <w:r w:rsidR="00B95793">
        <w:rPr>
          <w:rFonts w:ascii="Arial" w:eastAsia="Times New Roman" w:hAnsi="Arial" w:cs="Arial"/>
        </w:rPr>
        <w:t>–</w:t>
      </w:r>
      <w:r w:rsidRPr="00BC513A">
        <w:rPr>
          <w:rFonts w:ascii="Arial" w:eastAsia="Times New Roman" w:hAnsi="Arial" w:cs="Arial"/>
        </w:rPr>
        <w:t xml:space="preserve"> Guidelines for the ex post evaluation of 2007-2013 RDPs, изготвено от  Европейската мрежа за оценка на развитието на селските райони </w:t>
      </w:r>
      <w:r w:rsidR="00B95793">
        <w:rPr>
          <w:rFonts w:ascii="Arial" w:eastAsia="Times New Roman" w:hAnsi="Arial" w:cs="Arial"/>
        </w:rPr>
        <w:t>–</w:t>
      </w:r>
      <w:r w:rsidRPr="00BC513A">
        <w:rPr>
          <w:rFonts w:ascii="Arial" w:eastAsia="Times New Roman" w:hAnsi="Arial" w:cs="Arial"/>
        </w:rPr>
        <w:t xml:space="preserve"> European Evaluation Network for Rural Development</w:t>
      </w:r>
    </w:p>
    <w:p w14:paraId="1E0AE9DE"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Стратегическа оценка на околната среда на ПРСР 2014-2020 г.</w:t>
      </w:r>
    </w:p>
    <w:p w14:paraId="23BAA239" w14:textId="77777777" w:rsidR="00E8617E" w:rsidRPr="00BC513A" w:rsidRDefault="00E8617E" w:rsidP="00E8617E">
      <w:pPr>
        <w:widowControl w:val="0"/>
        <w:autoSpaceDE w:val="0"/>
        <w:autoSpaceDN w:val="0"/>
        <w:adjustRightInd w:val="0"/>
        <w:spacing w:after="120" w:line="276" w:lineRule="auto"/>
        <w:ind w:left="357"/>
        <w:jc w:val="both"/>
        <w:rPr>
          <w:rFonts w:ascii="Arial" w:eastAsia="Cambria" w:hAnsi="Arial" w:cs="Arial"/>
          <w:color w:val="000000"/>
        </w:rPr>
      </w:pPr>
      <w:r w:rsidRPr="00BC513A">
        <w:rPr>
          <w:rFonts w:ascii="Arial" w:eastAsia="Cambria" w:hAnsi="Arial" w:cs="Arial"/>
          <w:color w:val="000000"/>
        </w:rPr>
        <w:t>Предварителна (ex ante) оценка на ПРСР (</w:t>
      </w:r>
      <w:r w:rsidRPr="00BC513A">
        <w:rPr>
          <w:rFonts w:ascii="Arial" w:eastAsia="Times New Roman" w:hAnsi="Arial" w:cs="Arial"/>
        </w:rPr>
        <w:t>2014-2020г.)</w:t>
      </w:r>
    </w:p>
    <w:p w14:paraId="49EE1D81"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Текуща и междинна оценка на изпълнението на ПРСР в периода 2008–2010 г.</w:t>
      </w:r>
    </w:p>
    <w:p w14:paraId="4EEEAB90"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Текуща оценка на изпълнението на ПРСР за 2011, 2012 и 2013 г</w:t>
      </w:r>
      <w:r w:rsidRPr="00BC513A">
        <w:rPr>
          <w:rFonts w:ascii="Arial" w:eastAsia="Times New Roman" w:hAnsi="Arial" w:cs="Arial"/>
          <w:b/>
        </w:rPr>
        <w:t>.</w:t>
      </w:r>
      <w:r w:rsidRPr="00BC513A">
        <w:rPr>
          <w:rFonts w:ascii="Arial" w:eastAsia="Times New Roman" w:hAnsi="Arial" w:cs="Arial"/>
        </w:rPr>
        <w:t xml:space="preserve"> </w:t>
      </w:r>
    </w:p>
    <w:p w14:paraId="35389B04"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Данни, предоставени от ДФЗ.</w:t>
      </w:r>
    </w:p>
    <w:p w14:paraId="579FAAEA"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r w:rsidRPr="00BC513A">
        <w:rPr>
          <w:rFonts w:ascii="Arial" w:eastAsia="Times New Roman" w:hAnsi="Arial" w:cs="Arial"/>
        </w:rPr>
        <w:t>Окончателен доклад от изпълнението на договора за НСМ</w:t>
      </w:r>
    </w:p>
    <w:p w14:paraId="236CB145" w14:textId="77777777" w:rsidR="00E8617E" w:rsidRPr="00BC513A" w:rsidRDefault="00E8617E" w:rsidP="00E8617E">
      <w:pPr>
        <w:widowControl w:val="0"/>
        <w:autoSpaceDE w:val="0"/>
        <w:autoSpaceDN w:val="0"/>
        <w:adjustRightInd w:val="0"/>
        <w:spacing w:after="120" w:line="276" w:lineRule="auto"/>
        <w:ind w:left="357"/>
        <w:jc w:val="both"/>
        <w:rPr>
          <w:rFonts w:ascii="Arial" w:eastAsia="Times New Roman" w:hAnsi="Arial" w:cs="Arial"/>
        </w:rPr>
      </w:pPr>
    </w:p>
    <w:p w14:paraId="1BD96AE0" w14:textId="77777777" w:rsidR="00E8617E" w:rsidRPr="00BC513A" w:rsidRDefault="00E8617E" w:rsidP="00E8617E">
      <w:pPr>
        <w:pStyle w:val="Caption"/>
        <w:spacing w:before="240" w:after="0"/>
        <w:rPr>
          <w:rFonts w:ascii="Arial" w:hAnsi="Arial" w:cs="Arial"/>
          <w:b/>
          <w:i w:val="0"/>
          <w:color w:val="0070C0"/>
          <w:sz w:val="20"/>
          <w:szCs w:val="20"/>
        </w:rPr>
      </w:pPr>
      <w:r w:rsidRPr="00BC513A">
        <w:rPr>
          <w:rFonts w:ascii="Arial" w:hAnsi="Arial" w:cs="Arial"/>
          <w:b/>
          <w:i w:val="0"/>
          <w:color w:val="0070C0"/>
          <w:sz w:val="20"/>
          <w:szCs w:val="20"/>
        </w:rPr>
        <w:br w:type="page"/>
      </w:r>
    </w:p>
    <w:p w14:paraId="7EE5DFCC" w14:textId="77777777" w:rsidR="00E8617E" w:rsidRPr="00BC513A" w:rsidRDefault="00E8617E" w:rsidP="00E8617E">
      <w:pPr>
        <w:pStyle w:val="Heading2"/>
        <w:numPr>
          <w:ilvl w:val="0"/>
          <w:numId w:val="0"/>
        </w:numPr>
      </w:pPr>
      <w:bookmarkStart w:id="214" w:name="_Toc504136169"/>
      <w:r w:rsidRPr="00BC513A">
        <w:t>Приложение 2. Промени в ПРСР 2007-2013</w:t>
      </w:r>
      <w:bookmarkEnd w:id="21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
        <w:gridCol w:w="8621"/>
      </w:tblGrid>
      <w:tr w:rsidR="00E8617E" w:rsidRPr="00BC513A" w14:paraId="3BF9A140" w14:textId="77777777" w:rsidTr="00922731">
        <w:tc>
          <w:tcPr>
            <w:tcW w:w="439" w:type="dxa"/>
            <w:shd w:val="clear" w:color="auto" w:fill="1F4E79" w:themeFill="accent1" w:themeFillShade="80"/>
          </w:tcPr>
          <w:p w14:paraId="53C79FCD"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 xml:space="preserve">№ </w:t>
            </w:r>
          </w:p>
        </w:tc>
        <w:tc>
          <w:tcPr>
            <w:tcW w:w="8621" w:type="dxa"/>
            <w:shd w:val="clear" w:color="auto" w:fill="1F4E79" w:themeFill="accent1" w:themeFillShade="80"/>
          </w:tcPr>
          <w:p w14:paraId="2C4A5DB5" w14:textId="77777777" w:rsidR="00E8617E" w:rsidRPr="00BC513A" w:rsidRDefault="00E8617E" w:rsidP="00922731">
            <w:pPr>
              <w:pStyle w:val="DefaultText"/>
              <w:spacing w:after="120" w:line="300" w:lineRule="atLeast"/>
              <w:rPr>
                <w:b/>
                <w:color w:val="FFFFFF" w:themeColor="background1"/>
                <w:sz w:val="20"/>
                <w:szCs w:val="20"/>
                <w:lang w:val="bg-BG"/>
              </w:rPr>
            </w:pPr>
            <w:r w:rsidRPr="00BC513A">
              <w:rPr>
                <w:b/>
                <w:color w:val="FFFFFF" w:themeColor="background1"/>
                <w:sz w:val="20"/>
                <w:szCs w:val="20"/>
                <w:lang w:val="bg-BG"/>
              </w:rPr>
              <w:t>Предмет на промените</w:t>
            </w:r>
          </w:p>
        </w:tc>
      </w:tr>
      <w:tr w:rsidR="00E8617E" w:rsidRPr="00BC513A" w14:paraId="69B55E56" w14:textId="77777777" w:rsidTr="00922731">
        <w:tc>
          <w:tcPr>
            <w:tcW w:w="439" w:type="dxa"/>
          </w:tcPr>
          <w:p w14:paraId="72ABEC70"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1</w:t>
            </w:r>
          </w:p>
        </w:tc>
        <w:tc>
          <w:tcPr>
            <w:tcW w:w="8621" w:type="dxa"/>
          </w:tcPr>
          <w:p w14:paraId="489A7CDF" w14:textId="3EE7CD7D"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eastAsia="bg-BG"/>
              </w:rPr>
              <w:t>Изменение в обхвата и дефинициите на мярка 511 „Техническа помощ“</w:t>
            </w:r>
            <w:r w:rsidR="00F3155A">
              <w:rPr>
                <w:rFonts w:cs="Arial"/>
                <w:sz w:val="20"/>
                <w:szCs w:val="20"/>
                <w:lang w:val="bg-BG" w:eastAsia="bg-BG"/>
              </w:rPr>
              <w:t xml:space="preserve"> –</w:t>
            </w:r>
            <w:r w:rsidRPr="00BC513A">
              <w:rPr>
                <w:rFonts w:cs="Arial"/>
                <w:sz w:val="20"/>
                <w:szCs w:val="20"/>
                <w:lang w:val="bg-BG" w:eastAsia="bg-BG"/>
              </w:rPr>
              <w:t xml:space="preserve"> добавяне на възможност за наемане на допълнителен експертен капацитет.</w:t>
            </w:r>
          </w:p>
        </w:tc>
      </w:tr>
      <w:tr w:rsidR="00E8617E" w:rsidRPr="00BC513A" w14:paraId="05F15BE1" w14:textId="77777777" w:rsidTr="00922731">
        <w:tc>
          <w:tcPr>
            <w:tcW w:w="439" w:type="dxa"/>
          </w:tcPr>
          <w:p w14:paraId="6DF0F596"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2</w:t>
            </w:r>
          </w:p>
        </w:tc>
        <w:tc>
          <w:tcPr>
            <w:tcW w:w="8621" w:type="dxa"/>
          </w:tcPr>
          <w:p w14:paraId="500A6E5B"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 xml:space="preserve">Промени в периода на обхват на мерки 41, 421 и 431-1 от ос 4 ЛИДЕР тъй като стартирането на посочените мерки, зависи от изпълнението на мярка 431-2. Изпълнението на мярка 431-2 закъснява спрямо предвидените срокове. </w:t>
            </w:r>
          </w:p>
          <w:p w14:paraId="3B38846E"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 xml:space="preserve">Промени в условията за получаване на държавни помощи с цел включване на юридически лица с нестопанска цел и читалищата, генериращи приходи в обществен интерес. Тези организации имат трудности да се осигурят частно участие и поради това се предвижда 100% финансиране от </w:t>
            </w:r>
            <w:r w:rsidR="006C1D34">
              <w:rPr>
                <w:rFonts w:cs="Arial"/>
                <w:sz w:val="20"/>
                <w:szCs w:val="20"/>
                <w:lang w:val="bg-BG" w:eastAsia="bg-BG"/>
              </w:rPr>
              <w:t>п</w:t>
            </w:r>
            <w:r w:rsidRPr="00BC513A">
              <w:rPr>
                <w:rFonts w:cs="Arial"/>
                <w:sz w:val="20"/>
                <w:szCs w:val="20"/>
                <w:lang w:val="bg-BG" w:eastAsia="bg-BG"/>
              </w:rPr>
              <w:t>рограмата.</w:t>
            </w:r>
          </w:p>
          <w:p w14:paraId="023D54F8"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eastAsia="bg-BG"/>
              </w:rPr>
              <w:t>Увеличаване на нивата на помощ за планинските необлагодетелствани райони по ос 2.</w:t>
            </w:r>
          </w:p>
        </w:tc>
      </w:tr>
      <w:tr w:rsidR="00E8617E" w:rsidRPr="00BC513A" w14:paraId="543E805D" w14:textId="77777777" w:rsidTr="00922731">
        <w:tc>
          <w:tcPr>
            <w:tcW w:w="439" w:type="dxa"/>
          </w:tcPr>
          <w:p w14:paraId="175E798B"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3</w:t>
            </w:r>
          </w:p>
        </w:tc>
        <w:tc>
          <w:tcPr>
            <w:tcW w:w="8621" w:type="dxa"/>
          </w:tcPr>
          <w:p w14:paraId="1E6999D0"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Изменения, свързани с Европейския план за икономическо възстановяване (ЕПИВ). Допълнителният бюджет от 36,83 млн. евро  по линия на ЕПИВ за 2009 г. и 2010 г. е насочен към дейностите по ос 1 и ос 3 на ПРСР, свързани с управлението на водите (56% от средствата), възобновяемата енергия (35%)  и преструктуриране на млечния сектор (9%). В допълнение инвестициите за някои приоритетни дейности са увеличени с 10% и за някои мерки авансовото плащане се увеличава от 20% на 50%. По мярка 431-1 са въведени авансови плащания от 20%</w:t>
            </w:r>
          </w:p>
        </w:tc>
      </w:tr>
      <w:tr w:rsidR="00E8617E" w:rsidRPr="00BC513A" w14:paraId="40D6493C" w14:textId="77777777" w:rsidTr="00922731">
        <w:tc>
          <w:tcPr>
            <w:tcW w:w="439" w:type="dxa"/>
          </w:tcPr>
          <w:p w14:paraId="7CCF5007"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4</w:t>
            </w:r>
          </w:p>
        </w:tc>
        <w:tc>
          <w:tcPr>
            <w:tcW w:w="8621" w:type="dxa"/>
          </w:tcPr>
          <w:p w14:paraId="383E15C7"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Удължаване на периода на подкрепа по мярка 121 и удължаване на периода на предоставяне на консултантски услуги и на периода за участие в базово агроекологично обучение.</w:t>
            </w:r>
          </w:p>
        </w:tc>
      </w:tr>
      <w:tr w:rsidR="00E8617E" w:rsidRPr="00BC513A" w14:paraId="062502CD" w14:textId="77777777" w:rsidTr="00922731">
        <w:tc>
          <w:tcPr>
            <w:tcW w:w="439" w:type="dxa"/>
          </w:tcPr>
          <w:p w14:paraId="77C469BF"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5</w:t>
            </w:r>
          </w:p>
        </w:tc>
        <w:tc>
          <w:tcPr>
            <w:tcW w:w="8621" w:type="dxa"/>
          </w:tcPr>
          <w:p w14:paraId="4519B441"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 xml:space="preserve">Промени в критериите за подбор на мярка 121 „Модернизиране на земеделските стопанства”, и мярка  114 „Използване на консултантски услуги от фермери и собственици и/или ползватели на гори  (за 2010-2013г.)” </w:t>
            </w:r>
          </w:p>
        </w:tc>
      </w:tr>
      <w:tr w:rsidR="00E8617E" w:rsidRPr="00BC513A" w14:paraId="4D2B78BD" w14:textId="77777777" w:rsidTr="00922731">
        <w:tc>
          <w:tcPr>
            <w:tcW w:w="439" w:type="dxa"/>
          </w:tcPr>
          <w:p w14:paraId="54E91623"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6</w:t>
            </w:r>
          </w:p>
        </w:tc>
        <w:tc>
          <w:tcPr>
            <w:tcW w:w="8621" w:type="dxa"/>
          </w:tcPr>
          <w:p w14:paraId="0D03283E"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Изменения по мерките от ПРСР, с цел облекчаване условията за кандидатстване и намаляване на административната тежест, също така прехвърляне на средства между мерки и оси.</w:t>
            </w:r>
          </w:p>
        </w:tc>
      </w:tr>
      <w:tr w:rsidR="00E8617E" w:rsidRPr="00BC513A" w14:paraId="4E91CC63" w14:textId="77777777" w:rsidTr="00922731">
        <w:tc>
          <w:tcPr>
            <w:tcW w:w="439" w:type="dxa"/>
          </w:tcPr>
          <w:p w14:paraId="17C3B691"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7</w:t>
            </w:r>
          </w:p>
        </w:tc>
        <w:tc>
          <w:tcPr>
            <w:tcW w:w="8621" w:type="dxa"/>
          </w:tcPr>
          <w:p w14:paraId="4A3F8C3A"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Прехвърляне на средства в размер на 304 млн. евро към мерки 112, 121 и 321.</w:t>
            </w:r>
          </w:p>
          <w:p w14:paraId="02F365B7"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Нова инвестиция по мярка 321 за изграждане и подобряване на центрове за социални услуги за деца/младежи, включени в Плана за действие към Националната стратегия „Визия за деинституционализацията на децата в Република България”.</w:t>
            </w:r>
          </w:p>
        </w:tc>
      </w:tr>
      <w:tr w:rsidR="00E8617E" w:rsidRPr="00BC513A" w14:paraId="3A781450" w14:textId="77777777" w:rsidTr="00922731">
        <w:tc>
          <w:tcPr>
            <w:tcW w:w="439" w:type="dxa"/>
          </w:tcPr>
          <w:p w14:paraId="4A5AC091"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8</w:t>
            </w:r>
          </w:p>
        </w:tc>
        <w:tc>
          <w:tcPr>
            <w:tcW w:w="8621" w:type="dxa"/>
          </w:tcPr>
          <w:p w14:paraId="169A59EA" w14:textId="5E53DF81" w:rsidR="00E8617E" w:rsidRPr="00BC513A" w:rsidRDefault="00E8617E" w:rsidP="00F3155A">
            <w:pPr>
              <w:pStyle w:val="DefaultText"/>
              <w:spacing w:after="120" w:line="300" w:lineRule="atLeast"/>
              <w:rPr>
                <w:rFonts w:cs="Arial"/>
                <w:sz w:val="20"/>
                <w:szCs w:val="20"/>
                <w:lang w:val="bg-BG" w:eastAsia="bg-BG"/>
              </w:rPr>
            </w:pPr>
            <w:r w:rsidRPr="00BC513A">
              <w:rPr>
                <w:rFonts w:cs="Arial"/>
                <w:sz w:val="20"/>
                <w:szCs w:val="20"/>
                <w:lang w:val="bg-BG" w:eastAsia="bg-BG"/>
              </w:rPr>
              <w:t>Създаване на Гаранционен фонд по ПРСР, който е учреден като отделен финансов блок в рамките на „Национален гаранционен фонд” ЕАД (част от Българска</w:t>
            </w:r>
            <w:r w:rsidR="00F3155A">
              <w:rPr>
                <w:rFonts w:cs="Arial"/>
                <w:sz w:val="20"/>
                <w:szCs w:val="20"/>
                <w:lang w:val="bg-BG" w:eastAsia="bg-BG"/>
              </w:rPr>
              <w:t>та</w:t>
            </w:r>
            <w:r w:rsidRPr="00BC513A">
              <w:rPr>
                <w:rFonts w:cs="Arial"/>
                <w:sz w:val="20"/>
                <w:szCs w:val="20"/>
                <w:lang w:val="bg-BG" w:eastAsia="bg-BG"/>
              </w:rPr>
              <w:t xml:space="preserve"> </w:t>
            </w:r>
            <w:r w:rsidR="00F3155A">
              <w:rPr>
                <w:rFonts w:cs="Arial"/>
                <w:sz w:val="20"/>
                <w:szCs w:val="20"/>
                <w:lang w:val="bg-BG" w:eastAsia="bg-BG"/>
              </w:rPr>
              <w:t>б</w:t>
            </w:r>
            <w:r w:rsidRPr="00BC513A">
              <w:rPr>
                <w:rFonts w:cs="Arial"/>
                <w:sz w:val="20"/>
                <w:szCs w:val="20"/>
                <w:lang w:val="bg-BG" w:eastAsia="bg-BG"/>
              </w:rPr>
              <w:t xml:space="preserve">анка за </w:t>
            </w:r>
            <w:r w:rsidR="00F3155A">
              <w:rPr>
                <w:rFonts w:cs="Arial"/>
                <w:sz w:val="20"/>
                <w:szCs w:val="20"/>
                <w:lang w:val="bg-BG" w:eastAsia="bg-BG"/>
              </w:rPr>
              <w:t>р</w:t>
            </w:r>
            <w:r w:rsidRPr="00BC513A">
              <w:rPr>
                <w:rFonts w:cs="Arial"/>
                <w:sz w:val="20"/>
                <w:szCs w:val="20"/>
                <w:lang w:val="bg-BG" w:eastAsia="bg-BG"/>
              </w:rPr>
              <w:t>азвитие) с капитал в размер на 121 100 000 евро, от които приносът на Общността е в размер на 96 880 000 евро, а националният принос е в размер на 24 220</w:t>
            </w:r>
            <w:r w:rsidR="00F3155A" w:rsidRPr="00BC513A">
              <w:rPr>
                <w:rFonts w:cs="Arial"/>
                <w:sz w:val="20"/>
                <w:szCs w:val="20"/>
                <w:lang w:val="bg-BG" w:eastAsia="bg-BG"/>
              </w:rPr>
              <w:t> </w:t>
            </w:r>
            <w:r w:rsidRPr="00BC513A">
              <w:rPr>
                <w:rFonts w:cs="Arial"/>
                <w:sz w:val="20"/>
                <w:szCs w:val="20"/>
                <w:lang w:val="bg-BG" w:eastAsia="bg-BG"/>
              </w:rPr>
              <w:t>000 евро.</w:t>
            </w:r>
          </w:p>
        </w:tc>
      </w:tr>
      <w:tr w:rsidR="00E8617E" w:rsidRPr="00BC513A" w14:paraId="7BFA9441" w14:textId="77777777" w:rsidTr="00922731">
        <w:tc>
          <w:tcPr>
            <w:tcW w:w="439" w:type="dxa"/>
          </w:tcPr>
          <w:p w14:paraId="2BB024A5"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9</w:t>
            </w:r>
          </w:p>
        </w:tc>
        <w:tc>
          <w:tcPr>
            <w:tcW w:w="8621" w:type="dxa"/>
          </w:tcPr>
          <w:p w14:paraId="1F7A90C8" w14:textId="1951D641"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 xml:space="preserve">Промени в раздел 5.1.4. „Гаранционна схема“ от ПРСР 2007-2013. Отпада възможността чрез създадения Гаранционен фонд да се предоставят  „гаранции за авансово плащане“  на бенефициенти (предприятия по смисъла на Закона за малки и средни предприятия) с одобрени проекти по мерки 121,122 и 123. </w:t>
            </w:r>
          </w:p>
          <w:p w14:paraId="3C10FD08" w14:textId="400536F4"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38</w:t>
            </w:r>
            <w:r w:rsidR="00F3155A" w:rsidRPr="00BC513A">
              <w:rPr>
                <w:rFonts w:cs="Arial"/>
                <w:sz w:val="20"/>
                <w:szCs w:val="20"/>
                <w:lang w:val="bg-BG" w:eastAsia="bg-BG"/>
              </w:rPr>
              <w:t> </w:t>
            </w:r>
            <w:r w:rsidRPr="00BC513A">
              <w:rPr>
                <w:rFonts w:cs="Arial"/>
                <w:sz w:val="20"/>
                <w:szCs w:val="20"/>
                <w:lang w:val="bg-BG" w:eastAsia="bg-BG"/>
              </w:rPr>
              <w:t>889</w:t>
            </w:r>
            <w:r w:rsidR="00F3155A" w:rsidRPr="00BC513A">
              <w:rPr>
                <w:rFonts w:cs="Arial"/>
                <w:sz w:val="20"/>
                <w:szCs w:val="20"/>
                <w:lang w:val="bg-BG" w:eastAsia="bg-BG"/>
              </w:rPr>
              <w:t> </w:t>
            </w:r>
            <w:r w:rsidRPr="00BC513A">
              <w:rPr>
                <w:rFonts w:cs="Arial"/>
                <w:sz w:val="20"/>
                <w:szCs w:val="20"/>
                <w:lang w:val="bg-BG" w:eastAsia="bg-BG"/>
              </w:rPr>
              <w:t xml:space="preserve">475.72 евро от бюджет 2009 на Финансовия план на </w:t>
            </w:r>
            <w:r w:rsidR="006C1D34">
              <w:rPr>
                <w:rFonts w:cs="Arial"/>
                <w:sz w:val="20"/>
                <w:szCs w:val="20"/>
                <w:lang w:val="bg-BG" w:eastAsia="bg-BG"/>
              </w:rPr>
              <w:t>п</w:t>
            </w:r>
            <w:r w:rsidRPr="00BC513A">
              <w:rPr>
                <w:rFonts w:cs="Arial"/>
                <w:sz w:val="20"/>
                <w:szCs w:val="20"/>
                <w:lang w:val="bg-BG" w:eastAsia="bg-BG"/>
              </w:rPr>
              <w:t>рограмата и съответно от общия бюджет по оси и мерки са отчислени от мерки 111, 114  и 214. Изменят се някои от общите и специфични индикатори по мерки 111, 114 и 214.</w:t>
            </w:r>
          </w:p>
          <w:p w14:paraId="72C7F478"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Средства в размер на 202.7 млн. евро се прехвърлят към бюджета на мярка 321 "Основни услуги за населението и икономиката в селските райони", 30.5 млн. евро публични средства са предложени за прехвърляне към мярка 322 "Обновяване и развитие на населените места", а 29.1 млн. евро се прехвърлят към бюджета на мярка 123 "Добавяне на стойност към земеделски и горски продукти".</w:t>
            </w:r>
          </w:p>
        </w:tc>
      </w:tr>
      <w:tr w:rsidR="00E8617E" w:rsidRPr="00BC513A" w14:paraId="466EC51F" w14:textId="77777777" w:rsidTr="00922731">
        <w:tc>
          <w:tcPr>
            <w:tcW w:w="439" w:type="dxa"/>
          </w:tcPr>
          <w:p w14:paraId="57167AC5"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10</w:t>
            </w:r>
          </w:p>
        </w:tc>
        <w:tc>
          <w:tcPr>
            <w:tcW w:w="8621" w:type="dxa"/>
          </w:tcPr>
          <w:p w14:paraId="1470CCD5"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Изменение на мярка 213. Изменение на текста на мярка 214 с разширяване на обхвата на прилагане. Удължаване на срока (до 31.08.2015 г.) за предоставяне на съветнически услуги на земеделските производители по мярка 143.</w:t>
            </w:r>
          </w:p>
        </w:tc>
      </w:tr>
      <w:tr w:rsidR="00E8617E" w:rsidRPr="00BC513A" w14:paraId="0ADC3A0C" w14:textId="77777777" w:rsidTr="00922731">
        <w:tc>
          <w:tcPr>
            <w:tcW w:w="439" w:type="dxa"/>
          </w:tcPr>
          <w:p w14:paraId="228D0384"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11</w:t>
            </w:r>
          </w:p>
        </w:tc>
        <w:tc>
          <w:tcPr>
            <w:tcW w:w="8621" w:type="dxa"/>
          </w:tcPr>
          <w:p w14:paraId="16CC9CD9" w14:textId="5AF65FF0"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Намаление на финансовия план на ПРСР 2007-2013 г. след отразяване на автоматичното отчисление на средства за 2010 г. в размер на 51</w:t>
            </w:r>
            <w:r w:rsidR="00F3155A" w:rsidRPr="00BC513A">
              <w:rPr>
                <w:rFonts w:cs="Arial"/>
                <w:sz w:val="20"/>
                <w:szCs w:val="20"/>
                <w:lang w:val="bg-BG" w:eastAsia="bg-BG"/>
              </w:rPr>
              <w:t> </w:t>
            </w:r>
            <w:r w:rsidRPr="00BC513A">
              <w:rPr>
                <w:rFonts w:cs="Arial"/>
                <w:sz w:val="20"/>
                <w:szCs w:val="20"/>
                <w:lang w:val="bg-BG" w:eastAsia="bg-BG"/>
              </w:rPr>
              <w:t>099</w:t>
            </w:r>
            <w:r w:rsidR="00F3155A" w:rsidRPr="00BC513A">
              <w:rPr>
                <w:rFonts w:cs="Arial"/>
                <w:sz w:val="20"/>
                <w:szCs w:val="20"/>
                <w:lang w:val="bg-BG" w:eastAsia="bg-BG"/>
              </w:rPr>
              <w:t> </w:t>
            </w:r>
            <w:r w:rsidRPr="00BC513A">
              <w:rPr>
                <w:rFonts w:cs="Arial"/>
                <w:sz w:val="20"/>
                <w:szCs w:val="20"/>
                <w:lang w:val="bg-BG" w:eastAsia="bg-BG"/>
              </w:rPr>
              <w:t xml:space="preserve">532.78 евро средства от ЕЗФРСР. Средствата се отчисляват от бюджетите на мерки 112, 312, 313 и 321. </w:t>
            </w:r>
          </w:p>
          <w:p w14:paraId="42A9E5A8"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Прехвърлят се средства в рамките на приоритетна ос 2.</w:t>
            </w:r>
          </w:p>
        </w:tc>
      </w:tr>
      <w:tr w:rsidR="00E8617E" w:rsidRPr="00BC513A" w14:paraId="7892A0D5" w14:textId="77777777" w:rsidTr="00922731">
        <w:tc>
          <w:tcPr>
            <w:tcW w:w="439" w:type="dxa"/>
          </w:tcPr>
          <w:p w14:paraId="3DAB93EF"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12</w:t>
            </w:r>
          </w:p>
        </w:tc>
        <w:tc>
          <w:tcPr>
            <w:tcW w:w="8621" w:type="dxa"/>
          </w:tcPr>
          <w:p w14:paraId="7A570CCA"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Не е одобрено от ЕК. Искането е било за добавяне на нова схема за подпомагане в мярка 214 "Агро-екологични плащания".</w:t>
            </w:r>
          </w:p>
        </w:tc>
      </w:tr>
      <w:tr w:rsidR="00E8617E" w:rsidRPr="00BC513A" w14:paraId="4337BB43" w14:textId="77777777" w:rsidTr="00922731">
        <w:tc>
          <w:tcPr>
            <w:tcW w:w="439" w:type="dxa"/>
          </w:tcPr>
          <w:p w14:paraId="2C310A89"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13</w:t>
            </w:r>
          </w:p>
        </w:tc>
        <w:tc>
          <w:tcPr>
            <w:tcW w:w="8621" w:type="dxa"/>
          </w:tcPr>
          <w:p w14:paraId="706DE6AF"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Промяна в разпределението на средствата между подмерки, по мярка 41 "Прилагане на стратегиите за местно развитие"  от приоритетна ос 4 „ЛИДЕР“ на ПРСР, както и прецизирането на текстове в самата мярка.</w:t>
            </w:r>
          </w:p>
        </w:tc>
      </w:tr>
      <w:tr w:rsidR="00E8617E" w:rsidRPr="00BC513A" w14:paraId="109448A1" w14:textId="77777777" w:rsidTr="00922731">
        <w:tc>
          <w:tcPr>
            <w:tcW w:w="439" w:type="dxa"/>
          </w:tcPr>
          <w:p w14:paraId="4C17E490"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14</w:t>
            </w:r>
          </w:p>
        </w:tc>
        <w:tc>
          <w:tcPr>
            <w:tcW w:w="8621" w:type="dxa"/>
          </w:tcPr>
          <w:p w14:paraId="4BA83F61"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Частична декапитализация на схемата за финансов инженеринг по ПРСР, както и автоматично освобождаване на средства в размер на 725 хил. евро от бюджет 2011 от финансовият план на ПРСР 2007-2013.</w:t>
            </w:r>
          </w:p>
        </w:tc>
      </w:tr>
      <w:tr w:rsidR="00E8617E" w:rsidRPr="00BC513A" w14:paraId="2270E0E3" w14:textId="77777777" w:rsidTr="00922731">
        <w:tc>
          <w:tcPr>
            <w:tcW w:w="439" w:type="dxa"/>
          </w:tcPr>
          <w:p w14:paraId="23B2FA8B"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15</w:t>
            </w:r>
          </w:p>
        </w:tc>
        <w:tc>
          <w:tcPr>
            <w:tcW w:w="8621" w:type="dxa"/>
          </w:tcPr>
          <w:p w14:paraId="244266DD"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Промени в текста на мярка 214 „Агроекологични плащания“ в частта на изисквания към фермерите, също така промени в размера на подпомагането за единица площ.</w:t>
            </w:r>
          </w:p>
        </w:tc>
      </w:tr>
      <w:tr w:rsidR="00E8617E" w:rsidRPr="00BC513A" w14:paraId="2DCF1082" w14:textId="77777777" w:rsidTr="00922731">
        <w:tc>
          <w:tcPr>
            <w:tcW w:w="439" w:type="dxa"/>
          </w:tcPr>
          <w:p w14:paraId="5F702B92" w14:textId="77777777" w:rsidR="00E8617E" w:rsidRPr="00BC513A" w:rsidRDefault="00E8617E" w:rsidP="00922731">
            <w:pPr>
              <w:pStyle w:val="DefaultText"/>
              <w:spacing w:after="120" w:line="300" w:lineRule="atLeast"/>
              <w:rPr>
                <w:rFonts w:cs="Arial"/>
                <w:sz w:val="20"/>
                <w:szCs w:val="20"/>
                <w:lang w:val="bg-BG"/>
              </w:rPr>
            </w:pPr>
            <w:r w:rsidRPr="00BC513A">
              <w:rPr>
                <w:rFonts w:cs="Arial"/>
                <w:sz w:val="20"/>
                <w:szCs w:val="20"/>
                <w:lang w:val="bg-BG"/>
              </w:rPr>
              <w:t>16</w:t>
            </w:r>
          </w:p>
        </w:tc>
        <w:tc>
          <w:tcPr>
            <w:tcW w:w="8621" w:type="dxa"/>
          </w:tcPr>
          <w:p w14:paraId="6D446856" w14:textId="30AE0ADF"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Автоматично отчисление на средства в размер на 49</w:t>
            </w:r>
            <w:r w:rsidR="00F3155A" w:rsidRPr="00BC513A">
              <w:rPr>
                <w:rFonts w:cs="Arial"/>
                <w:sz w:val="20"/>
                <w:szCs w:val="20"/>
                <w:lang w:val="bg-BG" w:eastAsia="bg-BG"/>
              </w:rPr>
              <w:t> </w:t>
            </w:r>
            <w:r w:rsidRPr="00BC513A">
              <w:rPr>
                <w:rFonts w:cs="Arial"/>
                <w:sz w:val="20"/>
                <w:szCs w:val="20"/>
                <w:lang w:val="bg-BG" w:eastAsia="bg-BG"/>
              </w:rPr>
              <w:t>742</w:t>
            </w:r>
            <w:r w:rsidR="00F3155A" w:rsidRPr="00BC513A">
              <w:rPr>
                <w:rFonts w:cs="Arial"/>
                <w:sz w:val="20"/>
                <w:szCs w:val="20"/>
                <w:lang w:val="bg-BG" w:eastAsia="bg-BG"/>
              </w:rPr>
              <w:t> </w:t>
            </w:r>
            <w:r w:rsidRPr="00BC513A">
              <w:rPr>
                <w:rFonts w:cs="Arial"/>
                <w:sz w:val="20"/>
                <w:szCs w:val="20"/>
                <w:lang w:val="bg-BG" w:eastAsia="bg-BG"/>
              </w:rPr>
              <w:t>629,00 евро, средства на ЕЗФРСР от бюджет 2012 съгласно финансовия план на ПРСР 2007-2013.</w:t>
            </w:r>
          </w:p>
          <w:p w14:paraId="7463A573" w14:textId="77777777" w:rsidR="00E8617E" w:rsidRPr="00BC513A" w:rsidRDefault="00E8617E" w:rsidP="00922731">
            <w:pPr>
              <w:pStyle w:val="DefaultText"/>
              <w:spacing w:after="120" w:line="300" w:lineRule="atLeast"/>
              <w:rPr>
                <w:rFonts w:cs="Arial"/>
                <w:sz w:val="20"/>
                <w:szCs w:val="20"/>
                <w:lang w:val="bg-BG" w:eastAsia="bg-BG"/>
              </w:rPr>
            </w:pPr>
            <w:r w:rsidRPr="00BC513A">
              <w:rPr>
                <w:rFonts w:cs="Arial"/>
                <w:sz w:val="20"/>
                <w:szCs w:val="20"/>
                <w:lang w:val="bg-BG" w:eastAsia="bg-BG"/>
              </w:rPr>
              <w:t>Прехвърляне на средства между мерки от ПРСР 2007-2013.</w:t>
            </w:r>
          </w:p>
        </w:tc>
      </w:tr>
    </w:tbl>
    <w:p w14:paraId="7BB91C12" w14:textId="77777777" w:rsidR="00E8617E" w:rsidRPr="00BC513A" w:rsidRDefault="00E8617E" w:rsidP="00E8617E">
      <w:pPr>
        <w:sectPr w:rsidR="00E8617E" w:rsidRPr="00BC513A" w:rsidSect="00922731">
          <w:pgSz w:w="11906" w:h="16838" w:code="9"/>
          <w:pgMar w:top="1417" w:right="1417" w:bottom="1417" w:left="1418" w:header="708" w:footer="708" w:gutter="0"/>
          <w:cols w:space="708"/>
          <w:docGrid w:linePitch="360"/>
        </w:sectPr>
      </w:pPr>
    </w:p>
    <w:p w14:paraId="0776DE5F" w14:textId="77777777" w:rsidR="00E8617E" w:rsidRPr="00BC513A" w:rsidRDefault="00E8617E" w:rsidP="00E8617E">
      <w:pPr>
        <w:pStyle w:val="Heading2"/>
        <w:numPr>
          <w:ilvl w:val="0"/>
          <w:numId w:val="0"/>
        </w:numPr>
      </w:pPr>
      <w:bookmarkStart w:id="215" w:name="_Toc504136170"/>
      <w:r w:rsidRPr="00BC513A">
        <w:t>Приложение 3. Данни за анализите по ос 4 ЛИДЕР</w:t>
      </w:r>
      <w:bookmarkEnd w:id="215"/>
    </w:p>
    <w:p w14:paraId="763D917D" w14:textId="77777777" w:rsidR="00E8617E" w:rsidRPr="00BC513A" w:rsidRDefault="00E8617E" w:rsidP="00E8617E">
      <w:pPr>
        <w:keepNext/>
        <w:spacing w:before="240" w:after="120"/>
        <w:jc w:val="both"/>
        <w:rPr>
          <w:rFonts w:ascii="Arial" w:eastAsia="Times New Roman" w:hAnsi="Arial" w:cs="Arial"/>
          <w:b/>
          <w:bCs/>
          <w:sz w:val="20"/>
          <w:szCs w:val="20"/>
          <w:lang w:eastAsia="bg-BG"/>
        </w:rPr>
      </w:pPr>
      <w:bookmarkStart w:id="216" w:name="_Toc504136260"/>
      <w:r w:rsidRPr="00BC513A">
        <w:rPr>
          <w:rFonts w:ascii="Arial" w:hAnsi="Arial" w:cs="Arial"/>
          <w:b/>
          <w:iCs/>
          <w:color w:val="0070C0"/>
          <w:sz w:val="20"/>
          <w:szCs w:val="20"/>
        </w:rPr>
        <w:t xml:space="preserve">Таблица </w:t>
      </w:r>
      <w:r w:rsidRPr="00BC513A">
        <w:rPr>
          <w:rFonts w:ascii="Arial" w:hAnsi="Arial" w:cs="Arial"/>
          <w:b/>
          <w:iCs/>
          <w:color w:val="0070C0"/>
          <w:sz w:val="20"/>
          <w:szCs w:val="20"/>
        </w:rPr>
        <w:fldChar w:fldCharType="begin"/>
      </w:r>
      <w:r w:rsidRPr="00BC513A">
        <w:rPr>
          <w:rFonts w:ascii="Arial" w:hAnsi="Arial" w:cs="Arial"/>
          <w:b/>
          <w:iCs/>
          <w:color w:val="0070C0"/>
          <w:sz w:val="20"/>
          <w:szCs w:val="20"/>
        </w:rPr>
        <w:instrText xml:space="preserve"> SEQ Таблица \* ARABIC </w:instrText>
      </w:r>
      <w:r w:rsidRPr="00BC513A">
        <w:rPr>
          <w:rFonts w:ascii="Arial" w:hAnsi="Arial" w:cs="Arial"/>
          <w:b/>
          <w:iCs/>
          <w:color w:val="0070C0"/>
          <w:sz w:val="20"/>
          <w:szCs w:val="20"/>
        </w:rPr>
        <w:fldChar w:fldCharType="separate"/>
      </w:r>
      <w:r w:rsidR="0023010D">
        <w:rPr>
          <w:rFonts w:ascii="Arial" w:hAnsi="Arial" w:cs="Arial"/>
          <w:b/>
          <w:iCs/>
          <w:noProof/>
          <w:color w:val="0070C0"/>
          <w:sz w:val="20"/>
          <w:szCs w:val="20"/>
        </w:rPr>
        <w:t>89</w:t>
      </w:r>
      <w:r w:rsidRPr="00BC513A">
        <w:rPr>
          <w:rFonts w:ascii="Arial" w:hAnsi="Arial" w:cs="Arial"/>
          <w:b/>
          <w:iCs/>
          <w:color w:val="0070C0"/>
          <w:sz w:val="20"/>
          <w:szCs w:val="20"/>
        </w:rPr>
        <w:fldChar w:fldCharType="end"/>
      </w:r>
      <w:r w:rsidRPr="00BC513A">
        <w:rPr>
          <w:rFonts w:ascii="Arial" w:hAnsi="Arial" w:cs="Arial"/>
          <w:b/>
          <w:iCs/>
          <w:color w:val="0070C0"/>
          <w:sz w:val="20"/>
          <w:szCs w:val="20"/>
        </w:rPr>
        <w:t>. Проекти към Стратегиите за местно развитие на МИГ</w:t>
      </w:r>
      <w:bookmarkEnd w:id="216"/>
    </w:p>
    <w:tbl>
      <w:tblPr>
        <w:tblW w:w="15377" w:type="dxa"/>
        <w:tblInd w:w="-923" w:type="dxa"/>
        <w:tblLayout w:type="fixed"/>
        <w:tblCellMar>
          <w:left w:w="70" w:type="dxa"/>
          <w:right w:w="70" w:type="dxa"/>
        </w:tblCellMar>
        <w:tblLook w:val="04A0" w:firstRow="1" w:lastRow="0" w:firstColumn="1" w:lastColumn="0" w:noHBand="0" w:noVBand="1"/>
      </w:tblPr>
      <w:tblGrid>
        <w:gridCol w:w="441"/>
        <w:gridCol w:w="2462"/>
        <w:gridCol w:w="992"/>
        <w:gridCol w:w="1418"/>
        <w:gridCol w:w="1559"/>
        <w:gridCol w:w="1701"/>
        <w:gridCol w:w="1417"/>
        <w:gridCol w:w="1560"/>
        <w:gridCol w:w="1134"/>
        <w:gridCol w:w="1134"/>
        <w:gridCol w:w="1559"/>
      </w:tblGrid>
      <w:tr w:rsidR="00E8617E" w:rsidRPr="00BC513A" w14:paraId="62E10A91" w14:textId="77777777" w:rsidTr="003A0F89">
        <w:trPr>
          <w:trHeight w:val="867"/>
          <w:tblHeader/>
        </w:trPr>
        <w:tc>
          <w:tcPr>
            <w:tcW w:w="441" w:type="dxa"/>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33036458" w14:textId="77777777" w:rsidR="00E8617E" w:rsidRPr="00BC513A" w:rsidRDefault="00E8617E" w:rsidP="00922731">
            <w:pPr>
              <w:spacing w:after="0" w:line="240" w:lineRule="auto"/>
              <w:jc w:val="center"/>
              <w:rPr>
                <w:rFonts w:ascii="Arial" w:eastAsia="Times New Roman" w:hAnsi="Arial" w:cs="Arial"/>
                <w:color w:val="FFFFFF" w:themeColor="background1"/>
                <w:sz w:val="18"/>
                <w:szCs w:val="18"/>
                <w:lang w:eastAsia="bg-BG"/>
              </w:rPr>
            </w:pPr>
            <w:r w:rsidRPr="00BC513A">
              <w:rPr>
                <w:rFonts w:ascii="Arial" w:eastAsia="Times New Roman" w:hAnsi="Arial" w:cs="Arial"/>
                <w:color w:val="FFFFFF" w:themeColor="background1"/>
                <w:sz w:val="18"/>
                <w:szCs w:val="18"/>
                <w:lang w:eastAsia="bg-BG"/>
              </w:rPr>
              <w:t>№</w:t>
            </w:r>
          </w:p>
        </w:tc>
        <w:tc>
          <w:tcPr>
            <w:tcW w:w="2462"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242D483B"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МИГ</w:t>
            </w:r>
          </w:p>
        </w:tc>
        <w:tc>
          <w:tcPr>
            <w:tcW w:w="992" w:type="dxa"/>
            <w:tcBorders>
              <w:top w:val="single" w:sz="4" w:space="0" w:color="auto"/>
              <w:left w:val="nil"/>
              <w:bottom w:val="single" w:sz="4" w:space="0" w:color="auto"/>
              <w:right w:val="single" w:sz="4" w:space="0" w:color="auto"/>
            </w:tcBorders>
            <w:shd w:val="clear" w:color="auto" w:fill="1F4E79" w:themeFill="accent1" w:themeFillShade="80"/>
            <w:vAlign w:val="center"/>
          </w:tcPr>
          <w:p w14:paraId="7838C51D"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Проекти подадени в МИГ (брой)</w:t>
            </w:r>
          </w:p>
        </w:tc>
        <w:tc>
          <w:tcPr>
            <w:tcW w:w="1418" w:type="dxa"/>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34EEE6E4"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Проекти одобрени от МИГ (брой)</w:t>
            </w:r>
          </w:p>
        </w:tc>
        <w:tc>
          <w:tcPr>
            <w:tcW w:w="1559"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C1C8E52"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Одобрени проекти/</w:t>
            </w:r>
          </w:p>
          <w:p w14:paraId="7E8CC34A"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бюджет (%)</w:t>
            </w:r>
          </w:p>
        </w:tc>
        <w:tc>
          <w:tcPr>
            <w:tcW w:w="1701"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792CF679"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Проекти одобрени от МИГ по ос 1 (лева)</w:t>
            </w:r>
          </w:p>
        </w:tc>
        <w:tc>
          <w:tcPr>
            <w:tcW w:w="1417"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CF88541"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 xml:space="preserve">Проекти одобрени от МИГ по ос 2 </w:t>
            </w:r>
          </w:p>
          <w:p w14:paraId="751CEDD8"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(лева)</w:t>
            </w:r>
          </w:p>
        </w:tc>
        <w:tc>
          <w:tcPr>
            <w:tcW w:w="1560"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71DD7280"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Проекти одобрени от МИГ по ос 3 (лева)</w:t>
            </w:r>
          </w:p>
        </w:tc>
        <w:tc>
          <w:tcPr>
            <w:tcW w:w="1134"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577E7C3A"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 xml:space="preserve">Проекти подадени в ДФЗ </w:t>
            </w:r>
          </w:p>
          <w:p w14:paraId="2A70B448"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(брой)</w:t>
            </w:r>
          </w:p>
        </w:tc>
        <w:tc>
          <w:tcPr>
            <w:tcW w:w="1134"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0C1079F"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Брой сключени договори</w:t>
            </w:r>
          </w:p>
        </w:tc>
        <w:tc>
          <w:tcPr>
            <w:tcW w:w="1559" w:type="dxa"/>
            <w:tcBorders>
              <w:top w:val="single" w:sz="4" w:space="0" w:color="auto"/>
              <w:left w:val="nil"/>
              <w:bottom w:val="single" w:sz="4" w:space="0" w:color="auto"/>
              <w:right w:val="single" w:sz="4" w:space="0" w:color="auto"/>
            </w:tcBorders>
            <w:shd w:val="clear" w:color="auto" w:fill="1F4E79" w:themeFill="accent1" w:themeFillShade="80"/>
            <w:vAlign w:val="center"/>
            <w:hideMark/>
          </w:tcPr>
          <w:p w14:paraId="484E33F4"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 xml:space="preserve">Изплатена субсидия </w:t>
            </w:r>
          </w:p>
          <w:p w14:paraId="7B2C05A2" w14:textId="77777777" w:rsidR="00E8617E" w:rsidRPr="00BC513A" w:rsidRDefault="00E8617E" w:rsidP="00922731">
            <w:pPr>
              <w:spacing w:after="0" w:line="240" w:lineRule="auto"/>
              <w:jc w:val="center"/>
              <w:rPr>
                <w:rFonts w:ascii="Arial" w:eastAsia="Times New Roman" w:hAnsi="Arial" w:cs="Arial"/>
                <w:b/>
                <w:bCs/>
                <w:color w:val="FFFFFF" w:themeColor="background1"/>
                <w:sz w:val="18"/>
                <w:szCs w:val="18"/>
                <w:lang w:eastAsia="bg-BG"/>
              </w:rPr>
            </w:pPr>
            <w:r w:rsidRPr="00BC513A">
              <w:rPr>
                <w:rFonts w:ascii="Arial" w:eastAsia="Times New Roman" w:hAnsi="Arial" w:cs="Arial"/>
                <w:b/>
                <w:bCs/>
                <w:color w:val="FFFFFF" w:themeColor="background1"/>
                <w:sz w:val="18"/>
                <w:szCs w:val="18"/>
                <w:lang w:eastAsia="bg-BG"/>
              </w:rPr>
              <w:t>(лева)</w:t>
            </w:r>
          </w:p>
        </w:tc>
      </w:tr>
      <w:tr w:rsidR="00E8617E" w:rsidRPr="00BC513A" w14:paraId="4884B904" w14:textId="77777777" w:rsidTr="00922731">
        <w:trPr>
          <w:trHeight w:val="46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6E5F3A1C"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w:t>
            </w:r>
          </w:p>
        </w:tc>
        <w:tc>
          <w:tcPr>
            <w:tcW w:w="2462" w:type="dxa"/>
            <w:tcBorders>
              <w:top w:val="nil"/>
              <w:left w:val="nil"/>
              <w:bottom w:val="single" w:sz="4" w:space="0" w:color="auto"/>
              <w:right w:val="single" w:sz="4" w:space="0" w:color="auto"/>
            </w:tcBorders>
            <w:shd w:val="clear" w:color="auto" w:fill="auto"/>
            <w:vAlign w:val="center"/>
            <w:hideMark/>
          </w:tcPr>
          <w:p w14:paraId="5645316B"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Ябланица - Правец</w:t>
            </w:r>
          </w:p>
        </w:tc>
        <w:tc>
          <w:tcPr>
            <w:tcW w:w="992" w:type="dxa"/>
            <w:tcBorders>
              <w:top w:val="nil"/>
              <w:left w:val="nil"/>
              <w:bottom w:val="single" w:sz="4" w:space="0" w:color="auto"/>
              <w:right w:val="single" w:sz="4" w:space="0" w:color="auto"/>
            </w:tcBorders>
            <w:vAlign w:val="center"/>
          </w:tcPr>
          <w:p w14:paraId="3785A96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DC135A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36</w:t>
            </w:r>
          </w:p>
        </w:tc>
        <w:tc>
          <w:tcPr>
            <w:tcW w:w="1559" w:type="dxa"/>
            <w:tcBorders>
              <w:top w:val="nil"/>
              <w:left w:val="nil"/>
              <w:bottom w:val="single" w:sz="4" w:space="0" w:color="auto"/>
              <w:right w:val="single" w:sz="4" w:space="0" w:color="auto"/>
            </w:tcBorders>
            <w:shd w:val="clear" w:color="auto" w:fill="auto"/>
            <w:vAlign w:val="center"/>
            <w:hideMark/>
          </w:tcPr>
          <w:p w14:paraId="183421F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104,82%</w:t>
            </w:r>
          </w:p>
        </w:tc>
        <w:tc>
          <w:tcPr>
            <w:tcW w:w="1701" w:type="dxa"/>
            <w:tcBorders>
              <w:top w:val="nil"/>
              <w:left w:val="nil"/>
              <w:bottom w:val="single" w:sz="4" w:space="0" w:color="auto"/>
              <w:right w:val="single" w:sz="4" w:space="0" w:color="auto"/>
            </w:tcBorders>
            <w:shd w:val="clear" w:color="auto" w:fill="auto"/>
            <w:vAlign w:val="center"/>
            <w:hideMark/>
          </w:tcPr>
          <w:p w14:paraId="2307892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553881,23</w:t>
            </w:r>
          </w:p>
        </w:tc>
        <w:tc>
          <w:tcPr>
            <w:tcW w:w="1417" w:type="dxa"/>
            <w:tcBorders>
              <w:top w:val="nil"/>
              <w:left w:val="nil"/>
              <w:bottom w:val="single" w:sz="4" w:space="0" w:color="auto"/>
              <w:right w:val="single" w:sz="4" w:space="0" w:color="auto"/>
            </w:tcBorders>
            <w:shd w:val="clear" w:color="auto" w:fill="auto"/>
            <w:vAlign w:val="center"/>
            <w:hideMark/>
          </w:tcPr>
          <w:p w14:paraId="7324514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534F545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2176748,20</w:t>
            </w:r>
          </w:p>
        </w:tc>
        <w:tc>
          <w:tcPr>
            <w:tcW w:w="1134" w:type="dxa"/>
            <w:tcBorders>
              <w:top w:val="nil"/>
              <w:left w:val="nil"/>
              <w:bottom w:val="single" w:sz="4" w:space="0" w:color="auto"/>
              <w:right w:val="single" w:sz="4" w:space="0" w:color="auto"/>
            </w:tcBorders>
            <w:shd w:val="clear" w:color="auto" w:fill="auto"/>
            <w:vAlign w:val="center"/>
            <w:hideMark/>
          </w:tcPr>
          <w:p w14:paraId="2564043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36</w:t>
            </w:r>
          </w:p>
        </w:tc>
        <w:tc>
          <w:tcPr>
            <w:tcW w:w="1134" w:type="dxa"/>
            <w:tcBorders>
              <w:top w:val="nil"/>
              <w:left w:val="nil"/>
              <w:bottom w:val="single" w:sz="4" w:space="0" w:color="auto"/>
              <w:right w:val="single" w:sz="4" w:space="0" w:color="auto"/>
            </w:tcBorders>
            <w:shd w:val="clear" w:color="000000" w:fill="FFFFFF"/>
            <w:noWrap/>
            <w:vAlign w:val="bottom"/>
            <w:hideMark/>
          </w:tcPr>
          <w:p w14:paraId="0901C38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23</w:t>
            </w:r>
          </w:p>
        </w:tc>
        <w:tc>
          <w:tcPr>
            <w:tcW w:w="1559" w:type="dxa"/>
            <w:tcBorders>
              <w:top w:val="nil"/>
              <w:left w:val="nil"/>
              <w:bottom w:val="single" w:sz="4" w:space="0" w:color="auto"/>
              <w:right w:val="single" w:sz="4" w:space="0" w:color="auto"/>
            </w:tcBorders>
            <w:shd w:val="clear" w:color="000000" w:fill="FFFFFF"/>
            <w:noWrap/>
            <w:vAlign w:val="bottom"/>
            <w:hideMark/>
          </w:tcPr>
          <w:p w14:paraId="23B742A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1 756 059,60 </w:t>
            </w:r>
          </w:p>
        </w:tc>
      </w:tr>
      <w:tr w:rsidR="00E8617E" w:rsidRPr="00BC513A" w14:paraId="35A2B581" w14:textId="77777777" w:rsidTr="00922731">
        <w:trPr>
          <w:trHeight w:val="360"/>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26BA98B5"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w:t>
            </w:r>
          </w:p>
        </w:tc>
        <w:tc>
          <w:tcPr>
            <w:tcW w:w="2462" w:type="dxa"/>
            <w:tcBorders>
              <w:top w:val="nil"/>
              <w:left w:val="nil"/>
              <w:bottom w:val="single" w:sz="4" w:space="0" w:color="auto"/>
              <w:right w:val="single" w:sz="4" w:space="0" w:color="auto"/>
            </w:tcBorders>
            <w:shd w:val="clear" w:color="auto" w:fill="auto"/>
            <w:vAlign w:val="center"/>
            <w:hideMark/>
          </w:tcPr>
          <w:p w14:paraId="5F8131D1"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Тетевен</w:t>
            </w:r>
          </w:p>
        </w:tc>
        <w:tc>
          <w:tcPr>
            <w:tcW w:w="992" w:type="dxa"/>
            <w:tcBorders>
              <w:top w:val="nil"/>
              <w:left w:val="nil"/>
              <w:bottom w:val="single" w:sz="4" w:space="0" w:color="auto"/>
              <w:right w:val="single" w:sz="4" w:space="0" w:color="auto"/>
            </w:tcBorders>
            <w:vAlign w:val="center"/>
          </w:tcPr>
          <w:p w14:paraId="7A61058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24</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71CF2E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24</w:t>
            </w:r>
          </w:p>
        </w:tc>
        <w:tc>
          <w:tcPr>
            <w:tcW w:w="1559" w:type="dxa"/>
            <w:tcBorders>
              <w:top w:val="nil"/>
              <w:left w:val="nil"/>
              <w:bottom w:val="single" w:sz="4" w:space="0" w:color="auto"/>
              <w:right w:val="single" w:sz="4" w:space="0" w:color="auto"/>
            </w:tcBorders>
            <w:shd w:val="clear" w:color="auto" w:fill="auto"/>
            <w:vAlign w:val="center"/>
            <w:hideMark/>
          </w:tcPr>
          <w:p w14:paraId="2C9EE42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89,57%</w:t>
            </w:r>
          </w:p>
        </w:tc>
        <w:tc>
          <w:tcPr>
            <w:tcW w:w="1701" w:type="dxa"/>
            <w:tcBorders>
              <w:top w:val="nil"/>
              <w:left w:val="nil"/>
              <w:bottom w:val="single" w:sz="4" w:space="0" w:color="auto"/>
              <w:right w:val="single" w:sz="4" w:space="0" w:color="auto"/>
            </w:tcBorders>
            <w:shd w:val="clear" w:color="auto" w:fill="auto"/>
            <w:vAlign w:val="center"/>
            <w:hideMark/>
          </w:tcPr>
          <w:p w14:paraId="66A479F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762899,05</w:t>
            </w:r>
          </w:p>
        </w:tc>
        <w:tc>
          <w:tcPr>
            <w:tcW w:w="1417" w:type="dxa"/>
            <w:tcBorders>
              <w:top w:val="nil"/>
              <w:left w:val="nil"/>
              <w:bottom w:val="single" w:sz="4" w:space="0" w:color="auto"/>
              <w:right w:val="single" w:sz="4" w:space="0" w:color="auto"/>
            </w:tcBorders>
            <w:shd w:val="clear" w:color="auto" w:fill="auto"/>
            <w:vAlign w:val="center"/>
            <w:hideMark/>
          </w:tcPr>
          <w:p w14:paraId="4EE8275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3B390A7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2031569,39</w:t>
            </w:r>
          </w:p>
        </w:tc>
        <w:tc>
          <w:tcPr>
            <w:tcW w:w="1134" w:type="dxa"/>
            <w:tcBorders>
              <w:top w:val="nil"/>
              <w:left w:val="nil"/>
              <w:bottom w:val="single" w:sz="4" w:space="0" w:color="auto"/>
              <w:right w:val="single" w:sz="4" w:space="0" w:color="auto"/>
            </w:tcBorders>
            <w:shd w:val="clear" w:color="auto" w:fill="auto"/>
            <w:vAlign w:val="center"/>
            <w:hideMark/>
          </w:tcPr>
          <w:p w14:paraId="16527DD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24</w:t>
            </w:r>
          </w:p>
        </w:tc>
        <w:tc>
          <w:tcPr>
            <w:tcW w:w="1134" w:type="dxa"/>
            <w:tcBorders>
              <w:top w:val="nil"/>
              <w:left w:val="nil"/>
              <w:bottom w:val="single" w:sz="4" w:space="0" w:color="auto"/>
              <w:right w:val="single" w:sz="4" w:space="0" w:color="auto"/>
            </w:tcBorders>
            <w:shd w:val="clear" w:color="000000" w:fill="FFFFFF"/>
            <w:noWrap/>
            <w:vAlign w:val="bottom"/>
            <w:hideMark/>
          </w:tcPr>
          <w:p w14:paraId="75B2BDC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w:t>
            </w:r>
          </w:p>
        </w:tc>
        <w:tc>
          <w:tcPr>
            <w:tcW w:w="1559" w:type="dxa"/>
            <w:tcBorders>
              <w:top w:val="nil"/>
              <w:left w:val="nil"/>
              <w:bottom w:val="single" w:sz="4" w:space="0" w:color="auto"/>
              <w:right w:val="single" w:sz="4" w:space="0" w:color="auto"/>
            </w:tcBorders>
            <w:shd w:val="clear" w:color="000000" w:fill="FFFFFF"/>
            <w:noWrap/>
            <w:vAlign w:val="bottom"/>
            <w:hideMark/>
          </w:tcPr>
          <w:p w14:paraId="6527743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272 758,90 </w:t>
            </w:r>
          </w:p>
        </w:tc>
      </w:tr>
      <w:tr w:rsidR="00E8617E" w:rsidRPr="00BC513A" w14:paraId="435B6102" w14:textId="77777777" w:rsidTr="00922731">
        <w:trPr>
          <w:trHeight w:val="40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3E19E6F0"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3</w:t>
            </w:r>
          </w:p>
        </w:tc>
        <w:tc>
          <w:tcPr>
            <w:tcW w:w="2462" w:type="dxa"/>
            <w:tcBorders>
              <w:top w:val="nil"/>
              <w:left w:val="nil"/>
              <w:bottom w:val="single" w:sz="4" w:space="0" w:color="auto"/>
              <w:right w:val="single" w:sz="4" w:space="0" w:color="auto"/>
            </w:tcBorders>
            <w:shd w:val="clear" w:color="auto" w:fill="auto"/>
            <w:vAlign w:val="center"/>
            <w:hideMark/>
          </w:tcPr>
          <w:p w14:paraId="02BD4D33"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Ардино</w:t>
            </w:r>
          </w:p>
        </w:tc>
        <w:tc>
          <w:tcPr>
            <w:tcW w:w="992" w:type="dxa"/>
            <w:tcBorders>
              <w:top w:val="nil"/>
              <w:left w:val="nil"/>
              <w:bottom w:val="single" w:sz="4" w:space="0" w:color="auto"/>
              <w:right w:val="single" w:sz="4" w:space="0" w:color="auto"/>
            </w:tcBorders>
            <w:vAlign w:val="center"/>
          </w:tcPr>
          <w:p w14:paraId="33473FF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39</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F6EE26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36</w:t>
            </w:r>
          </w:p>
        </w:tc>
        <w:tc>
          <w:tcPr>
            <w:tcW w:w="1559" w:type="dxa"/>
            <w:tcBorders>
              <w:top w:val="nil"/>
              <w:left w:val="nil"/>
              <w:bottom w:val="single" w:sz="4" w:space="0" w:color="auto"/>
              <w:right w:val="single" w:sz="4" w:space="0" w:color="auto"/>
            </w:tcBorders>
            <w:shd w:val="clear" w:color="auto" w:fill="auto"/>
            <w:vAlign w:val="center"/>
            <w:hideMark/>
          </w:tcPr>
          <w:p w14:paraId="6BF0157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99,53%</w:t>
            </w:r>
          </w:p>
        </w:tc>
        <w:tc>
          <w:tcPr>
            <w:tcW w:w="1701" w:type="dxa"/>
            <w:tcBorders>
              <w:top w:val="nil"/>
              <w:left w:val="nil"/>
              <w:bottom w:val="single" w:sz="4" w:space="0" w:color="auto"/>
              <w:right w:val="single" w:sz="4" w:space="0" w:color="auto"/>
            </w:tcBorders>
            <w:shd w:val="clear" w:color="auto" w:fill="auto"/>
            <w:vAlign w:val="center"/>
            <w:hideMark/>
          </w:tcPr>
          <w:p w14:paraId="7474F2E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397360,08</w:t>
            </w:r>
          </w:p>
        </w:tc>
        <w:tc>
          <w:tcPr>
            <w:tcW w:w="1417" w:type="dxa"/>
            <w:tcBorders>
              <w:top w:val="nil"/>
              <w:left w:val="nil"/>
              <w:bottom w:val="single" w:sz="4" w:space="0" w:color="auto"/>
              <w:right w:val="single" w:sz="4" w:space="0" w:color="auto"/>
            </w:tcBorders>
            <w:shd w:val="clear" w:color="auto" w:fill="auto"/>
            <w:vAlign w:val="center"/>
            <w:hideMark/>
          </w:tcPr>
          <w:p w14:paraId="4596DB3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4763897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2787656,36</w:t>
            </w:r>
          </w:p>
        </w:tc>
        <w:tc>
          <w:tcPr>
            <w:tcW w:w="1134" w:type="dxa"/>
            <w:tcBorders>
              <w:top w:val="nil"/>
              <w:left w:val="nil"/>
              <w:bottom w:val="single" w:sz="4" w:space="0" w:color="auto"/>
              <w:right w:val="single" w:sz="4" w:space="0" w:color="auto"/>
            </w:tcBorders>
            <w:shd w:val="clear" w:color="auto" w:fill="auto"/>
            <w:vAlign w:val="center"/>
            <w:hideMark/>
          </w:tcPr>
          <w:p w14:paraId="509E846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36</w:t>
            </w:r>
          </w:p>
        </w:tc>
        <w:tc>
          <w:tcPr>
            <w:tcW w:w="1134" w:type="dxa"/>
            <w:tcBorders>
              <w:top w:val="nil"/>
              <w:left w:val="nil"/>
              <w:bottom w:val="single" w:sz="4" w:space="0" w:color="auto"/>
              <w:right w:val="single" w:sz="4" w:space="0" w:color="auto"/>
            </w:tcBorders>
            <w:shd w:val="clear" w:color="000000" w:fill="FFFFFF"/>
            <w:noWrap/>
            <w:vAlign w:val="bottom"/>
            <w:hideMark/>
          </w:tcPr>
          <w:p w14:paraId="6C4B721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26</w:t>
            </w:r>
          </w:p>
        </w:tc>
        <w:tc>
          <w:tcPr>
            <w:tcW w:w="1559" w:type="dxa"/>
            <w:tcBorders>
              <w:top w:val="nil"/>
              <w:left w:val="nil"/>
              <w:bottom w:val="single" w:sz="4" w:space="0" w:color="auto"/>
              <w:right w:val="single" w:sz="4" w:space="0" w:color="auto"/>
            </w:tcBorders>
            <w:shd w:val="clear" w:color="000000" w:fill="FFFFFF"/>
            <w:noWrap/>
            <w:vAlign w:val="bottom"/>
            <w:hideMark/>
          </w:tcPr>
          <w:p w14:paraId="2565899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2 248 660,10 </w:t>
            </w:r>
          </w:p>
        </w:tc>
      </w:tr>
      <w:tr w:rsidR="00E8617E" w:rsidRPr="00BC513A" w14:paraId="3C68662C" w14:textId="77777777" w:rsidTr="00922731">
        <w:trPr>
          <w:trHeight w:val="37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23A561B2"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4</w:t>
            </w:r>
          </w:p>
        </w:tc>
        <w:tc>
          <w:tcPr>
            <w:tcW w:w="2462" w:type="dxa"/>
            <w:tcBorders>
              <w:top w:val="nil"/>
              <w:left w:val="nil"/>
              <w:bottom w:val="single" w:sz="4" w:space="0" w:color="auto"/>
              <w:right w:val="single" w:sz="4" w:space="0" w:color="auto"/>
            </w:tcBorders>
            <w:shd w:val="clear" w:color="auto" w:fill="auto"/>
            <w:vAlign w:val="center"/>
            <w:hideMark/>
          </w:tcPr>
          <w:p w14:paraId="1AA1A695"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Средец</w:t>
            </w:r>
          </w:p>
        </w:tc>
        <w:tc>
          <w:tcPr>
            <w:tcW w:w="992" w:type="dxa"/>
            <w:tcBorders>
              <w:top w:val="nil"/>
              <w:left w:val="nil"/>
              <w:bottom w:val="single" w:sz="4" w:space="0" w:color="auto"/>
              <w:right w:val="single" w:sz="4" w:space="0" w:color="auto"/>
            </w:tcBorders>
            <w:vAlign w:val="center"/>
          </w:tcPr>
          <w:p w14:paraId="46806F7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49</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40A05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46</w:t>
            </w:r>
          </w:p>
        </w:tc>
        <w:tc>
          <w:tcPr>
            <w:tcW w:w="1559" w:type="dxa"/>
            <w:tcBorders>
              <w:top w:val="nil"/>
              <w:left w:val="nil"/>
              <w:bottom w:val="single" w:sz="4" w:space="0" w:color="auto"/>
              <w:right w:val="single" w:sz="4" w:space="0" w:color="auto"/>
            </w:tcBorders>
            <w:shd w:val="clear" w:color="auto" w:fill="auto"/>
            <w:vAlign w:val="center"/>
            <w:hideMark/>
          </w:tcPr>
          <w:p w14:paraId="7254E6D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117,19%</w:t>
            </w:r>
          </w:p>
        </w:tc>
        <w:tc>
          <w:tcPr>
            <w:tcW w:w="1701" w:type="dxa"/>
            <w:tcBorders>
              <w:top w:val="nil"/>
              <w:left w:val="nil"/>
              <w:bottom w:val="single" w:sz="4" w:space="0" w:color="auto"/>
              <w:right w:val="single" w:sz="4" w:space="0" w:color="auto"/>
            </w:tcBorders>
            <w:shd w:val="clear" w:color="auto" w:fill="auto"/>
            <w:vAlign w:val="center"/>
            <w:hideMark/>
          </w:tcPr>
          <w:p w14:paraId="3E29159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1304402,47</w:t>
            </w:r>
          </w:p>
        </w:tc>
        <w:tc>
          <w:tcPr>
            <w:tcW w:w="1417" w:type="dxa"/>
            <w:tcBorders>
              <w:top w:val="nil"/>
              <w:left w:val="nil"/>
              <w:bottom w:val="single" w:sz="4" w:space="0" w:color="auto"/>
              <w:right w:val="single" w:sz="4" w:space="0" w:color="auto"/>
            </w:tcBorders>
            <w:shd w:val="clear" w:color="auto" w:fill="auto"/>
            <w:vAlign w:val="center"/>
            <w:hideMark/>
          </w:tcPr>
          <w:p w14:paraId="492DCD9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w:t>
            </w:r>
          </w:p>
        </w:tc>
        <w:tc>
          <w:tcPr>
            <w:tcW w:w="1560" w:type="dxa"/>
            <w:tcBorders>
              <w:top w:val="nil"/>
              <w:left w:val="nil"/>
              <w:bottom w:val="single" w:sz="4" w:space="0" w:color="auto"/>
              <w:right w:val="single" w:sz="4" w:space="0" w:color="auto"/>
            </w:tcBorders>
            <w:shd w:val="clear" w:color="auto" w:fill="auto"/>
            <w:vAlign w:val="center"/>
            <w:hideMark/>
          </w:tcPr>
          <w:p w14:paraId="7D36141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2222664,71</w:t>
            </w:r>
          </w:p>
        </w:tc>
        <w:tc>
          <w:tcPr>
            <w:tcW w:w="1134" w:type="dxa"/>
            <w:tcBorders>
              <w:top w:val="nil"/>
              <w:left w:val="nil"/>
              <w:bottom w:val="single" w:sz="4" w:space="0" w:color="auto"/>
              <w:right w:val="single" w:sz="4" w:space="0" w:color="auto"/>
            </w:tcBorders>
            <w:shd w:val="clear" w:color="auto" w:fill="auto"/>
            <w:vAlign w:val="center"/>
            <w:hideMark/>
          </w:tcPr>
          <w:p w14:paraId="1EADB39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44</w:t>
            </w:r>
          </w:p>
        </w:tc>
        <w:tc>
          <w:tcPr>
            <w:tcW w:w="1134" w:type="dxa"/>
            <w:tcBorders>
              <w:top w:val="nil"/>
              <w:left w:val="nil"/>
              <w:bottom w:val="single" w:sz="4" w:space="0" w:color="auto"/>
              <w:right w:val="single" w:sz="4" w:space="0" w:color="auto"/>
            </w:tcBorders>
            <w:shd w:val="clear" w:color="000000" w:fill="FFFFFF"/>
            <w:noWrap/>
            <w:vAlign w:val="bottom"/>
            <w:hideMark/>
          </w:tcPr>
          <w:p w14:paraId="08CE62D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38</w:t>
            </w:r>
          </w:p>
        </w:tc>
        <w:tc>
          <w:tcPr>
            <w:tcW w:w="1559" w:type="dxa"/>
            <w:tcBorders>
              <w:top w:val="nil"/>
              <w:left w:val="nil"/>
              <w:bottom w:val="single" w:sz="4" w:space="0" w:color="auto"/>
              <w:right w:val="single" w:sz="4" w:space="0" w:color="auto"/>
            </w:tcBorders>
            <w:shd w:val="clear" w:color="000000" w:fill="FFFFFF"/>
            <w:noWrap/>
            <w:vAlign w:val="bottom"/>
            <w:hideMark/>
          </w:tcPr>
          <w:p w14:paraId="70B3CA6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2 555 056,14 </w:t>
            </w:r>
          </w:p>
        </w:tc>
      </w:tr>
      <w:tr w:rsidR="00E8617E" w:rsidRPr="00BC513A" w14:paraId="76FF718D" w14:textId="77777777" w:rsidTr="00922731">
        <w:trPr>
          <w:trHeight w:val="40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0C248BF7"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5</w:t>
            </w:r>
          </w:p>
        </w:tc>
        <w:tc>
          <w:tcPr>
            <w:tcW w:w="2462" w:type="dxa"/>
            <w:tcBorders>
              <w:top w:val="nil"/>
              <w:left w:val="nil"/>
              <w:bottom w:val="single" w:sz="4" w:space="0" w:color="auto"/>
              <w:right w:val="single" w:sz="4" w:space="0" w:color="auto"/>
            </w:tcBorders>
            <w:shd w:val="clear" w:color="auto" w:fill="auto"/>
            <w:vAlign w:val="center"/>
            <w:hideMark/>
          </w:tcPr>
          <w:p w14:paraId="711A3E5F"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Разлог</w:t>
            </w:r>
          </w:p>
        </w:tc>
        <w:tc>
          <w:tcPr>
            <w:tcW w:w="992" w:type="dxa"/>
            <w:tcBorders>
              <w:top w:val="nil"/>
              <w:left w:val="nil"/>
              <w:bottom w:val="single" w:sz="4" w:space="0" w:color="auto"/>
              <w:right w:val="single" w:sz="4" w:space="0" w:color="auto"/>
            </w:tcBorders>
            <w:vAlign w:val="center"/>
          </w:tcPr>
          <w:p w14:paraId="16D7B2D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BF453A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40</w:t>
            </w:r>
          </w:p>
        </w:tc>
        <w:tc>
          <w:tcPr>
            <w:tcW w:w="1559" w:type="dxa"/>
            <w:tcBorders>
              <w:top w:val="nil"/>
              <w:left w:val="nil"/>
              <w:bottom w:val="single" w:sz="4" w:space="0" w:color="auto"/>
              <w:right w:val="single" w:sz="4" w:space="0" w:color="auto"/>
            </w:tcBorders>
            <w:shd w:val="clear" w:color="auto" w:fill="auto"/>
            <w:vAlign w:val="center"/>
            <w:hideMark/>
          </w:tcPr>
          <w:p w14:paraId="1739B89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105,79%</w:t>
            </w:r>
          </w:p>
        </w:tc>
        <w:tc>
          <w:tcPr>
            <w:tcW w:w="1701" w:type="dxa"/>
            <w:tcBorders>
              <w:top w:val="nil"/>
              <w:left w:val="nil"/>
              <w:bottom w:val="single" w:sz="4" w:space="0" w:color="auto"/>
              <w:right w:val="single" w:sz="4" w:space="0" w:color="auto"/>
            </w:tcBorders>
            <w:shd w:val="clear" w:color="auto" w:fill="auto"/>
            <w:vAlign w:val="center"/>
            <w:hideMark/>
          </w:tcPr>
          <w:p w14:paraId="1C6C003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647602,08</w:t>
            </w:r>
          </w:p>
        </w:tc>
        <w:tc>
          <w:tcPr>
            <w:tcW w:w="1417" w:type="dxa"/>
            <w:tcBorders>
              <w:top w:val="nil"/>
              <w:left w:val="nil"/>
              <w:bottom w:val="single" w:sz="4" w:space="0" w:color="auto"/>
              <w:right w:val="single" w:sz="4" w:space="0" w:color="auto"/>
            </w:tcBorders>
            <w:shd w:val="clear" w:color="auto" w:fill="auto"/>
            <w:vAlign w:val="center"/>
            <w:hideMark/>
          </w:tcPr>
          <w:p w14:paraId="76519CD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51794,58</w:t>
            </w:r>
          </w:p>
        </w:tc>
        <w:tc>
          <w:tcPr>
            <w:tcW w:w="1560" w:type="dxa"/>
            <w:tcBorders>
              <w:top w:val="nil"/>
              <w:left w:val="nil"/>
              <w:bottom w:val="single" w:sz="4" w:space="0" w:color="auto"/>
              <w:right w:val="single" w:sz="4" w:space="0" w:color="auto"/>
            </w:tcBorders>
            <w:shd w:val="clear" w:color="auto" w:fill="auto"/>
            <w:vAlign w:val="center"/>
            <w:hideMark/>
          </w:tcPr>
          <w:p w14:paraId="33F9DF6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2578820,77</w:t>
            </w:r>
          </w:p>
        </w:tc>
        <w:tc>
          <w:tcPr>
            <w:tcW w:w="1134" w:type="dxa"/>
            <w:tcBorders>
              <w:top w:val="nil"/>
              <w:left w:val="nil"/>
              <w:bottom w:val="single" w:sz="4" w:space="0" w:color="auto"/>
              <w:right w:val="single" w:sz="4" w:space="0" w:color="auto"/>
            </w:tcBorders>
            <w:shd w:val="clear" w:color="auto" w:fill="auto"/>
            <w:vAlign w:val="center"/>
            <w:hideMark/>
          </w:tcPr>
          <w:p w14:paraId="13FC7EC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40</w:t>
            </w:r>
          </w:p>
        </w:tc>
        <w:tc>
          <w:tcPr>
            <w:tcW w:w="1134" w:type="dxa"/>
            <w:tcBorders>
              <w:top w:val="nil"/>
              <w:left w:val="nil"/>
              <w:bottom w:val="single" w:sz="4" w:space="0" w:color="auto"/>
              <w:right w:val="single" w:sz="4" w:space="0" w:color="auto"/>
            </w:tcBorders>
            <w:shd w:val="clear" w:color="000000" w:fill="FFFFFF"/>
            <w:noWrap/>
            <w:vAlign w:val="bottom"/>
            <w:hideMark/>
          </w:tcPr>
          <w:p w14:paraId="5897BA7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32</w:t>
            </w:r>
          </w:p>
        </w:tc>
        <w:tc>
          <w:tcPr>
            <w:tcW w:w="1559" w:type="dxa"/>
            <w:tcBorders>
              <w:top w:val="nil"/>
              <w:left w:val="nil"/>
              <w:bottom w:val="single" w:sz="4" w:space="0" w:color="auto"/>
              <w:right w:val="single" w:sz="4" w:space="0" w:color="auto"/>
            </w:tcBorders>
            <w:shd w:val="clear" w:color="000000" w:fill="FFFFFF"/>
            <w:noWrap/>
            <w:vAlign w:val="bottom"/>
            <w:hideMark/>
          </w:tcPr>
          <w:p w14:paraId="4FD9F10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2 398 297,32 </w:t>
            </w:r>
          </w:p>
        </w:tc>
      </w:tr>
      <w:tr w:rsidR="00E8617E" w:rsidRPr="00BC513A" w14:paraId="14C3389C" w14:textId="77777777" w:rsidTr="00922731">
        <w:trPr>
          <w:trHeight w:val="444"/>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40B42549"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6</w:t>
            </w:r>
          </w:p>
        </w:tc>
        <w:tc>
          <w:tcPr>
            <w:tcW w:w="2462" w:type="dxa"/>
            <w:tcBorders>
              <w:top w:val="nil"/>
              <w:left w:val="nil"/>
              <w:bottom w:val="single" w:sz="4" w:space="0" w:color="auto"/>
              <w:right w:val="single" w:sz="4" w:space="0" w:color="auto"/>
            </w:tcBorders>
            <w:shd w:val="clear" w:color="auto" w:fill="auto"/>
            <w:vAlign w:val="center"/>
            <w:hideMark/>
          </w:tcPr>
          <w:p w14:paraId="5A072D1F"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Преспа - Баните, Лъки, Чепеларе</w:t>
            </w:r>
          </w:p>
        </w:tc>
        <w:tc>
          <w:tcPr>
            <w:tcW w:w="992" w:type="dxa"/>
            <w:tcBorders>
              <w:top w:val="nil"/>
              <w:left w:val="nil"/>
              <w:bottom w:val="single" w:sz="4" w:space="0" w:color="auto"/>
              <w:right w:val="single" w:sz="4" w:space="0" w:color="auto"/>
            </w:tcBorders>
            <w:vAlign w:val="center"/>
          </w:tcPr>
          <w:p w14:paraId="605AE2A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37</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9B67CE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22</w:t>
            </w:r>
          </w:p>
        </w:tc>
        <w:tc>
          <w:tcPr>
            <w:tcW w:w="1559" w:type="dxa"/>
            <w:tcBorders>
              <w:top w:val="nil"/>
              <w:left w:val="nil"/>
              <w:bottom w:val="single" w:sz="4" w:space="0" w:color="auto"/>
              <w:right w:val="single" w:sz="4" w:space="0" w:color="auto"/>
            </w:tcBorders>
            <w:shd w:val="clear" w:color="auto" w:fill="auto"/>
            <w:vAlign w:val="center"/>
            <w:hideMark/>
          </w:tcPr>
          <w:p w14:paraId="08E1BDE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42,93%</w:t>
            </w:r>
          </w:p>
        </w:tc>
        <w:tc>
          <w:tcPr>
            <w:tcW w:w="1701" w:type="dxa"/>
            <w:tcBorders>
              <w:top w:val="nil"/>
              <w:left w:val="nil"/>
              <w:bottom w:val="single" w:sz="4" w:space="0" w:color="auto"/>
              <w:right w:val="single" w:sz="4" w:space="0" w:color="auto"/>
            </w:tcBorders>
            <w:shd w:val="clear" w:color="auto" w:fill="auto"/>
            <w:vAlign w:val="center"/>
            <w:hideMark/>
          </w:tcPr>
          <w:p w14:paraId="573DF0B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95 625,00</w:t>
            </w:r>
          </w:p>
        </w:tc>
        <w:tc>
          <w:tcPr>
            <w:tcW w:w="1417" w:type="dxa"/>
            <w:tcBorders>
              <w:top w:val="nil"/>
              <w:left w:val="nil"/>
              <w:bottom w:val="single" w:sz="4" w:space="0" w:color="auto"/>
              <w:right w:val="single" w:sz="4" w:space="0" w:color="auto"/>
            </w:tcBorders>
            <w:shd w:val="clear" w:color="auto" w:fill="auto"/>
            <w:vAlign w:val="center"/>
            <w:hideMark/>
          </w:tcPr>
          <w:p w14:paraId="7E47D0F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w:t>
            </w:r>
          </w:p>
        </w:tc>
        <w:tc>
          <w:tcPr>
            <w:tcW w:w="1560" w:type="dxa"/>
            <w:tcBorders>
              <w:top w:val="nil"/>
              <w:left w:val="nil"/>
              <w:bottom w:val="single" w:sz="4" w:space="0" w:color="auto"/>
              <w:right w:val="single" w:sz="4" w:space="0" w:color="auto"/>
            </w:tcBorders>
            <w:shd w:val="clear" w:color="auto" w:fill="auto"/>
            <w:vAlign w:val="center"/>
            <w:hideMark/>
          </w:tcPr>
          <w:p w14:paraId="2427F6E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3 745 310,85</w:t>
            </w:r>
          </w:p>
        </w:tc>
        <w:tc>
          <w:tcPr>
            <w:tcW w:w="1134" w:type="dxa"/>
            <w:tcBorders>
              <w:top w:val="nil"/>
              <w:left w:val="nil"/>
              <w:bottom w:val="single" w:sz="4" w:space="0" w:color="auto"/>
              <w:right w:val="single" w:sz="4" w:space="0" w:color="auto"/>
            </w:tcBorders>
            <w:shd w:val="clear" w:color="auto" w:fill="auto"/>
            <w:vAlign w:val="center"/>
            <w:hideMark/>
          </w:tcPr>
          <w:p w14:paraId="2C3718A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22</w:t>
            </w:r>
          </w:p>
        </w:tc>
        <w:tc>
          <w:tcPr>
            <w:tcW w:w="1134" w:type="dxa"/>
            <w:tcBorders>
              <w:top w:val="nil"/>
              <w:left w:val="nil"/>
              <w:bottom w:val="single" w:sz="4" w:space="0" w:color="auto"/>
              <w:right w:val="single" w:sz="4" w:space="0" w:color="auto"/>
            </w:tcBorders>
            <w:shd w:val="clear" w:color="000000" w:fill="FFFFFF"/>
            <w:noWrap/>
            <w:vAlign w:val="bottom"/>
            <w:hideMark/>
          </w:tcPr>
          <w:p w14:paraId="58B90B9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17</w:t>
            </w:r>
          </w:p>
        </w:tc>
        <w:tc>
          <w:tcPr>
            <w:tcW w:w="1559" w:type="dxa"/>
            <w:tcBorders>
              <w:top w:val="nil"/>
              <w:left w:val="nil"/>
              <w:bottom w:val="single" w:sz="4" w:space="0" w:color="auto"/>
              <w:right w:val="single" w:sz="4" w:space="0" w:color="auto"/>
            </w:tcBorders>
            <w:shd w:val="clear" w:color="000000" w:fill="FFFFFF"/>
            <w:noWrap/>
            <w:vAlign w:val="bottom"/>
            <w:hideMark/>
          </w:tcPr>
          <w:p w14:paraId="4DFD982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2 504 033,23 </w:t>
            </w:r>
          </w:p>
        </w:tc>
      </w:tr>
      <w:tr w:rsidR="00E8617E" w:rsidRPr="00BC513A" w14:paraId="4CEE6F49" w14:textId="77777777" w:rsidTr="00922731">
        <w:trPr>
          <w:trHeight w:val="40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205F78BD"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7</w:t>
            </w:r>
          </w:p>
        </w:tc>
        <w:tc>
          <w:tcPr>
            <w:tcW w:w="2462" w:type="dxa"/>
            <w:tcBorders>
              <w:top w:val="nil"/>
              <w:left w:val="nil"/>
              <w:bottom w:val="single" w:sz="4" w:space="0" w:color="auto"/>
              <w:right w:val="single" w:sz="4" w:space="0" w:color="auto"/>
            </w:tcBorders>
            <w:shd w:val="clear" w:color="auto" w:fill="auto"/>
            <w:vAlign w:val="center"/>
            <w:hideMark/>
          </w:tcPr>
          <w:p w14:paraId="09A7A9C1"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Сандански</w:t>
            </w:r>
          </w:p>
        </w:tc>
        <w:tc>
          <w:tcPr>
            <w:tcW w:w="992" w:type="dxa"/>
            <w:tcBorders>
              <w:top w:val="nil"/>
              <w:left w:val="nil"/>
              <w:bottom w:val="single" w:sz="4" w:space="0" w:color="auto"/>
              <w:right w:val="single" w:sz="4" w:space="0" w:color="auto"/>
            </w:tcBorders>
            <w:vAlign w:val="bottom"/>
          </w:tcPr>
          <w:p w14:paraId="0028025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50</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9EEAA6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48</w:t>
            </w:r>
          </w:p>
        </w:tc>
        <w:tc>
          <w:tcPr>
            <w:tcW w:w="1559" w:type="dxa"/>
            <w:tcBorders>
              <w:top w:val="nil"/>
              <w:left w:val="nil"/>
              <w:bottom w:val="single" w:sz="4" w:space="0" w:color="auto"/>
              <w:right w:val="single" w:sz="4" w:space="0" w:color="auto"/>
            </w:tcBorders>
            <w:shd w:val="clear" w:color="auto" w:fill="auto"/>
            <w:vAlign w:val="center"/>
            <w:hideMark/>
          </w:tcPr>
          <w:p w14:paraId="740C39B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109,91%</w:t>
            </w:r>
          </w:p>
        </w:tc>
        <w:tc>
          <w:tcPr>
            <w:tcW w:w="1701" w:type="dxa"/>
            <w:tcBorders>
              <w:top w:val="nil"/>
              <w:left w:val="nil"/>
              <w:bottom w:val="single" w:sz="4" w:space="0" w:color="auto"/>
              <w:right w:val="single" w:sz="4" w:space="0" w:color="auto"/>
            </w:tcBorders>
            <w:shd w:val="clear" w:color="auto" w:fill="auto"/>
            <w:noWrap/>
            <w:vAlign w:val="bottom"/>
            <w:hideMark/>
          </w:tcPr>
          <w:p w14:paraId="140EF2D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525467,45</w:t>
            </w:r>
          </w:p>
        </w:tc>
        <w:tc>
          <w:tcPr>
            <w:tcW w:w="1417" w:type="dxa"/>
            <w:tcBorders>
              <w:top w:val="nil"/>
              <w:left w:val="nil"/>
              <w:bottom w:val="single" w:sz="4" w:space="0" w:color="auto"/>
              <w:right w:val="single" w:sz="4" w:space="0" w:color="auto"/>
            </w:tcBorders>
            <w:shd w:val="clear" w:color="auto" w:fill="auto"/>
            <w:noWrap/>
            <w:vAlign w:val="bottom"/>
            <w:hideMark/>
          </w:tcPr>
          <w:p w14:paraId="1C86C13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80920,68</w:t>
            </w:r>
          </w:p>
        </w:tc>
        <w:tc>
          <w:tcPr>
            <w:tcW w:w="1560" w:type="dxa"/>
            <w:tcBorders>
              <w:top w:val="nil"/>
              <w:left w:val="nil"/>
              <w:bottom w:val="single" w:sz="4" w:space="0" w:color="auto"/>
              <w:right w:val="single" w:sz="4" w:space="0" w:color="auto"/>
            </w:tcBorders>
            <w:shd w:val="clear" w:color="auto" w:fill="auto"/>
            <w:noWrap/>
            <w:vAlign w:val="bottom"/>
            <w:hideMark/>
          </w:tcPr>
          <w:p w14:paraId="78AEA9F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2855731,36</w:t>
            </w:r>
          </w:p>
        </w:tc>
        <w:tc>
          <w:tcPr>
            <w:tcW w:w="1134" w:type="dxa"/>
            <w:tcBorders>
              <w:top w:val="nil"/>
              <w:left w:val="nil"/>
              <w:bottom w:val="single" w:sz="4" w:space="0" w:color="auto"/>
              <w:right w:val="single" w:sz="4" w:space="0" w:color="auto"/>
            </w:tcBorders>
            <w:shd w:val="clear" w:color="auto" w:fill="auto"/>
            <w:noWrap/>
            <w:vAlign w:val="bottom"/>
            <w:hideMark/>
          </w:tcPr>
          <w:p w14:paraId="5FBBBD9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48</w:t>
            </w:r>
          </w:p>
        </w:tc>
        <w:tc>
          <w:tcPr>
            <w:tcW w:w="1134" w:type="dxa"/>
            <w:tcBorders>
              <w:top w:val="nil"/>
              <w:left w:val="nil"/>
              <w:bottom w:val="single" w:sz="4" w:space="0" w:color="auto"/>
              <w:right w:val="single" w:sz="4" w:space="0" w:color="auto"/>
            </w:tcBorders>
            <w:shd w:val="clear" w:color="000000" w:fill="FFFFFF"/>
            <w:noWrap/>
            <w:vAlign w:val="bottom"/>
            <w:hideMark/>
          </w:tcPr>
          <w:p w14:paraId="4065986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38</w:t>
            </w:r>
          </w:p>
        </w:tc>
        <w:tc>
          <w:tcPr>
            <w:tcW w:w="1559" w:type="dxa"/>
            <w:tcBorders>
              <w:top w:val="nil"/>
              <w:left w:val="nil"/>
              <w:bottom w:val="single" w:sz="4" w:space="0" w:color="auto"/>
              <w:right w:val="single" w:sz="4" w:space="0" w:color="auto"/>
            </w:tcBorders>
            <w:shd w:val="clear" w:color="000000" w:fill="FFFFFF"/>
            <w:noWrap/>
            <w:vAlign w:val="bottom"/>
            <w:hideMark/>
          </w:tcPr>
          <w:p w14:paraId="1495ABD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2 018 661,22 </w:t>
            </w:r>
          </w:p>
        </w:tc>
      </w:tr>
      <w:tr w:rsidR="00E8617E" w:rsidRPr="00BC513A" w14:paraId="78F91AE8" w14:textId="77777777" w:rsidTr="00922731">
        <w:trPr>
          <w:trHeight w:val="375"/>
        </w:trPr>
        <w:tc>
          <w:tcPr>
            <w:tcW w:w="441" w:type="dxa"/>
            <w:tcBorders>
              <w:top w:val="nil"/>
              <w:left w:val="single" w:sz="4" w:space="0" w:color="auto"/>
              <w:bottom w:val="single" w:sz="4" w:space="0" w:color="auto"/>
              <w:right w:val="single" w:sz="4" w:space="0" w:color="auto"/>
            </w:tcBorders>
            <w:shd w:val="clear" w:color="auto" w:fill="auto"/>
            <w:noWrap/>
            <w:vAlign w:val="center"/>
            <w:hideMark/>
          </w:tcPr>
          <w:p w14:paraId="723019FC"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8</w:t>
            </w:r>
          </w:p>
        </w:tc>
        <w:tc>
          <w:tcPr>
            <w:tcW w:w="2462" w:type="dxa"/>
            <w:tcBorders>
              <w:top w:val="nil"/>
              <w:left w:val="nil"/>
              <w:bottom w:val="single" w:sz="4" w:space="0" w:color="auto"/>
              <w:right w:val="single" w:sz="4" w:space="0" w:color="auto"/>
            </w:tcBorders>
            <w:shd w:val="clear" w:color="auto" w:fill="auto"/>
            <w:noWrap/>
            <w:vAlign w:val="bottom"/>
            <w:hideMark/>
          </w:tcPr>
          <w:p w14:paraId="3A61C9EA"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Гълъбово 2011</w:t>
            </w:r>
          </w:p>
        </w:tc>
        <w:tc>
          <w:tcPr>
            <w:tcW w:w="992" w:type="dxa"/>
            <w:tcBorders>
              <w:top w:val="nil"/>
              <w:left w:val="nil"/>
              <w:bottom w:val="single" w:sz="4" w:space="0" w:color="auto"/>
              <w:right w:val="single" w:sz="4" w:space="0" w:color="auto"/>
            </w:tcBorders>
            <w:vAlign w:val="bottom"/>
          </w:tcPr>
          <w:p w14:paraId="548BE91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42</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67A752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41</w:t>
            </w:r>
          </w:p>
        </w:tc>
        <w:tc>
          <w:tcPr>
            <w:tcW w:w="1559" w:type="dxa"/>
            <w:tcBorders>
              <w:top w:val="nil"/>
              <w:left w:val="nil"/>
              <w:bottom w:val="single" w:sz="4" w:space="0" w:color="auto"/>
              <w:right w:val="single" w:sz="4" w:space="0" w:color="auto"/>
            </w:tcBorders>
            <w:shd w:val="clear" w:color="auto" w:fill="auto"/>
            <w:vAlign w:val="center"/>
            <w:hideMark/>
          </w:tcPr>
          <w:p w14:paraId="72ECD91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99,00%</w:t>
            </w:r>
          </w:p>
        </w:tc>
        <w:tc>
          <w:tcPr>
            <w:tcW w:w="1701" w:type="dxa"/>
            <w:tcBorders>
              <w:top w:val="nil"/>
              <w:left w:val="nil"/>
              <w:bottom w:val="single" w:sz="4" w:space="0" w:color="auto"/>
              <w:right w:val="single" w:sz="4" w:space="0" w:color="auto"/>
            </w:tcBorders>
            <w:shd w:val="clear" w:color="auto" w:fill="auto"/>
            <w:noWrap/>
            <w:vAlign w:val="bottom"/>
            <w:hideMark/>
          </w:tcPr>
          <w:p w14:paraId="0351409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428095,55</w:t>
            </w:r>
          </w:p>
        </w:tc>
        <w:tc>
          <w:tcPr>
            <w:tcW w:w="1417" w:type="dxa"/>
            <w:tcBorders>
              <w:top w:val="nil"/>
              <w:left w:val="nil"/>
              <w:bottom w:val="single" w:sz="4" w:space="0" w:color="auto"/>
              <w:right w:val="single" w:sz="4" w:space="0" w:color="auto"/>
            </w:tcBorders>
            <w:shd w:val="clear" w:color="auto" w:fill="auto"/>
            <w:noWrap/>
            <w:vAlign w:val="bottom"/>
            <w:hideMark/>
          </w:tcPr>
          <w:p w14:paraId="5F27B6C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noWrap/>
            <w:vAlign w:val="bottom"/>
            <w:hideMark/>
          </w:tcPr>
          <w:p w14:paraId="119C971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2081386,27</w:t>
            </w:r>
          </w:p>
        </w:tc>
        <w:tc>
          <w:tcPr>
            <w:tcW w:w="1134" w:type="dxa"/>
            <w:tcBorders>
              <w:top w:val="nil"/>
              <w:left w:val="nil"/>
              <w:bottom w:val="single" w:sz="4" w:space="0" w:color="auto"/>
              <w:right w:val="single" w:sz="4" w:space="0" w:color="auto"/>
            </w:tcBorders>
            <w:shd w:val="clear" w:color="auto" w:fill="auto"/>
            <w:noWrap/>
            <w:vAlign w:val="bottom"/>
            <w:hideMark/>
          </w:tcPr>
          <w:p w14:paraId="3F5C215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40</w:t>
            </w:r>
          </w:p>
        </w:tc>
        <w:tc>
          <w:tcPr>
            <w:tcW w:w="1134" w:type="dxa"/>
            <w:tcBorders>
              <w:top w:val="nil"/>
              <w:left w:val="nil"/>
              <w:bottom w:val="single" w:sz="4" w:space="0" w:color="auto"/>
              <w:right w:val="single" w:sz="4" w:space="0" w:color="auto"/>
            </w:tcBorders>
            <w:shd w:val="clear" w:color="000000" w:fill="FFFFFF"/>
            <w:noWrap/>
            <w:vAlign w:val="bottom"/>
            <w:hideMark/>
          </w:tcPr>
          <w:p w14:paraId="4C771ED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20</w:t>
            </w:r>
          </w:p>
        </w:tc>
        <w:tc>
          <w:tcPr>
            <w:tcW w:w="1559" w:type="dxa"/>
            <w:tcBorders>
              <w:top w:val="nil"/>
              <w:left w:val="nil"/>
              <w:bottom w:val="single" w:sz="4" w:space="0" w:color="auto"/>
              <w:right w:val="single" w:sz="4" w:space="0" w:color="auto"/>
            </w:tcBorders>
            <w:shd w:val="clear" w:color="000000" w:fill="FFFFFF"/>
            <w:noWrap/>
            <w:vAlign w:val="bottom"/>
            <w:hideMark/>
          </w:tcPr>
          <w:p w14:paraId="10E6954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1 004 097,89 </w:t>
            </w:r>
          </w:p>
        </w:tc>
      </w:tr>
      <w:tr w:rsidR="00E8617E" w:rsidRPr="00BC513A" w14:paraId="05B35B66" w14:textId="77777777" w:rsidTr="00922731">
        <w:trPr>
          <w:trHeight w:val="35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078A21E2"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9</w:t>
            </w:r>
          </w:p>
        </w:tc>
        <w:tc>
          <w:tcPr>
            <w:tcW w:w="2462" w:type="dxa"/>
            <w:tcBorders>
              <w:top w:val="nil"/>
              <w:left w:val="nil"/>
              <w:bottom w:val="single" w:sz="4" w:space="0" w:color="auto"/>
              <w:right w:val="single" w:sz="4" w:space="0" w:color="auto"/>
            </w:tcBorders>
            <w:shd w:val="clear" w:color="auto" w:fill="auto"/>
            <w:vAlign w:val="center"/>
            <w:hideMark/>
          </w:tcPr>
          <w:p w14:paraId="59428848"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Брезово - Братя Даскалови</w:t>
            </w:r>
          </w:p>
        </w:tc>
        <w:tc>
          <w:tcPr>
            <w:tcW w:w="992" w:type="dxa"/>
            <w:tcBorders>
              <w:top w:val="nil"/>
              <w:left w:val="nil"/>
              <w:bottom w:val="single" w:sz="4" w:space="0" w:color="auto"/>
              <w:right w:val="single" w:sz="4" w:space="0" w:color="auto"/>
            </w:tcBorders>
            <w:vAlign w:val="center"/>
          </w:tcPr>
          <w:p w14:paraId="6873204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37</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3AB044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32</w:t>
            </w:r>
          </w:p>
        </w:tc>
        <w:tc>
          <w:tcPr>
            <w:tcW w:w="1559" w:type="dxa"/>
            <w:tcBorders>
              <w:top w:val="nil"/>
              <w:left w:val="nil"/>
              <w:bottom w:val="single" w:sz="4" w:space="0" w:color="auto"/>
              <w:right w:val="single" w:sz="4" w:space="0" w:color="auto"/>
            </w:tcBorders>
            <w:shd w:val="clear" w:color="auto" w:fill="auto"/>
            <w:vAlign w:val="center"/>
            <w:hideMark/>
          </w:tcPr>
          <w:p w14:paraId="72CF537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111,98%</w:t>
            </w:r>
          </w:p>
        </w:tc>
        <w:tc>
          <w:tcPr>
            <w:tcW w:w="1701" w:type="dxa"/>
            <w:tcBorders>
              <w:top w:val="nil"/>
              <w:left w:val="nil"/>
              <w:bottom w:val="single" w:sz="4" w:space="0" w:color="auto"/>
              <w:right w:val="single" w:sz="4" w:space="0" w:color="auto"/>
            </w:tcBorders>
            <w:shd w:val="clear" w:color="auto" w:fill="auto"/>
            <w:vAlign w:val="center"/>
            <w:hideMark/>
          </w:tcPr>
          <w:p w14:paraId="16C1968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1187731,75</w:t>
            </w:r>
          </w:p>
        </w:tc>
        <w:tc>
          <w:tcPr>
            <w:tcW w:w="1417" w:type="dxa"/>
            <w:tcBorders>
              <w:top w:val="nil"/>
              <w:left w:val="nil"/>
              <w:bottom w:val="single" w:sz="4" w:space="0" w:color="auto"/>
              <w:right w:val="single" w:sz="4" w:space="0" w:color="auto"/>
            </w:tcBorders>
            <w:shd w:val="clear" w:color="auto" w:fill="auto"/>
            <w:vAlign w:val="center"/>
            <w:hideMark/>
          </w:tcPr>
          <w:p w14:paraId="1BB8AFF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1743079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2312096,17</w:t>
            </w:r>
          </w:p>
        </w:tc>
        <w:tc>
          <w:tcPr>
            <w:tcW w:w="1134" w:type="dxa"/>
            <w:tcBorders>
              <w:top w:val="nil"/>
              <w:left w:val="nil"/>
              <w:bottom w:val="single" w:sz="4" w:space="0" w:color="auto"/>
              <w:right w:val="single" w:sz="4" w:space="0" w:color="auto"/>
            </w:tcBorders>
            <w:shd w:val="clear" w:color="auto" w:fill="auto"/>
            <w:vAlign w:val="center"/>
            <w:hideMark/>
          </w:tcPr>
          <w:p w14:paraId="018737E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32</w:t>
            </w:r>
          </w:p>
        </w:tc>
        <w:tc>
          <w:tcPr>
            <w:tcW w:w="1134" w:type="dxa"/>
            <w:tcBorders>
              <w:top w:val="nil"/>
              <w:left w:val="nil"/>
              <w:bottom w:val="single" w:sz="4" w:space="0" w:color="auto"/>
              <w:right w:val="single" w:sz="4" w:space="0" w:color="auto"/>
            </w:tcBorders>
            <w:shd w:val="clear" w:color="000000" w:fill="FFFFFF"/>
            <w:noWrap/>
            <w:vAlign w:val="bottom"/>
            <w:hideMark/>
          </w:tcPr>
          <w:p w14:paraId="3B7838B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25</w:t>
            </w:r>
          </w:p>
        </w:tc>
        <w:tc>
          <w:tcPr>
            <w:tcW w:w="1559" w:type="dxa"/>
            <w:tcBorders>
              <w:top w:val="nil"/>
              <w:left w:val="nil"/>
              <w:bottom w:val="single" w:sz="4" w:space="0" w:color="auto"/>
              <w:right w:val="single" w:sz="4" w:space="0" w:color="auto"/>
            </w:tcBorders>
            <w:shd w:val="clear" w:color="000000" w:fill="FFFFFF"/>
            <w:noWrap/>
            <w:vAlign w:val="bottom"/>
            <w:hideMark/>
          </w:tcPr>
          <w:p w14:paraId="0E23926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2 328 072,49 </w:t>
            </w:r>
          </w:p>
        </w:tc>
      </w:tr>
      <w:tr w:rsidR="00E8617E" w:rsidRPr="00BC513A" w14:paraId="0A607CED" w14:textId="77777777" w:rsidTr="00922731">
        <w:trPr>
          <w:trHeight w:val="27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4CC60875"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10</w:t>
            </w:r>
          </w:p>
        </w:tc>
        <w:tc>
          <w:tcPr>
            <w:tcW w:w="2462" w:type="dxa"/>
            <w:tcBorders>
              <w:top w:val="nil"/>
              <w:left w:val="nil"/>
              <w:bottom w:val="single" w:sz="4" w:space="0" w:color="auto"/>
              <w:right w:val="single" w:sz="4" w:space="0" w:color="auto"/>
            </w:tcBorders>
            <w:shd w:val="clear" w:color="auto" w:fill="auto"/>
            <w:vAlign w:val="center"/>
            <w:hideMark/>
          </w:tcPr>
          <w:p w14:paraId="643F5761"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Чирпан</w:t>
            </w:r>
          </w:p>
        </w:tc>
        <w:tc>
          <w:tcPr>
            <w:tcW w:w="992" w:type="dxa"/>
            <w:tcBorders>
              <w:top w:val="nil"/>
              <w:left w:val="nil"/>
              <w:bottom w:val="single" w:sz="4" w:space="0" w:color="auto"/>
              <w:right w:val="single" w:sz="4" w:space="0" w:color="auto"/>
            </w:tcBorders>
            <w:vAlign w:val="center"/>
          </w:tcPr>
          <w:p w14:paraId="6D080D2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59</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8ECDCF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52</w:t>
            </w:r>
          </w:p>
        </w:tc>
        <w:tc>
          <w:tcPr>
            <w:tcW w:w="1559" w:type="dxa"/>
            <w:tcBorders>
              <w:top w:val="nil"/>
              <w:left w:val="nil"/>
              <w:bottom w:val="single" w:sz="4" w:space="0" w:color="auto"/>
              <w:right w:val="single" w:sz="4" w:space="0" w:color="auto"/>
            </w:tcBorders>
            <w:shd w:val="clear" w:color="auto" w:fill="auto"/>
            <w:vAlign w:val="center"/>
            <w:hideMark/>
          </w:tcPr>
          <w:p w14:paraId="61E4F2A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110,52%</w:t>
            </w:r>
          </w:p>
        </w:tc>
        <w:tc>
          <w:tcPr>
            <w:tcW w:w="1701" w:type="dxa"/>
            <w:tcBorders>
              <w:top w:val="nil"/>
              <w:left w:val="nil"/>
              <w:bottom w:val="single" w:sz="4" w:space="0" w:color="auto"/>
              <w:right w:val="single" w:sz="4" w:space="0" w:color="auto"/>
            </w:tcBorders>
            <w:shd w:val="clear" w:color="auto" w:fill="auto"/>
            <w:vAlign w:val="center"/>
            <w:hideMark/>
          </w:tcPr>
          <w:p w14:paraId="273EAA9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511455,06</w:t>
            </w:r>
          </w:p>
        </w:tc>
        <w:tc>
          <w:tcPr>
            <w:tcW w:w="1417" w:type="dxa"/>
            <w:tcBorders>
              <w:top w:val="nil"/>
              <w:left w:val="nil"/>
              <w:bottom w:val="single" w:sz="4" w:space="0" w:color="auto"/>
              <w:right w:val="single" w:sz="4" w:space="0" w:color="auto"/>
            </w:tcBorders>
            <w:shd w:val="clear" w:color="auto" w:fill="auto"/>
            <w:vAlign w:val="center"/>
            <w:hideMark/>
          </w:tcPr>
          <w:p w14:paraId="2A244C1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4D87B5E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2969965,01</w:t>
            </w:r>
          </w:p>
        </w:tc>
        <w:tc>
          <w:tcPr>
            <w:tcW w:w="1134" w:type="dxa"/>
            <w:tcBorders>
              <w:top w:val="nil"/>
              <w:left w:val="nil"/>
              <w:bottom w:val="single" w:sz="4" w:space="0" w:color="auto"/>
              <w:right w:val="single" w:sz="4" w:space="0" w:color="auto"/>
            </w:tcBorders>
            <w:shd w:val="clear" w:color="auto" w:fill="auto"/>
            <w:vAlign w:val="center"/>
            <w:hideMark/>
          </w:tcPr>
          <w:p w14:paraId="6A5ACE9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50</w:t>
            </w:r>
          </w:p>
        </w:tc>
        <w:tc>
          <w:tcPr>
            <w:tcW w:w="1134" w:type="dxa"/>
            <w:tcBorders>
              <w:top w:val="nil"/>
              <w:left w:val="nil"/>
              <w:bottom w:val="single" w:sz="4" w:space="0" w:color="auto"/>
              <w:right w:val="single" w:sz="4" w:space="0" w:color="auto"/>
            </w:tcBorders>
            <w:shd w:val="clear" w:color="000000" w:fill="FFFFFF"/>
            <w:noWrap/>
            <w:vAlign w:val="bottom"/>
            <w:hideMark/>
          </w:tcPr>
          <w:p w14:paraId="38B5397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41</w:t>
            </w:r>
          </w:p>
        </w:tc>
        <w:tc>
          <w:tcPr>
            <w:tcW w:w="1559" w:type="dxa"/>
            <w:tcBorders>
              <w:top w:val="nil"/>
              <w:left w:val="nil"/>
              <w:bottom w:val="single" w:sz="4" w:space="0" w:color="auto"/>
              <w:right w:val="single" w:sz="4" w:space="0" w:color="auto"/>
            </w:tcBorders>
            <w:shd w:val="clear" w:color="000000" w:fill="FFFFFF"/>
            <w:noWrap/>
            <w:vAlign w:val="bottom"/>
            <w:hideMark/>
          </w:tcPr>
          <w:p w14:paraId="1B6B9C8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2 486 217,01 </w:t>
            </w:r>
          </w:p>
        </w:tc>
      </w:tr>
      <w:tr w:rsidR="00E8617E" w:rsidRPr="00BC513A" w14:paraId="217A30C2" w14:textId="77777777" w:rsidTr="00922731">
        <w:trPr>
          <w:trHeight w:val="420"/>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32A54513"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11</w:t>
            </w:r>
          </w:p>
        </w:tc>
        <w:tc>
          <w:tcPr>
            <w:tcW w:w="2462" w:type="dxa"/>
            <w:tcBorders>
              <w:top w:val="nil"/>
              <w:left w:val="nil"/>
              <w:bottom w:val="single" w:sz="4" w:space="0" w:color="auto"/>
              <w:right w:val="single" w:sz="4" w:space="0" w:color="auto"/>
            </w:tcBorders>
            <w:shd w:val="clear" w:color="auto" w:fill="auto"/>
            <w:vAlign w:val="center"/>
            <w:hideMark/>
          </w:tcPr>
          <w:p w14:paraId="0957AD7E"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Кнежа</w:t>
            </w:r>
          </w:p>
        </w:tc>
        <w:tc>
          <w:tcPr>
            <w:tcW w:w="992" w:type="dxa"/>
            <w:tcBorders>
              <w:top w:val="nil"/>
              <w:left w:val="nil"/>
              <w:bottom w:val="single" w:sz="4" w:space="0" w:color="auto"/>
              <w:right w:val="single" w:sz="4" w:space="0" w:color="auto"/>
            </w:tcBorders>
            <w:vAlign w:val="center"/>
          </w:tcPr>
          <w:p w14:paraId="03A7681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29</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51A98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22</w:t>
            </w:r>
          </w:p>
        </w:tc>
        <w:tc>
          <w:tcPr>
            <w:tcW w:w="1559" w:type="dxa"/>
            <w:tcBorders>
              <w:top w:val="nil"/>
              <w:left w:val="nil"/>
              <w:bottom w:val="single" w:sz="4" w:space="0" w:color="auto"/>
              <w:right w:val="single" w:sz="4" w:space="0" w:color="auto"/>
            </w:tcBorders>
            <w:shd w:val="clear" w:color="auto" w:fill="auto"/>
            <w:vAlign w:val="center"/>
            <w:hideMark/>
          </w:tcPr>
          <w:p w14:paraId="7FE1721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93,97%</w:t>
            </w:r>
          </w:p>
        </w:tc>
        <w:tc>
          <w:tcPr>
            <w:tcW w:w="1701" w:type="dxa"/>
            <w:tcBorders>
              <w:top w:val="nil"/>
              <w:left w:val="nil"/>
              <w:bottom w:val="single" w:sz="4" w:space="0" w:color="auto"/>
              <w:right w:val="single" w:sz="4" w:space="0" w:color="auto"/>
            </w:tcBorders>
            <w:shd w:val="clear" w:color="auto" w:fill="auto"/>
            <w:vAlign w:val="center"/>
            <w:hideMark/>
          </w:tcPr>
          <w:p w14:paraId="06E2B23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359827,79</w:t>
            </w:r>
          </w:p>
        </w:tc>
        <w:tc>
          <w:tcPr>
            <w:tcW w:w="1417" w:type="dxa"/>
            <w:tcBorders>
              <w:top w:val="nil"/>
              <w:left w:val="nil"/>
              <w:bottom w:val="single" w:sz="4" w:space="0" w:color="auto"/>
              <w:right w:val="single" w:sz="4" w:space="0" w:color="auto"/>
            </w:tcBorders>
            <w:shd w:val="clear" w:color="auto" w:fill="auto"/>
            <w:vAlign w:val="center"/>
            <w:hideMark/>
          </w:tcPr>
          <w:p w14:paraId="41DC14D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331857A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2306633,56</w:t>
            </w:r>
          </w:p>
        </w:tc>
        <w:tc>
          <w:tcPr>
            <w:tcW w:w="1134" w:type="dxa"/>
            <w:tcBorders>
              <w:top w:val="nil"/>
              <w:left w:val="nil"/>
              <w:bottom w:val="single" w:sz="4" w:space="0" w:color="auto"/>
              <w:right w:val="single" w:sz="4" w:space="0" w:color="auto"/>
            </w:tcBorders>
            <w:shd w:val="clear" w:color="auto" w:fill="auto"/>
            <w:vAlign w:val="center"/>
            <w:hideMark/>
          </w:tcPr>
          <w:p w14:paraId="47E8139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22</w:t>
            </w:r>
          </w:p>
        </w:tc>
        <w:tc>
          <w:tcPr>
            <w:tcW w:w="1134" w:type="dxa"/>
            <w:tcBorders>
              <w:top w:val="nil"/>
              <w:left w:val="nil"/>
              <w:bottom w:val="single" w:sz="4" w:space="0" w:color="auto"/>
              <w:right w:val="single" w:sz="4" w:space="0" w:color="auto"/>
            </w:tcBorders>
            <w:shd w:val="clear" w:color="000000" w:fill="FFFFFF"/>
            <w:noWrap/>
            <w:vAlign w:val="bottom"/>
            <w:hideMark/>
          </w:tcPr>
          <w:p w14:paraId="2D45355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22</w:t>
            </w:r>
          </w:p>
        </w:tc>
        <w:tc>
          <w:tcPr>
            <w:tcW w:w="1559" w:type="dxa"/>
            <w:tcBorders>
              <w:top w:val="nil"/>
              <w:left w:val="nil"/>
              <w:bottom w:val="single" w:sz="4" w:space="0" w:color="auto"/>
              <w:right w:val="single" w:sz="4" w:space="0" w:color="auto"/>
            </w:tcBorders>
            <w:shd w:val="clear" w:color="000000" w:fill="FFFFFF"/>
            <w:noWrap/>
            <w:vAlign w:val="bottom"/>
            <w:hideMark/>
          </w:tcPr>
          <w:p w14:paraId="531D2DF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2 335 511,63 </w:t>
            </w:r>
          </w:p>
        </w:tc>
      </w:tr>
      <w:tr w:rsidR="00E8617E" w:rsidRPr="00BC513A" w14:paraId="43B0C20B" w14:textId="77777777" w:rsidTr="00922731">
        <w:trPr>
          <w:trHeight w:val="399"/>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67AD40E4"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12</w:t>
            </w:r>
          </w:p>
        </w:tc>
        <w:tc>
          <w:tcPr>
            <w:tcW w:w="2462" w:type="dxa"/>
            <w:tcBorders>
              <w:top w:val="nil"/>
              <w:left w:val="nil"/>
              <w:bottom w:val="single" w:sz="4" w:space="0" w:color="auto"/>
              <w:right w:val="single" w:sz="4" w:space="0" w:color="auto"/>
            </w:tcBorders>
            <w:shd w:val="clear" w:color="auto" w:fill="auto"/>
            <w:vAlign w:val="center"/>
            <w:hideMark/>
          </w:tcPr>
          <w:p w14:paraId="7C9F506D"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Високи Западни Родопи</w:t>
            </w:r>
          </w:p>
        </w:tc>
        <w:tc>
          <w:tcPr>
            <w:tcW w:w="992" w:type="dxa"/>
            <w:tcBorders>
              <w:top w:val="nil"/>
              <w:left w:val="nil"/>
              <w:bottom w:val="single" w:sz="4" w:space="0" w:color="auto"/>
              <w:right w:val="single" w:sz="4" w:space="0" w:color="auto"/>
            </w:tcBorders>
            <w:vAlign w:val="center"/>
          </w:tcPr>
          <w:p w14:paraId="06DD717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48</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57A70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39</w:t>
            </w:r>
          </w:p>
        </w:tc>
        <w:tc>
          <w:tcPr>
            <w:tcW w:w="1559" w:type="dxa"/>
            <w:tcBorders>
              <w:top w:val="nil"/>
              <w:left w:val="nil"/>
              <w:bottom w:val="single" w:sz="4" w:space="0" w:color="auto"/>
              <w:right w:val="single" w:sz="4" w:space="0" w:color="auto"/>
            </w:tcBorders>
            <w:shd w:val="clear" w:color="auto" w:fill="auto"/>
            <w:vAlign w:val="center"/>
            <w:hideMark/>
          </w:tcPr>
          <w:p w14:paraId="55B03AA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103,72%</w:t>
            </w:r>
          </w:p>
        </w:tc>
        <w:tc>
          <w:tcPr>
            <w:tcW w:w="1701" w:type="dxa"/>
            <w:tcBorders>
              <w:top w:val="nil"/>
              <w:left w:val="nil"/>
              <w:bottom w:val="single" w:sz="4" w:space="0" w:color="auto"/>
              <w:right w:val="single" w:sz="4" w:space="0" w:color="auto"/>
            </w:tcBorders>
            <w:shd w:val="clear" w:color="auto" w:fill="auto"/>
            <w:vAlign w:val="center"/>
            <w:hideMark/>
          </w:tcPr>
          <w:p w14:paraId="64C6AA4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536972,25</w:t>
            </w:r>
          </w:p>
        </w:tc>
        <w:tc>
          <w:tcPr>
            <w:tcW w:w="1417" w:type="dxa"/>
            <w:tcBorders>
              <w:top w:val="nil"/>
              <w:left w:val="nil"/>
              <w:bottom w:val="single" w:sz="4" w:space="0" w:color="auto"/>
              <w:right w:val="single" w:sz="4" w:space="0" w:color="auto"/>
            </w:tcBorders>
            <w:shd w:val="clear" w:color="auto" w:fill="auto"/>
            <w:vAlign w:val="center"/>
            <w:hideMark/>
          </w:tcPr>
          <w:p w14:paraId="347F339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0EEA305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2646407,30</w:t>
            </w:r>
          </w:p>
        </w:tc>
        <w:tc>
          <w:tcPr>
            <w:tcW w:w="1134" w:type="dxa"/>
            <w:tcBorders>
              <w:top w:val="nil"/>
              <w:left w:val="nil"/>
              <w:bottom w:val="single" w:sz="4" w:space="0" w:color="auto"/>
              <w:right w:val="single" w:sz="4" w:space="0" w:color="auto"/>
            </w:tcBorders>
            <w:shd w:val="clear" w:color="auto" w:fill="auto"/>
            <w:vAlign w:val="center"/>
            <w:hideMark/>
          </w:tcPr>
          <w:p w14:paraId="494D84A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39</w:t>
            </w:r>
          </w:p>
        </w:tc>
        <w:tc>
          <w:tcPr>
            <w:tcW w:w="1134" w:type="dxa"/>
            <w:tcBorders>
              <w:top w:val="nil"/>
              <w:left w:val="nil"/>
              <w:bottom w:val="single" w:sz="4" w:space="0" w:color="auto"/>
              <w:right w:val="single" w:sz="4" w:space="0" w:color="auto"/>
            </w:tcBorders>
            <w:shd w:val="clear" w:color="000000" w:fill="FFFFFF"/>
            <w:noWrap/>
            <w:vAlign w:val="bottom"/>
            <w:hideMark/>
          </w:tcPr>
          <w:p w14:paraId="3DE7991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24</w:t>
            </w:r>
          </w:p>
        </w:tc>
        <w:tc>
          <w:tcPr>
            <w:tcW w:w="1559" w:type="dxa"/>
            <w:tcBorders>
              <w:top w:val="nil"/>
              <w:left w:val="nil"/>
              <w:bottom w:val="single" w:sz="4" w:space="0" w:color="auto"/>
              <w:right w:val="single" w:sz="4" w:space="0" w:color="auto"/>
            </w:tcBorders>
            <w:shd w:val="clear" w:color="000000" w:fill="FFFFFF"/>
            <w:noWrap/>
            <w:vAlign w:val="bottom"/>
            <w:hideMark/>
          </w:tcPr>
          <w:p w14:paraId="78E9FD8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2 128 473,82 </w:t>
            </w:r>
          </w:p>
        </w:tc>
      </w:tr>
      <w:tr w:rsidR="00E8617E" w:rsidRPr="00BC513A" w14:paraId="0E03A1C4" w14:textId="77777777" w:rsidTr="00922731">
        <w:trPr>
          <w:trHeight w:val="419"/>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6F110645"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13</w:t>
            </w:r>
          </w:p>
        </w:tc>
        <w:tc>
          <w:tcPr>
            <w:tcW w:w="2462" w:type="dxa"/>
            <w:tcBorders>
              <w:top w:val="nil"/>
              <w:left w:val="nil"/>
              <w:bottom w:val="single" w:sz="4" w:space="0" w:color="auto"/>
              <w:right w:val="single" w:sz="4" w:space="0" w:color="auto"/>
            </w:tcBorders>
            <w:shd w:val="clear" w:color="auto" w:fill="auto"/>
            <w:vAlign w:val="center"/>
            <w:hideMark/>
          </w:tcPr>
          <w:p w14:paraId="7B2A82F1"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Нови пазар - Каспичан</w:t>
            </w:r>
          </w:p>
        </w:tc>
        <w:tc>
          <w:tcPr>
            <w:tcW w:w="992" w:type="dxa"/>
            <w:tcBorders>
              <w:top w:val="nil"/>
              <w:left w:val="nil"/>
              <w:bottom w:val="single" w:sz="4" w:space="0" w:color="auto"/>
              <w:right w:val="single" w:sz="4" w:space="0" w:color="auto"/>
            </w:tcBorders>
            <w:vAlign w:val="center"/>
          </w:tcPr>
          <w:p w14:paraId="28EE5DC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38</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8F4E8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35</w:t>
            </w:r>
          </w:p>
        </w:tc>
        <w:tc>
          <w:tcPr>
            <w:tcW w:w="1559" w:type="dxa"/>
            <w:tcBorders>
              <w:top w:val="nil"/>
              <w:left w:val="nil"/>
              <w:bottom w:val="single" w:sz="4" w:space="0" w:color="auto"/>
              <w:right w:val="single" w:sz="4" w:space="0" w:color="auto"/>
            </w:tcBorders>
            <w:shd w:val="clear" w:color="auto" w:fill="auto"/>
            <w:vAlign w:val="center"/>
            <w:hideMark/>
          </w:tcPr>
          <w:p w14:paraId="23C3E78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114,57%</w:t>
            </w:r>
          </w:p>
        </w:tc>
        <w:tc>
          <w:tcPr>
            <w:tcW w:w="1701" w:type="dxa"/>
            <w:tcBorders>
              <w:top w:val="nil"/>
              <w:left w:val="nil"/>
              <w:bottom w:val="single" w:sz="4" w:space="0" w:color="auto"/>
              <w:right w:val="single" w:sz="4" w:space="0" w:color="auto"/>
            </w:tcBorders>
            <w:shd w:val="clear" w:color="auto" w:fill="auto"/>
            <w:vAlign w:val="center"/>
            <w:hideMark/>
          </w:tcPr>
          <w:p w14:paraId="2D96347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905468,40</w:t>
            </w:r>
          </w:p>
        </w:tc>
        <w:tc>
          <w:tcPr>
            <w:tcW w:w="1417" w:type="dxa"/>
            <w:tcBorders>
              <w:top w:val="nil"/>
              <w:left w:val="nil"/>
              <w:bottom w:val="single" w:sz="4" w:space="0" w:color="auto"/>
              <w:right w:val="single" w:sz="4" w:space="0" w:color="auto"/>
            </w:tcBorders>
            <w:shd w:val="clear" w:color="auto" w:fill="auto"/>
            <w:vAlign w:val="center"/>
            <w:hideMark/>
          </w:tcPr>
          <w:p w14:paraId="766837F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1738AE9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1460901,87</w:t>
            </w:r>
          </w:p>
        </w:tc>
        <w:tc>
          <w:tcPr>
            <w:tcW w:w="1134" w:type="dxa"/>
            <w:tcBorders>
              <w:top w:val="nil"/>
              <w:left w:val="nil"/>
              <w:bottom w:val="single" w:sz="4" w:space="0" w:color="auto"/>
              <w:right w:val="single" w:sz="4" w:space="0" w:color="auto"/>
            </w:tcBorders>
            <w:shd w:val="clear" w:color="auto" w:fill="auto"/>
            <w:vAlign w:val="center"/>
            <w:hideMark/>
          </w:tcPr>
          <w:p w14:paraId="748DB96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27</w:t>
            </w:r>
          </w:p>
        </w:tc>
        <w:tc>
          <w:tcPr>
            <w:tcW w:w="1134" w:type="dxa"/>
            <w:tcBorders>
              <w:top w:val="nil"/>
              <w:left w:val="nil"/>
              <w:bottom w:val="single" w:sz="4" w:space="0" w:color="auto"/>
              <w:right w:val="single" w:sz="4" w:space="0" w:color="auto"/>
            </w:tcBorders>
            <w:shd w:val="clear" w:color="000000" w:fill="FFFFFF"/>
            <w:noWrap/>
            <w:vAlign w:val="bottom"/>
            <w:hideMark/>
          </w:tcPr>
          <w:p w14:paraId="7C0F991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21</w:t>
            </w:r>
          </w:p>
        </w:tc>
        <w:tc>
          <w:tcPr>
            <w:tcW w:w="1559" w:type="dxa"/>
            <w:tcBorders>
              <w:top w:val="nil"/>
              <w:left w:val="nil"/>
              <w:bottom w:val="single" w:sz="4" w:space="0" w:color="auto"/>
              <w:right w:val="single" w:sz="4" w:space="0" w:color="auto"/>
            </w:tcBorders>
            <w:shd w:val="clear" w:color="000000" w:fill="FFFFFF"/>
            <w:noWrap/>
            <w:vAlign w:val="bottom"/>
            <w:hideMark/>
          </w:tcPr>
          <w:p w14:paraId="7D71B39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1 577 201,25 </w:t>
            </w:r>
          </w:p>
        </w:tc>
      </w:tr>
      <w:tr w:rsidR="00E8617E" w:rsidRPr="00BC513A" w14:paraId="44AA07CC" w14:textId="77777777" w:rsidTr="00922731">
        <w:trPr>
          <w:trHeight w:val="424"/>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3C61A40F"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14</w:t>
            </w:r>
          </w:p>
        </w:tc>
        <w:tc>
          <w:tcPr>
            <w:tcW w:w="2462" w:type="dxa"/>
            <w:tcBorders>
              <w:top w:val="nil"/>
              <w:left w:val="nil"/>
              <w:bottom w:val="single" w:sz="4" w:space="0" w:color="auto"/>
              <w:right w:val="single" w:sz="4" w:space="0" w:color="auto"/>
            </w:tcBorders>
            <w:shd w:val="clear" w:color="auto" w:fill="auto"/>
            <w:vAlign w:val="center"/>
            <w:hideMark/>
          </w:tcPr>
          <w:p w14:paraId="08DFB4B6"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Троян и Априлци</w:t>
            </w:r>
          </w:p>
        </w:tc>
        <w:tc>
          <w:tcPr>
            <w:tcW w:w="992" w:type="dxa"/>
            <w:tcBorders>
              <w:top w:val="nil"/>
              <w:left w:val="nil"/>
              <w:bottom w:val="single" w:sz="4" w:space="0" w:color="auto"/>
              <w:right w:val="single" w:sz="4" w:space="0" w:color="auto"/>
            </w:tcBorders>
            <w:vAlign w:val="center"/>
          </w:tcPr>
          <w:p w14:paraId="092454C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62</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1D4312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61</w:t>
            </w:r>
          </w:p>
        </w:tc>
        <w:tc>
          <w:tcPr>
            <w:tcW w:w="1559" w:type="dxa"/>
            <w:tcBorders>
              <w:top w:val="nil"/>
              <w:left w:val="nil"/>
              <w:bottom w:val="single" w:sz="4" w:space="0" w:color="auto"/>
              <w:right w:val="single" w:sz="4" w:space="0" w:color="auto"/>
            </w:tcBorders>
            <w:shd w:val="clear" w:color="auto" w:fill="auto"/>
            <w:vAlign w:val="center"/>
            <w:hideMark/>
          </w:tcPr>
          <w:p w14:paraId="546E721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146,01%</w:t>
            </w:r>
          </w:p>
        </w:tc>
        <w:tc>
          <w:tcPr>
            <w:tcW w:w="1701" w:type="dxa"/>
            <w:tcBorders>
              <w:top w:val="nil"/>
              <w:left w:val="nil"/>
              <w:bottom w:val="single" w:sz="4" w:space="0" w:color="auto"/>
              <w:right w:val="single" w:sz="4" w:space="0" w:color="auto"/>
            </w:tcBorders>
            <w:shd w:val="clear" w:color="auto" w:fill="auto"/>
            <w:vAlign w:val="center"/>
            <w:hideMark/>
          </w:tcPr>
          <w:p w14:paraId="2C1CD7A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1053254,63</w:t>
            </w:r>
          </w:p>
        </w:tc>
        <w:tc>
          <w:tcPr>
            <w:tcW w:w="1417" w:type="dxa"/>
            <w:tcBorders>
              <w:top w:val="nil"/>
              <w:left w:val="nil"/>
              <w:bottom w:val="single" w:sz="4" w:space="0" w:color="auto"/>
              <w:right w:val="single" w:sz="4" w:space="0" w:color="auto"/>
            </w:tcBorders>
            <w:shd w:val="clear" w:color="auto" w:fill="auto"/>
            <w:vAlign w:val="center"/>
            <w:hideMark/>
          </w:tcPr>
          <w:p w14:paraId="69899A3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41094,46</w:t>
            </w:r>
          </w:p>
        </w:tc>
        <w:tc>
          <w:tcPr>
            <w:tcW w:w="1560" w:type="dxa"/>
            <w:tcBorders>
              <w:top w:val="nil"/>
              <w:left w:val="nil"/>
              <w:bottom w:val="single" w:sz="4" w:space="0" w:color="auto"/>
              <w:right w:val="single" w:sz="4" w:space="0" w:color="auto"/>
            </w:tcBorders>
            <w:shd w:val="clear" w:color="auto" w:fill="auto"/>
            <w:vAlign w:val="center"/>
            <w:hideMark/>
          </w:tcPr>
          <w:p w14:paraId="5EEF63C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3431838,91</w:t>
            </w:r>
          </w:p>
        </w:tc>
        <w:tc>
          <w:tcPr>
            <w:tcW w:w="1134" w:type="dxa"/>
            <w:tcBorders>
              <w:top w:val="nil"/>
              <w:left w:val="nil"/>
              <w:bottom w:val="single" w:sz="4" w:space="0" w:color="auto"/>
              <w:right w:val="single" w:sz="4" w:space="0" w:color="auto"/>
            </w:tcBorders>
            <w:shd w:val="clear" w:color="auto" w:fill="auto"/>
            <w:vAlign w:val="center"/>
            <w:hideMark/>
          </w:tcPr>
          <w:p w14:paraId="20D319D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55</w:t>
            </w:r>
          </w:p>
        </w:tc>
        <w:tc>
          <w:tcPr>
            <w:tcW w:w="1134" w:type="dxa"/>
            <w:tcBorders>
              <w:top w:val="nil"/>
              <w:left w:val="nil"/>
              <w:bottom w:val="single" w:sz="4" w:space="0" w:color="auto"/>
              <w:right w:val="single" w:sz="4" w:space="0" w:color="auto"/>
            </w:tcBorders>
            <w:shd w:val="clear" w:color="000000" w:fill="FFFFFF"/>
            <w:noWrap/>
            <w:vAlign w:val="bottom"/>
            <w:hideMark/>
          </w:tcPr>
          <w:p w14:paraId="5D940DF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42</w:t>
            </w:r>
          </w:p>
        </w:tc>
        <w:tc>
          <w:tcPr>
            <w:tcW w:w="1559" w:type="dxa"/>
            <w:tcBorders>
              <w:top w:val="nil"/>
              <w:left w:val="nil"/>
              <w:bottom w:val="single" w:sz="4" w:space="0" w:color="auto"/>
              <w:right w:val="single" w:sz="4" w:space="0" w:color="auto"/>
            </w:tcBorders>
            <w:shd w:val="clear" w:color="000000" w:fill="FFFFFF"/>
            <w:noWrap/>
            <w:vAlign w:val="bottom"/>
            <w:hideMark/>
          </w:tcPr>
          <w:p w14:paraId="13E7F4E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2 638 275,28 </w:t>
            </w:r>
          </w:p>
        </w:tc>
      </w:tr>
      <w:tr w:rsidR="00E8617E" w:rsidRPr="00BC513A" w14:paraId="5EE999BE" w14:textId="77777777" w:rsidTr="00922731">
        <w:trPr>
          <w:trHeight w:val="420"/>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49F9EF75"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15</w:t>
            </w:r>
          </w:p>
        </w:tc>
        <w:tc>
          <w:tcPr>
            <w:tcW w:w="2462" w:type="dxa"/>
            <w:tcBorders>
              <w:top w:val="nil"/>
              <w:left w:val="nil"/>
              <w:bottom w:val="single" w:sz="4" w:space="0" w:color="auto"/>
              <w:right w:val="single" w:sz="4" w:space="0" w:color="auto"/>
            </w:tcBorders>
            <w:shd w:val="clear" w:color="auto" w:fill="auto"/>
            <w:vAlign w:val="center"/>
            <w:hideMark/>
          </w:tcPr>
          <w:p w14:paraId="146426E2"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Попово</w:t>
            </w:r>
          </w:p>
        </w:tc>
        <w:tc>
          <w:tcPr>
            <w:tcW w:w="992" w:type="dxa"/>
            <w:tcBorders>
              <w:top w:val="nil"/>
              <w:left w:val="nil"/>
              <w:bottom w:val="single" w:sz="4" w:space="0" w:color="auto"/>
              <w:right w:val="single" w:sz="4" w:space="0" w:color="auto"/>
            </w:tcBorders>
            <w:vAlign w:val="center"/>
          </w:tcPr>
          <w:p w14:paraId="61347B9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576921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53</w:t>
            </w:r>
          </w:p>
        </w:tc>
        <w:tc>
          <w:tcPr>
            <w:tcW w:w="1559" w:type="dxa"/>
            <w:tcBorders>
              <w:top w:val="nil"/>
              <w:left w:val="nil"/>
              <w:bottom w:val="single" w:sz="4" w:space="0" w:color="auto"/>
              <w:right w:val="single" w:sz="4" w:space="0" w:color="auto"/>
            </w:tcBorders>
            <w:shd w:val="clear" w:color="auto" w:fill="auto"/>
            <w:vAlign w:val="center"/>
            <w:hideMark/>
          </w:tcPr>
          <w:p w14:paraId="20CE8F3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123,48%</w:t>
            </w:r>
          </w:p>
        </w:tc>
        <w:tc>
          <w:tcPr>
            <w:tcW w:w="1701" w:type="dxa"/>
            <w:tcBorders>
              <w:top w:val="nil"/>
              <w:left w:val="nil"/>
              <w:bottom w:val="single" w:sz="4" w:space="0" w:color="auto"/>
              <w:right w:val="single" w:sz="4" w:space="0" w:color="auto"/>
            </w:tcBorders>
            <w:shd w:val="clear" w:color="auto" w:fill="auto"/>
            <w:vAlign w:val="center"/>
            <w:hideMark/>
          </w:tcPr>
          <w:p w14:paraId="2F57E55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2227117,23</w:t>
            </w:r>
          </w:p>
        </w:tc>
        <w:tc>
          <w:tcPr>
            <w:tcW w:w="1417" w:type="dxa"/>
            <w:tcBorders>
              <w:top w:val="nil"/>
              <w:left w:val="nil"/>
              <w:bottom w:val="single" w:sz="4" w:space="0" w:color="auto"/>
              <w:right w:val="single" w:sz="4" w:space="0" w:color="auto"/>
            </w:tcBorders>
            <w:shd w:val="clear" w:color="auto" w:fill="auto"/>
            <w:vAlign w:val="center"/>
            <w:hideMark/>
          </w:tcPr>
          <w:p w14:paraId="5A05868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125409,12</w:t>
            </w:r>
          </w:p>
        </w:tc>
        <w:tc>
          <w:tcPr>
            <w:tcW w:w="1560" w:type="dxa"/>
            <w:tcBorders>
              <w:top w:val="nil"/>
              <w:left w:val="nil"/>
              <w:bottom w:val="single" w:sz="4" w:space="0" w:color="auto"/>
              <w:right w:val="single" w:sz="4" w:space="0" w:color="auto"/>
            </w:tcBorders>
            <w:shd w:val="clear" w:color="auto" w:fill="auto"/>
            <w:vAlign w:val="center"/>
            <w:hideMark/>
          </w:tcPr>
          <w:p w14:paraId="2106E00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1510994,15</w:t>
            </w:r>
          </w:p>
        </w:tc>
        <w:tc>
          <w:tcPr>
            <w:tcW w:w="1134" w:type="dxa"/>
            <w:tcBorders>
              <w:top w:val="nil"/>
              <w:left w:val="nil"/>
              <w:bottom w:val="single" w:sz="4" w:space="0" w:color="auto"/>
              <w:right w:val="single" w:sz="4" w:space="0" w:color="auto"/>
            </w:tcBorders>
            <w:shd w:val="clear" w:color="auto" w:fill="auto"/>
            <w:vAlign w:val="center"/>
            <w:hideMark/>
          </w:tcPr>
          <w:p w14:paraId="1FCD577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53</w:t>
            </w:r>
          </w:p>
        </w:tc>
        <w:tc>
          <w:tcPr>
            <w:tcW w:w="1134" w:type="dxa"/>
            <w:tcBorders>
              <w:top w:val="nil"/>
              <w:left w:val="nil"/>
              <w:bottom w:val="single" w:sz="4" w:space="0" w:color="auto"/>
              <w:right w:val="single" w:sz="4" w:space="0" w:color="auto"/>
            </w:tcBorders>
            <w:shd w:val="clear" w:color="000000" w:fill="FFFFFF"/>
            <w:noWrap/>
            <w:vAlign w:val="bottom"/>
            <w:hideMark/>
          </w:tcPr>
          <w:p w14:paraId="23A151C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47</w:t>
            </w:r>
          </w:p>
        </w:tc>
        <w:tc>
          <w:tcPr>
            <w:tcW w:w="1559" w:type="dxa"/>
            <w:tcBorders>
              <w:top w:val="nil"/>
              <w:left w:val="nil"/>
              <w:bottom w:val="single" w:sz="4" w:space="0" w:color="auto"/>
              <w:right w:val="single" w:sz="4" w:space="0" w:color="auto"/>
            </w:tcBorders>
            <w:shd w:val="clear" w:color="000000" w:fill="FFFFFF"/>
            <w:noWrap/>
            <w:vAlign w:val="bottom"/>
            <w:hideMark/>
          </w:tcPr>
          <w:p w14:paraId="7ECB78E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2 881 745,50 </w:t>
            </w:r>
          </w:p>
        </w:tc>
      </w:tr>
      <w:tr w:rsidR="00E8617E" w:rsidRPr="00BC513A" w14:paraId="35994782" w14:textId="77777777" w:rsidTr="00922731">
        <w:trPr>
          <w:trHeight w:val="570"/>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42BC02D6"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16</w:t>
            </w:r>
          </w:p>
        </w:tc>
        <w:tc>
          <w:tcPr>
            <w:tcW w:w="2462" w:type="dxa"/>
            <w:tcBorders>
              <w:top w:val="nil"/>
              <w:left w:val="nil"/>
              <w:bottom w:val="single" w:sz="4" w:space="0" w:color="auto"/>
              <w:right w:val="single" w:sz="4" w:space="0" w:color="auto"/>
            </w:tcBorders>
            <w:shd w:val="clear" w:color="auto" w:fill="auto"/>
            <w:vAlign w:val="center"/>
            <w:hideMark/>
          </w:tcPr>
          <w:p w14:paraId="41C5AC66"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Тракийско - Родопска яка</w:t>
            </w:r>
          </w:p>
        </w:tc>
        <w:tc>
          <w:tcPr>
            <w:tcW w:w="992" w:type="dxa"/>
            <w:tcBorders>
              <w:top w:val="nil"/>
              <w:left w:val="nil"/>
              <w:bottom w:val="single" w:sz="4" w:space="0" w:color="auto"/>
              <w:right w:val="single" w:sz="4" w:space="0" w:color="auto"/>
            </w:tcBorders>
            <w:vAlign w:val="center"/>
          </w:tcPr>
          <w:p w14:paraId="5773AB0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7533E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51</w:t>
            </w:r>
          </w:p>
        </w:tc>
        <w:tc>
          <w:tcPr>
            <w:tcW w:w="1559" w:type="dxa"/>
            <w:tcBorders>
              <w:top w:val="nil"/>
              <w:left w:val="nil"/>
              <w:bottom w:val="single" w:sz="4" w:space="0" w:color="auto"/>
              <w:right w:val="single" w:sz="4" w:space="0" w:color="auto"/>
            </w:tcBorders>
            <w:shd w:val="clear" w:color="auto" w:fill="auto"/>
            <w:vAlign w:val="center"/>
            <w:hideMark/>
          </w:tcPr>
          <w:p w14:paraId="2A5561F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110,08%</w:t>
            </w:r>
          </w:p>
        </w:tc>
        <w:tc>
          <w:tcPr>
            <w:tcW w:w="1701" w:type="dxa"/>
            <w:tcBorders>
              <w:top w:val="nil"/>
              <w:left w:val="nil"/>
              <w:bottom w:val="single" w:sz="4" w:space="0" w:color="auto"/>
              <w:right w:val="single" w:sz="4" w:space="0" w:color="auto"/>
            </w:tcBorders>
            <w:shd w:val="clear" w:color="auto" w:fill="auto"/>
            <w:vAlign w:val="center"/>
            <w:hideMark/>
          </w:tcPr>
          <w:p w14:paraId="289BFEE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664297,08</w:t>
            </w:r>
          </w:p>
        </w:tc>
        <w:tc>
          <w:tcPr>
            <w:tcW w:w="1417" w:type="dxa"/>
            <w:tcBorders>
              <w:top w:val="nil"/>
              <w:left w:val="nil"/>
              <w:bottom w:val="single" w:sz="4" w:space="0" w:color="auto"/>
              <w:right w:val="single" w:sz="4" w:space="0" w:color="auto"/>
            </w:tcBorders>
            <w:shd w:val="clear" w:color="auto" w:fill="auto"/>
            <w:vAlign w:val="center"/>
            <w:hideMark/>
          </w:tcPr>
          <w:p w14:paraId="038F747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w:t>
            </w:r>
          </w:p>
        </w:tc>
        <w:tc>
          <w:tcPr>
            <w:tcW w:w="1560" w:type="dxa"/>
            <w:tcBorders>
              <w:top w:val="nil"/>
              <w:left w:val="nil"/>
              <w:bottom w:val="single" w:sz="4" w:space="0" w:color="auto"/>
              <w:right w:val="single" w:sz="4" w:space="0" w:color="auto"/>
            </w:tcBorders>
            <w:shd w:val="clear" w:color="auto" w:fill="auto"/>
            <w:vAlign w:val="center"/>
            <w:hideMark/>
          </w:tcPr>
          <w:p w14:paraId="317291D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2719482,40</w:t>
            </w:r>
          </w:p>
        </w:tc>
        <w:tc>
          <w:tcPr>
            <w:tcW w:w="1134" w:type="dxa"/>
            <w:tcBorders>
              <w:top w:val="nil"/>
              <w:left w:val="nil"/>
              <w:bottom w:val="single" w:sz="4" w:space="0" w:color="auto"/>
              <w:right w:val="single" w:sz="4" w:space="0" w:color="auto"/>
            </w:tcBorders>
            <w:shd w:val="clear" w:color="auto" w:fill="auto"/>
            <w:vAlign w:val="center"/>
            <w:hideMark/>
          </w:tcPr>
          <w:p w14:paraId="135235A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48</w:t>
            </w:r>
          </w:p>
        </w:tc>
        <w:tc>
          <w:tcPr>
            <w:tcW w:w="1134" w:type="dxa"/>
            <w:tcBorders>
              <w:top w:val="nil"/>
              <w:left w:val="nil"/>
              <w:bottom w:val="single" w:sz="4" w:space="0" w:color="auto"/>
              <w:right w:val="single" w:sz="4" w:space="0" w:color="auto"/>
            </w:tcBorders>
            <w:shd w:val="clear" w:color="000000" w:fill="FFFFFF"/>
            <w:noWrap/>
            <w:vAlign w:val="bottom"/>
            <w:hideMark/>
          </w:tcPr>
          <w:p w14:paraId="53E04EB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34</w:t>
            </w:r>
          </w:p>
        </w:tc>
        <w:tc>
          <w:tcPr>
            <w:tcW w:w="1559" w:type="dxa"/>
            <w:tcBorders>
              <w:top w:val="nil"/>
              <w:left w:val="nil"/>
              <w:bottom w:val="single" w:sz="4" w:space="0" w:color="auto"/>
              <w:right w:val="single" w:sz="4" w:space="0" w:color="auto"/>
            </w:tcBorders>
            <w:shd w:val="clear" w:color="000000" w:fill="FFFFFF"/>
            <w:noWrap/>
            <w:vAlign w:val="bottom"/>
            <w:hideMark/>
          </w:tcPr>
          <w:p w14:paraId="5F3955B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2 406 273,31 </w:t>
            </w:r>
          </w:p>
        </w:tc>
      </w:tr>
      <w:tr w:rsidR="00E8617E" w:rsidRPr="00BC513A" w14:paraId="42B7AA51" w14:textId="77777777" w:rsidTr="003A0F89">
        <w:trPr>
          <w:trHeight w:val="238"/>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545928C2"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17</w:t>
            </w:r>
          </w:p>
        </w:tc>
        <w:tc>
          <w:tcPr>
            <w:tcW w:w="2462" w:type="dxa"/>
            <w:tcBorders>
              <w:top w:val="nil"/>
              <w:left w:val="nil"/>
              <w:bottom w:val="single" w:sz="4" w:space="0" w:color="auto"/>
              <w:right w:val="single" w:sz="4" w:space="0" w:color="auto"/>
            </w:tcBorders>
            <w:shd w:val="clear" w:color="auto" w:fill="auto"/>
            <w:vAlign w:val="center"/>
            <w:hideMark/>
          </w:tcPr>
          <w:p w14:paraId="7B7D6ED8"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Сливница - Драгоман</w:t>
            </w:r>
          </w:p>
        </w:tc>
        <w:tc>
          <w:tcPr>
            <w:tcW w:w="992" w:type="dxa"/>
            <w:tcBorders>
              <w:top w:val="nil"/>
              <w:left w:val="nil"/>
              <w:bottom w:val="single" w:sz="4" w:space="0" w:color="auto"/>
              <w:right w:val="single" w:sz="4" w:space="0" w:color="auto"/>
            </w:tcBorders>
            <w:vAlign w:val="center"/>
          </w:tcPr>
          <w:p w14:paraId="1612428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58F7B8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28</w:t>
            </w:r>
          </w:p>
        </w:tc>
        <w:tc>
          <w:tcPr>
            <w:tcW w:w="1559" w:type="dxa"/>
            <w:tcBorders>
              <w:top w:val="nil"/>
              <w:left w:val="nil"/>
              <w:bottom w:val="single" w:sz="4" w:space="0" w:color="auto"/>
              <w:right w:val="single" w:sz="4" w:space="0" w:color="auto"/>
            </w:tcBorders>
            <w:shd w:val="clear" w:color="auto" w:fill="auto"/>
            <w:vAlign w:val="center"/>
            <w:hideMark/>
          </w:tcPr>
          <w:p w14:paraId="7C82CA3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103,33%</w:t>
            </w:r>
          </w:p>
        </w:tc>
        <w:tc>
          <w:tcPr>
            <w:tcW w:w="1701" w:type="dxa"/>
            <w:tcBorders>
              <w:top w:val="nil"/>
              <w:left w:val="nil"/>
              <w:bottom w:val="single" w:sz="4" w:space="0" w:color="auto"/>
              <w:right w:val="single" w:sz="4" w:space="0" w:color="auto"/>
            </w:tcBorders>
            <w:shd w:val="clear" w:color="auto" w:fill="auto"/>
            <w:vAlign w:val="center"/>
            <w:hideMark/>
          </w:tcPr>
          <w:p w14:paraId="4095DBC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1260556,65</w:t>
            </w:r>
          </w:p>
        </w:tc>
        <w:tc>
          <w:tcPr>
            <w:tcW w:w="1417" w:type="dxa"/>
            <w:tcBorders>
              <w:top w:val="nil"/>
              <w:left w:val="nil"/>
              <w:bottom w:val="single" w:sz="4" w:space="0" w:color="auto"/>
              <w:right w:val="single" w:sz="4" w:space="0" w:color="auto"/>
            </w:tcBorders>
            <w:shd w:val="clear" w:color="auto" w:fill="auto"/>
            <w:vAlign w:val="center"/>
            <w:hideMark/>
          </w:tcPr>
          <w:p w14:paraId="501D5C1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1163202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1870194,95</w:t>
            </w:r>
          </w:p>
        </w:tc>
        <w:tc>
          <w:tcPr>
            <w:tcW w:w="1134" w:type="dxa"/>
            <w:tcBorders>
              <w:top w:val="nil"/>
              <w:left w:val="nil"/>
              <w:bottom w:val="single" w:sz="4" w:space="0" w:color="auto"/>
              <w:right w:val="single" w:sz="4" w:space="0" w:color="auto"/>
            </w:tcBorders>
            <w:shd w:val="clear" w:color="auto" w:fill="auto"/>
            <w:vAlign w:val="center"/>
            <w:hideMark/>
          </w:tcPr>
          <w:p w14:paraId="22D4147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28</w:t>
            </w:r>
          </w:p>
        </w:tc>
        <w:tc>
          <w:tcPr>
            <w:tcW w:w="1134" w:type="dxa"/>
            <w:tcBorders>
              <w:top w:val="nil"/>
              <w:left w:val="nil"/>
              <w:bottom w:val="single" w:sz="4" w:space="0" w:color="auto"/>
              <w:right w:val="single" w:sz="4" w:space="0" w:color="auto"/>
            </w:tcBorders>
            <w:shd w:val="clear" w:color="000000" w:fill="FFFFFF"/>
            <w:noWrap/>
            <w:vAlign w:val="bottom"/>
            <w:hideMark/>
          </w:tcPr>
          <w:p w14:paraId="3D21CC7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24</w:t>
            </w:r>
          </w:p>
        </w:tc>
        <w:tc>
          <w:tcPr>
            <w:tcW w:w="1559" w:type="dxa"/>
            <w:tcBorders>
              <w:top w:val="nil"/>
              <w:left w:val="nil"/>
              <w:bottom w:val="single" w:sz="4" w:space="0" w:color="auto"/>
              <w:right w:val="single" w:sz="4" w:space="0" w:color="auto"/>
            </w:tcBorders>
            <w:shd w:val="clear" w:color="000000" w:fill="FFFFFF"/>
            <w:noWrap/>
            <w:vAlign w:val="bottom"/>
            <w:hideMark/>
          </w:tcPr>
          <w:p w14:paraId="54AE6DD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2 230 255,43 </w:t>
            </w:r>
          </w:p>
        </w:tc>
      </w:tr>
      <w:tr w:rsidR="00E8617E" w:rsidRPr="00BC513A" w14:paraId="1437AA0B" w14:textId="77777777" w:rsidTr="00922731">
        <w:trPr>
          <w:trHeight w:val="332"/>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1B0DB288"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18</w:t>
            </w:r>
          </w:p>
        </w:tc>
        <w:tc>
          <w:tcPr>
            <w:tcW w:w="2462" w:type="dxa"/>
            <w:tcBorders>
              <w:top w:val="nil"/>
              <w:left w:val="nil"/>
              <w:bottom w:val="single" w:sz="4" w:space="0" w:color="auto"/>
              <w:right w:val="single" w:sz="4" w:space="0" w:color="auto"/>
            </w:tcBorders>
            <w:shd w:val="clear" w:color="auto" w:fill="auto"/>
            <w:vAlign w:val="center"/>
            <w:hideMark/>
          </w:tcPr>
          <w:p w14:paraId="7786BB5B"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Западна Стара планина</w:t>
            </w:r>
          </w:p>
        </w:tc>
        <w:tc>
          <w:tcPr>
            <w:tcW w:w="992" w:type="dxa"/>
            <w:tcBorders>
              <w:top w:val="nil"/>
              <w:left w:val="nil"/>
              <w:bottom w:val="single" w:sz="4" w:space="0" w:color="auto"/>
              <w:right w:val="single" w:sz="4" w:space="0" w:color="auto"/>
            </w:tcBorders>
            <w:vAlign w:val="bottom"/>
          </w:tcPr>
          <w:p w14:paraId="06CE9BD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35</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3F3DD58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26</w:t>
            </w:r>
          </w:p>
        </w:tc>
        <w:tc>
          <w:tcPr>
            <w:tcW w:w="1559" w:type="dxa"/>
            <w:tcBorders>
              <w:top w:val="nil"/>
              <w:left w:val="nil"/>
              <w:bottom w:val="single" w:sz="4" w:space="0" w:color="auto"/>
              <w:right w:val="single" w:sz="4" w:space="0" w:color="auto"/>
            </w:tcBorders>
            <w:shd w:val="clear" w:color="auto" w:fill="auto"/>
            <w:vAlign w:val="center"/>
            <w:hideMark/>
          </w:tcPr>
          <w:p w14:paraId="4235AC5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105,85%</w:t>
            </w:r>
          </w:p>
        </w:tc>
        <w:tc>
          <w:tcPr>
            <w:tcW w:w="1701" w:type="dxa"/>
            <w:tcBorders>
              <w:top w:val="nil"/>
              <w:left w:val="nil"/>
              <w:bottom w:val="single" w:sz="4" w:space="0" w:color="auto"/>
              <w:right w:val="single" w:sz="4" w:space="0" w:color="auto"/>
            </w:tcBorders>
            <w:shd w:val="clear" w:color="auto" w:fill="auto"/>
            <w:vAlign w:val="center"/>
            <w:hideMark/>
          </w:tcPr>
          <w:p w14:paraId="2021F2C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319946,27</w:t>
            </w:r>
          </w:p>
        </w:tc>
        <w:tc>
          <w:tcPr>
            <w:tcW w:w="1417" w:type="dxa"/>
            <w:tcBorders>
              <w:top w:val="nil"/>
              <w:left w:val="nil"/>
              <w:bottom w:val="single" w:sz="4" w:space="0" w:color="auto"/>
              <w:right w:val="single" w:sz="4" w:space="0" w:color="auto"/>
            </w:tcBorders>
            <w:shd w:val="clear" w:color="auto" w:fill="auto"/>
            <w:noWrap/>
            <w:vAlign w:val="bottom"/>
            <w:hideMark/>
          </w:tcPr>
          <w:p w14:paraId="516AABD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noWrap/>
            <w:vAlign w:val="bottom"/>
            <w:hideMark/>
          </w:tcPr>
          <w:p w14:paraId="044EDC6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2061773,73</w:t>
            </w:r>
          </w:p>
        </w:tc>
        <w:tc>
          <w:tcPr>
            <w:tcW w:w="1134" w:type="dxa"/>
            <w:tcBorders>
              <w:top w:val="nil"/>
              <w:left w:val="nil"/>
              <w:bottom w:val="single" w:sz="4" w:space="0" w:color="auto"/>
              <w:right w:val="single" w:sz="4" w:space="0" w:color="auto"/>
            </w:tcBorders>
            <w:shd w:val="clear" w:color="auto" w:fill="auto"/>
            <w:noWrap/>
            <w:vAlign w:val="bottom"/>
            <w:hideMark/>
          </w:tcPr>
          <w:p w14:paraId="606B177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26</w:t>
            </w:r>
          </w:p>
        </w:tc>
        <w:tc>
          <w:tcPr>
            <w:tcW w:w="1134" w:type="dxa"/>
            <w:tcBorders>
              <w:top w:val="nil"/>
              <w:left w:val="nil"/>
              <w:bottom w:val="single" w:sz="4" w:space="0" w:color="auto"/>
              <w:right w:val="single" w:sz="4" w:space="0" w:color="auto"/>
            </w:tcBorders>
            <w:shd w:val="clear" w:color="000000" w:fill="FFFFFF"/>
            <w:noWrap/>
            <w:vAlign w:val="bottom"/>
            <w:hideMark/>
          </w:tcPr>
          <w:p w14:paraId="0770103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22</w:t>
            </w:r>
          </w:p>
        </w:tc>
        <w:tc>
          <w:tcPr>
            <w:tcW w:w="1559" w:type="dxa"/>
            <w:tcBorders>
              <w:top w:val="nil"/>
              <w:left w:val="nil"/>
              <w:bottom w:val="single" w:sz="4" w:space="0" w:color="auto"/>
              <w:right w:val="single" w:sz="4" w:space="0" w:color="auto"/>
            </w:tcBorders>
            <w:shd w:val="clear" w:color="000000" w:fill="FFFFFF"/>
            <w:noWrap/>
            <w:vAlign w:val="bottom"/>
            <w:hideMark/>
          </w:tcPr>
          <w:p w14:paraId="712ADB9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1 375 231,62 </w:t>
            </w:r>
          </w:p>
        </w:tc>
      </w:tr>
      <w:tr w:rsidR="00E8617E" w:rsidRPr="00BC513A" w14:paraId="12884838" w14:textId="77777777" w:rsidTr="00922731">
        <w:trPr>
          <w:trHeight w:val="340"/>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36832EA8"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19</w:t>
            </w:r>
          </w:p>
        </w:tc>
        <w:tc>
          <w:tcPr>
            <w:tcW w:w="2462" w:type="dxa"/>
            <w:tcBorders>
              <w:top w:val="nil"/>
              <w:left w:val="nil"/>
              <w:bottom w:val="single" w:sz="4" w:space="0" w:color="auto"/>
              <w:right w:val="single" w:sz="4" w:space="0" w:color="auto"/>
            </w:tcBorders>
            <w:shd w:val="clear" w:color="auto" w:fill="auto"/>
            <w:vAlign w:val="center"/>
            <w:hideMark/>
          </w:tcPr>
          <w:p w14:paraId="61A1A185"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Добричка</w:t>
            </w:r>
          </w:p>
        </w:tc>
        <w:tc>
          <w:tcPr>
            <w:tcW w:w="992" w:type="dxa"/>
            <w:tcBorders>
              <w:top w:val="nil"/>
              <w:left w:val="nil"/>
              <w:bottom w:val="single" w:sz="4" w:space="0" w:color="auto"/>
              <w:right w:val="nil"/>
            </w:tcBorders>
            <w:vAlign w:val="bottom"/>
          </w:tcPr>
          <w:p w14:paraId="10BE57E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69</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713E80D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66</w:t>
            </w:r>
          </w:p>
        </w:tc>
        <w:tc>
          <w:tcPr>
            <w:tcW w:w="1559" w:type="dxa"/>
            <w:tcBorders>
              <w:top w:val="nil"/>
              <w:left w:val="nil"/>
              <w:bottom w:val="single" w:sz="4" w:space="0" w:color="auto"/>
              <w:right w:val="single" w:sz="4" w:space="0" w:color="auto"/>
            </w:tcBorders>
            <w:shd w:val="clear" w:color="auto" w:fill="auto"/>
            <w:vAlign w:val="center"/>
            <w:hideMark/>
          </w:tcPr>
          <w:p w14:paraId="05E2C9F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111,75%</w:t>
            </w:r>
          </w:p>
        </w:tc>
        <w:tc>
          <w:tcPr>
            <w:tcW w:w="1701" w:type="dxa"/>
            <w:tcBorders>
              <w:top w:val="nil"/>
              <w:left w:val="nil"/>
              <w:bottom w:val="single" w:sz="4" w:space="0" w:color="auto"/>
              <w:right w:val="single" w:sz="4" w:space="0" w:color="auto"/>
            </w:tcBorders>
            <w:shd w:val="clear" w:color="auto" w:fill="auto"/>
            <w:noWrap/>
            <w:vAlign w:val="bottom"/>
            <w:hideMark/>
          </w:tcPr>
          <w:p w14:paraId="686A282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1750476,15</w:t>
            </w:r>
          </w:p>
        </w:tc>
        <w:tc>
          <w:tcPr>
            <w:tcW w:w="1417" w:type="dxa"/>
            <w:tcBorders>
              <w:top w:val="nil"/>
              <w:left w:val="nil"/>
              <w:bottom w:val="single" w:sz="4" w:space="0" w:color="auto"/>
              <w:right w:val="single" w:sz="4" w:space="0" w:color="auto"/>
            </w:tcBorders>
            <w:shd w:val="clear" w:color="auto" w:fill="auto"/>
            <w:noWrap/>
            <w:vAlign w:val="bottom"/>
            <w:hideMark/>
          </w:tcPr>
          <w:p w14:paraId="4B930E7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w:t>
            </w:r>
          </w:p>
        </w:tc>
        <w:tc>
          <w:tcPr>
            <w:tcW w:w="1560" w:type="dxa"/>
            <w:tcBorders>
              <w:top w:val="nil"/>
              <w:left w:val="nil"/>
              <w:bottom w:val="single" w:sz="4" w:space="0" w:color="auto"/>
              <w:right w:val="single" w:sz="4" w:space="0" w:color="auto"/>
            </w:tcBorders>
            <w:shd w:val="clear" w:color="auto" w:fill="auto"/>
            <w:noWrap/>
            <w:vAlign w:val="bottom"/>
            <w:hideMark/>
          </w:tcPr>
          <w:p w14:paraId="639F1B8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1847765,23</w:t>
            </w:r>
          </w:p>
        </w:tc>
        <w:tc>
          <w:tcPr>
            <w:tcW w:w="1134" w:type="dxa"/>
            <w:tcBorders>
              <w:top w:val="nil"/>
              <w:left w:val="nil"/>
              <w:bottom w:val="single" w:sz="4" w:space="0" w:color="auto"/>
              <w:right w:val="single" w:sz="4" w:space="0" w:color="auto"/>
            </w:tcBorders>
            <w:shd w:val="clear" w:color="auto" w:fill="auto"/>
            <w:vAlign w:val="center"/>
            <w:hideMark/>
          </w:tcPr>
          <w:p w14:paraId="69F03FF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65</w:t>
            </w:r>
          </w:p>
        </w:tc>
        <w:tc>
          <w:tcPr>
            <w:tcW w:w="1134" w:type="dxa"/>
            <w:tcBorders>
              <w:top w:val="nil"/>
              <w:left w:val="nil"/>
              <w:bottom w:val="single" w:sz="4" w:space="0" w:color="auto"/>
              <w:right w:val="single" w:sz="4" w:space="0" w:color="auto"/>
            </w:tcBorders>
            <w:shd w:val="clear" w:color="000000" w:fill="FFFFFF"/>
            <w:noWrap/>
            <w:vAlign w:val="bottom"/>
            <w:hideMark/>
          </w:tcPr>
          <w:p w14:paraId="40D2E7D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54</w:t>
            </w:r>
          </w:p>
        </w:tc>
        <w:tc>
          <w:tcPr>
            <w:tcW w:w="1559" w:type="dxa"/>
            <w:tcBorders>
              <w:top w:val="nil"/>
              <w:left w:val="nil"/>
              <w:bottom w:val="single" w:sz="4" w:space="0" w:color="auto"/>
              <w:right w:val="single" w:sz="4" w:space="0" w:color="auto"/>
            </w:tcBorders>
            <w:shd w:val="clear" w:color="000000" w:fill="FFFFFF"/>
            <w:noWrap/>
            <w:vAlign w:val="bottom"/>
            <w:hideMark/>
          </w:tcPr>
          <w:p w14:paraId="7614AEF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2 350 110,60 </w:t>
            </w:r>
          </w:p>
        </w:tc>
      </w:tr>
      <w:tr w:rsidR="00E8617E" w:rsidRPr="00BC513A" w14:paraId="5F8C0CAD" w14:textId="77777777" w:rsidTr="00922731">
        <w:trPr>
          <w:trHeight w:val="34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114738C8"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20</w:t>
            </w:r>
          </w:p>
        </w:tc>
        <w:tc>
          <w:tcPr>
            <w:tcW w:w="2462" w:type="dxa"/>
            <w:tcBorders>
              <w:top w:val="nil"/>
              <w:left w:val="nil"/>
              <w:bottom w:val="single" w:sz="4" w:space="0" w:color="auto"/>
              <w:right w:val="single" w:sz="4" w:space="0" w:color="auto"/>
            </w:tcBorders>
            <w:shd w:val="clear" w:color="auto" w:fill="auto"/>
            <w:vAlign w:val="center"/>
            <w:hideMark/>
          </w:tcPr>
          <w:p w14:paraId="7459F91D"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Девня - Аксаково</w:t>
            </w:r>
          </w:p>
        </w:tc>
        <w:tc>
          <w:tcPr>
            <w:tcW w:w="992" w:type="dxa"/>
            <w:tcBorders>
              <w:top w:val="nil"/>
              <w:left w:val="nil"/>
              <w:bottom w:val="single" w:sz="4" w:space="0" w:color="auto"/>
              <w:right w:val="single" w:sz="4" w:space="0" w:color="auto"/>
            </w:tcBorders>
            <w:vAlign w:val="center"/>
          </w:tcPr>
          <w:p w14:paraId="3AB6D10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37</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27E17B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26</w:t>
            </w:r>
          </w:p>
        </w:tc>
        <w:tc>
          <w:tcPr>
            <w:tcW w:w="1559" w:type="dxa"/>
            <w:tcBorders>
              <w:top w:val="nil"/>
              <w:left w:val="nil"/>
              <w:bottom w:val="single" w:sz="4" w:space="0" w:color="auto"/>
              <w:right w:val="single" w:sz="4" w:space="0" w:color="auto"/>
            </w:tcBorders>
            <w:shd w:val="clear" w:color="auto" w:fill="auto"/>
            <w:vAlign w:val="center"/>
            <w:hideMark/>
          </w:tcPr>
          <w:p w14:paraId="0A60B25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100,42%</w:t>
            </w:r>
          </w:p>
        </w:tc>
        <w:tc>
          <w:tcPr>
            <w:tcW w:w="1701" w:type="dxa"/>
            <w:tcBorders>
              <w:top w:val="nil"/>
              <w:left w:val="nil"/>
              <w:bottom w:val="single" w:sz="4" w:space="0" w:color="auto"/>
              <w:right w:val="single" w:sz="4" w:space="0" w:color="auto"/>
            </w:tcBorders>
            <w:shd w:val="clear" w:color="auto" w:fill="auto"/>
            <w:vAlign w:val="center"/>
            <w:hideMark/>
          </w:tcPr>
          <w:p w14:paraId="3AA61B1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587737,23</w:t>
            </w:r>
          </w:p>
        </w:tc>
        <w:tc>
          <w:tcPr>
            <w:tcW w:w="1417" w:type="dxa"/>
            <w:tcBorders>
              <w:top w:val="nil"/>
              <w:left w:val="nil"/>
              <w:bottom w:val="single" w:sz="4" w:space="0" w:color="auto"/>
              <w:right w:val="single" w:sz="4" w:space="0" w:color="auto"/>
            </w:tcBorders>
            <w:shd w:val="clear" w:color="auto" w:fill="auto"/>
            <w:vAlign w:val="center"/>
            <w:hideMark/>
          </w:tcPr>
          <w:p w14:paraId="116AA571" w14:textId="77777777" w:rsidR="00E8617E" w:rsidRPr="00BC513A" w:rsidRDefault="00E8617E" w:rsidP="00922731">
            <w:pPr>
              <w:spacing w:after="0" w:line="240" w:lineRule="auto"/>
              <w:jc w:val="right"/>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288973,88</w:t>
            </w:r>
          </w:p>
        </w:tc>
        <w:tc>
          <w:tcPr>
            <w:tcW w:w="1560" w:type="dxa"/>
            <w:tcBorders>
              <w:top w:val="nil"/>
              <w:left w:val="nil"/>
              <w:bottom w:val="single" w:sz="4" w:space="0" w:color="auto"/>
              <w:right w:val="single" w:sz="4" w:space="0" w:color="auto"/>
            </w:tcBorders>
            <w:shd w:val="clear" w:color="auto" w:fill="auto"/>
            <w:vAlign w:val="center"/>
            <w:hideMark/>
          </w:tcPr>
          <w:p w14:paraId="4359903B" w14:textId="77777777" w:rsidR="00E8617E" w:rsidRPr="00BC513A" w:rsidRDefault="00E8617E" w:rsidP="00922731">
            <w:pPr>
              <w:spacing w:after="0" w:line="240" w:lineRule="auto"/>
              <w:jc w:val="right"/>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2196004,38</w:t>
            </w:r>
          </w:p>
        </w:tc>
        <w:tc>
          <w:tcPr>
            <w:tcW w:w="1134" w:type="dxa"/>
            <w:tcBorders>
              <w:top w:val="nil"/>
              <w:left w:val="nil"/>
              <w:bottom w:val="single" w:sz="4" w:space="0" w:color="auto"/>
              <w:right w:val="single" w:sz="4" w:space="0" w:color="auto"/>
            </w:tcBorders>
            <w:shd w:val="clear" w:color="auto" w:fill="auto"/>
            <w:vAlign w:val="center"/>
            <w:hideMark/>
          </w:tcPr>
          <w:p w14:paraId="5DFEF967" w14:textId="77777777" w:rsidR="00E8617E" w:rsidRPr="00BC513A" w:rsidRDefault="00E8617E" w:rsidP="00922731">
            <w:pPr>
              <w:spacing w:after="0" w:line="240" w:lineRule="auto"/>
              <w:jc w:val="right"/>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26</w:t>
            </w:r>
          </w:p>
        </w:tc>
        <w:tc>
          <w:tcPr>
            <w:tcW w:w="1134" w:type="dxa"/>
            <w:tcBorders>
              <w:top w:val="nil"/>
              <w:left w:val="nil"/>
              <w:bottom w:val="single" w:sz="4" w:space="0" w:color="auto"/>
              <w:right w:val="single" w:sz="4" w:space="0" w:color="auto"/>
            </w:tcBorders>
            <w:shd w:val="clear" w:color="000000" w:fill="FFFFFF"/>
            <w:noWrap/>
            <w:vAlign w:val="bottom"/>
            <w:hideMark/>
          </w:tcPr>
          <w:p w14:paraId="19B2D9A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23</w:t>
            </w:r>
          </w:p>
        </w:tc>
        <w:tc>
          <w:tcPr>
            <w:tcW w:w="1559" w:type="dxa"/>
            <w:tcBorders>
              <w:top w:val="nil"/>
              <w:left w:val="nil"/>
              <w:bottom w:val="single" w:sz="4" w:space="0" w:color="auto"/>
              <w:right w:val="single" w:sz="4" w:space="0" w:color="auto"/>
            </w:tcBorders>
            <w:shd w:val="clear" w:color="000000" w:fill="FFFFFF"/>
            <w:noWrap/>
            <w:vAlign w:val="bottom"/>
            <w:hideMark/>
          </w:tcPr>
          <w:p w14:paraId="7D55CC5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2 022 851,82 </w:t>
            </w:r>
          </w:p>
        </w:tc>
      </w:tr>
      <w:tr w:rsidR="00E8617E" w:rsidRPr="00BC513A" w14:paraId="545E5F34" w14:textId="77777777" w:rsidTr="00922731">
        <w:trPr>
          <w:trHeight w:val="336"/>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1ACF2D2E"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21</w:t>
            </w:r>
          </w:p>
        </w:tc>
        <w:tc>
          <w:tcPr>
            <w:tcW w:w="2462" w:type="dxa"/>
            <w:tcBorders>
              <w:top w:val="nil"/>
              <w:left w:val="nil"/>
              <w:bottom w:val="single" w:sz="4" w:space="0" w:color="auto"/>
              <w:right w:val="single" w:sz="4" w:space="0" w:color="auto"/>
            </w:tcBorders>
            <w:shd w:val="clear" w:color="auto" w:fill="auto"/>
            <w:vAlign w:val="center"/>
            <w:hideMark/>
          </w:tcPr>
          <w:p w14:paraId="1904F982"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Лясковец - Стражица</w:t>
            </w:r>
          </w:p>
        </w:tc>
        <w:tc>
          <w:tcPr>
            <w:tcW w:w="992" w:type="dxa"/>
            <w:tcBorders>
              <w:top w:val="nil"/>
              <w:left w:val="nil"/>
              <w:bottom w:val="single" w:sz="4" w:space="0" w:color="auto"/>
              <w:right w:val="single" w:sz="4" w:space="0" w:color="auto"/>
            </w:tcBorders>
            <w:vAlign w:val="center"/>
          </w:tcPr>
          <w:p w14:paraId="6EE4A1C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89</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1E456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67</w:t>
            </w:r>
          </w:p>
        </w:tc>
        <w:tc>
          <w:tcPr>
            <w:tcW w:w="1559" w:type="dxa"/>
            <w:tcBorders>
              <w:top w:val="nil"/>
              <w:left w:val="nil"/>
              <w:bottom w:val="single" w:sz="4" w:space="0" w:color="auto"/>
              <w:right w:val="single" w:sz="4" w:space="0" w:color="auto"/>
            </w:tcBorders>
            <w:shd w:val="clear" w:color="auto" w:fill="auto"/>
            <w:vAlign w:val="center"/>
            <w:hideMark/>
          </w:tcPr>
          <w:p w14:paraId="285A380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118,55%</w:t>
            </w:r>
          </w:p>
        </w:tc>
        <w:tc>
          <w:tcPr>
            <w:tcW w:w="1701" w:type="dxa"/>
            <w:tcBorders>
              <w:top w:val="nil"/>
              <w:left w:val="nil"/>
              <w:bottom w:val="single" w:sz="4" w:space="0" w:color="auto"/>
              <w:right w:val="single" w:sz="4" w:space="0" w:color="auto"/>
            </w:tcBorders>
            <w:shd w:val="clear" w:color="auto" w:fill="auto"/>
            <w:vAlign w:val="center"/>
            <w:hideMark/>
          </w:tcPr>
          <w:p w14:paraId="2824E8D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1248816,20</w:t>
            </w:r>
          </w:p>
        </w:tc>
        <w:tc>
          <w:tcPr>
            <w:tcW w:w="1417" w:type="dxa"/>
            <w:tcBorders>
              <w:top w:val="nil"/>
              <w:left w:val="nil"/>
              <w:bottom w:val="single" w:sz="4" w:space="0" w:color="auto"/>
              <w:right w:val="single" w:sz="4" w:space="0" w:color="auto"/>
            </w:tcBorders>
            <w:shd w:val="clear" w:color="auto" w:fill="auto"/>
            <w:vAlign w:val="center"/>
            <w:hideMark/>
          </w:tcPr>
          <w:p w14:paraId="2B05810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0D34E71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2421607,70</w:t>
            </w:r>
          </w:p>
        </w:tc>
        <w:tc>
          <w:tcPr>
            <w:tcW w:w="1134" w:type="dxa"/>
            <w:tcBorders>
              <w:top w:val="nil"/>
              <w:left w:val="nil"/>
              <w:bottom w:val="single" w:sz="4" w:space="0" w:color="auto"/>
              <w:right w:val="single" w:sz="4" w:space="0" w:color="auto"/>
            </w:tcBorders>
            <w:shd w:val="clear" w:color="auto" w:fill="auto"/>
            <w:vAlign w:val="center"/>
            <w:hideMark/>
          </w:tcPr>
          <w:p w14:paraId="4191C0C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67</w:t>
            </w:r>
          </w:p>
        </w:tc>
        <w:tc>
          <w:tcPr>
            <w:tcW w:w="1134" w:type="dxa"/>
            <w:tcBorders>
              <w:top w:val="nil"/>
              <w:left w:val="nil"/>
              <w:bottom w:val="single" w:sz="4" w:space="0" w:color="auto"/>
              <w:right w:val="single" w:sz="4" w:space="0" w:color="auto"/>
            </w:tcBorders>
            <w:shd w:val="clear" w:color="000000" w:fill="FFFFFF"/>
            <w:noWrap/>
            <w:vAlign w:val="bottom"/>
            <w:hideMark/>
          </w:tcPr>
          <w:p w14:paraId="0F9E972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54</w:t>
            </w:r>
          </w:p>
        </w:tc>
        <w:tc>
          <w:tcPr>
            <w:tcW w:w="1559" w:type="dxa"/>
            <w:tcBorders>
              <w:top w:val="nil"/>
              <w:left w:val="nil"/>
              <w:bottom w:val="single" w:sz="4" w:space="0" w:color="auto"/>
              <w:right w:val="single" w:sz="4" w:space="0" w:color="auto"/>
            </w:tcBorders>
            <w:shd w:val="clear" w:color="000000" w:fill="FFFFFF"/>
            <w:noWrap/>
            <w:vAlign w:val="bottom"/>
            <w:hideMark/>
          </w:tcPr>
          <w:p w14:paraId="521A41E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2 838 466,65 </w:t>
            </w:r>
          </w:p>
        </w:tc>
      </w:tr>
      <w:tr w:rsidR="00E8617E" w:rsidRPr="00BC513A" w14:paraId="10EC0786" w14:textId="77777777" w:rsidTr="00922731">
        <w:trPr>
          <w:trHeight w:val="330"/>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43774181"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22</w:t>
            </w:r>
          </w:p>
        </w:tc>
        <w:tc>
          <w:tcPr>
            <w:tcW w:w="2462" w:type="dxa"/>
            <w:tcBorders>
              <w:top w:val="nil"/>
              <w:left w:val="nil"/>
              <w:bottom w:val="single" w:sz="4" w:space="0" w:color="auto"/>
              <w:right w:val="single" w:sz="4" w:space="0" w:color="auto"/>
            </w:tcBorders>
            <w:shd w:val="clear" w:color="auto" w:fill="auto"/>
            <w:vAlign w:val="center"/>
            <w:hideMark/>
          </w:tcPr>
          <w:p w14:paraId="5118D61E"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Берковица - Годеч</w:t>
            </w:r>
          </w:p>
        </w:tc>
        <w:tc>
          <w:tcPr>
            <w:tcW w:w="992" w:type="dxa"/>
            <w:tcBorders>
              <w:top w:val="nil"/>
              <w:left w:val="nil"/>
              <w:bottom w:val="single" w:sz="4" w:space="0" w:color="auto"/>
              <w:right w:val="single" w:sz="4" w:space="0" w:color="auto"/>
            </w:tcBorders>
            <w:vAlign w:val="center"/>
          </w:tcPr>
          <w:p w14:paraId="40DB181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75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37E00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65</w:t>
            </w:r>
          </w:p>
        </w:tc>
        <w:tc>
          <w:tcPr>
            <w:tcW w:w="1559" w:type="dxa"/>
            <w:tcBorders>
              <w:top w:val="nil"/>
              <w:left w:val="nil"/>
              <w:bottom w:val="single" w:sz="4" w:space="0" w:color="auto"/>
              <w:right w:val="single" w:sz="4" w:space="0" w:color="auto"/>
            </w:tcBorders>
            <w:shd w:val="clear" w:color="auto" w:fill="auto"/>
            <w:vAlign w:val="center"/>
            <w:hideMark/>
          </w:tcPr>
          <w:p w14:paraId="6A99624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120,42%</w:t>
            </w:r>
          </w:p>
        </w:tc>
        <w:tc>
          <w:tcPr>
            <w:tcW w:w="1701" w:type="dxa"/>
            <w:tcBorders>
              <w:top w:val="nil"/>
              <w:left w:val="nil"/>
              <w:bottom w:val="single" w:sz="4" w:space="0" w:color="auto"/>
              <w:right w:val="single" w:sz="4" w:space="0" w:color="auto"/>
            </w:tcBorders>
            <w:shd w:val="clear" w:color="auto" w:fill="auto"/>
            <w:vAlign w:val="center"/>
            <w:hideMark/>
          </w:tcPr>
          <w:p w14:paraId="195CF8F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944290,37</w:t>
            </w:r>
          </w:p>
        </w:tc>
        <w:tc>
          <w:tcPr>
            <w:tcW w:w="1417" w:type="dxa"/>
            <w:tcBorders>
              <w:top w:val="nil"/>
              <w:left w:val="nil"/>
              <w:bottom w:val="single" w:sz="4" w:space="0" w:color="auto"/>
              <w:right w:val="single" w:sz="4" w:space="0" w:color="auto"/>
            </w:tcBorders>
            <w:shd w:val="clear" w:color="auto" w:fill="auto"/>
            <w:vAlign w:val="center"/>
            <w:hideMark/>
          </w:tcPr>
          <w:p w14:paraId="1EC70EA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116355,13</w:t>
            </w:r>
          </w:p>
        </w:tc>
        <w:tc>
          <w:tcPr>
            <w:tcW w:w="1560" w:type="dxa"/>
            <w:tcBorders>
              <w:top w:val="nil"/>
              <w:left w:val="nil"/>
              <w:bottom w:val="single" w:sz="4" w:space="0" w:color="auto"/>
              <w:right w:val="single" w:sz="4" w:space="0" w:color="auto"/>
            </w:tcBorders>
            <w:shd w:val="clear" w:color="auto" w:fill="auto"/>
            <w:vAlign w:val="center"/>
            <w:hideMark/>
          </w:tcPr>
          <w:p w14:paraId="5589824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2702555,99</w:t>
            </w:r>
          </w:p>
        </w:tc>
        <w:tc>
          <w:tcPr>
            <w:tcW w:w="1134" w:type="dxa"/>
            <w:tcBorders>
              <w:top w:val="nil"/>
              <w:left w:val="nil"/>
              <w:bottom w:val="single" w:sz="4" w:space="0" w:color="auto"/>
              <w:right w:val="single" w:sz="4" w:space="0" w:color="auto"/>
            </w:tcBorders>
            <w:shd w:val="clear" w:color="auto" w:fill="auto"/>
            <w:vAlign w:val="center"/>
            <w:hideMark/>
          </w:tcPr>
          <w:p w14:paraId="1758537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53</w:t>
            </w:r>
          </w:p>
        </w:tc>
        <w:tc>
          <w:tcPr>
            <w:tcW w:w="1134" w:type="dxa"/>
            <w:tcBorders>
              <w:top w:val="nil"/>
              <w:left w:val="nil"/>
              <w:bottom w:val="single" w:sz="4" w:space="0" w:color="auto"/>
              <w:right w:val="single" w:sz="4" w:space="0" w:color="auto"/>
            </w:tcBorders>
            <w:shd w:val="clear" w:color="000000" w:fill="FFFFFF"/>
            <w:noWrap/>
            <w:vAlign w:val="bottom"/>
            <w:hideMark/>
          </w:tcPr>
          <w:p w14:paraId="3287868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46</w:t>
            </w:r>
          </w:p>
        </w:tc>
        <w:tc>
          <w:tcPr>
            <w:tcW w:w="1559" w:type="dxa"/>
            <w:tcBorders>
              <w:top w:val="nil"/>
              <w:left w:val="nil"/>
              <w:bottom w:val="single" w:sz="4" w:space="0" w:color="auto"/>
              <w:right w:val="single" w:sz="4" w:space="0" w:color="auto"/>
            </w:tcBorders>
            <w:shd w:val="clear" w:color="000000" w:fill="FFFFFF"/>
            <w:noWrap/>
            <w:vAlign w:val="bottom"/>
            <w:hideMark/>
          </w:tcPr>
          <w:p w14:paraId="1440B1A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2 199 690,87 </w:t>
            </w:r>
          </w:p>
        </w:tc>
      </w:tr>
      <w:tr w:rsidR="00E8617E" w:rsidRPr="00BC513A" w14:paraId="100D82CC" w14:textId="77777777" w:rsidTr="00922731">
        <w:trPr>
          <w:trHeight w:val="52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49E94777"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23</w:t>
            </w:r>
          </w:p>
        </w:tc>
        <w:tc>
          <w:tcPr>
            <w:tcW w:w="2462" w:type="dxa"/>
            <w:tcBorders>
              <w:top w:val="nil"/>
              <w:left w:val="nil"/>
              <w:bottom w:val="single" w:sz="4" w:space="0" w:color="auto"/>
              <w:right w:val="single" w:sz="4" w:space="0" w:color="auto"/>
            </w:tcBorders>
            <w:shd w:val="clear" w:color="auto" w:fill="auto"/>
            <w:vAlign w:val="center"/>
            <w:hideMark/>
          </w:tcPr>
          <w:p w14:paraId="15678B61"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Радомир - Ковачевци - Земен</w:t>
            </w:r>
          </w:p>
        </w:tc>
        <w:tc>
          <w:tcPr>
            <w:tcW w:w="992" w:type="dxa"/>
            <w:tcBorders>
              <w:top w:val="nil"/>
              <w:left w:val="nil"/>
              <w:bottom w:val="single" w:sz="4" w:space="0" w:color="auto"/>
              <w:right w:val="single" w:sz="4" w:space="0" w:color="auto"/>
            </w:tcBorders>
            <w:vAlign w:val="center"/>
          </w:tcPr>
          <w:p w14:paraId="405AD85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73</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82A3BB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51</w:t>
            </w:r>
          </w:p>
        </w:tc>
        <w:tc>
          <w:tcPr>
            <w:tcW w:w="1559" w:type="dxa"/>
            <w:tcBorders>
              <w:top w:val="nil"/>
              <w:left w:val="nil"/>
              <w:bottom w:val="single" w:sz="4" w:space="0" w:color="auto"/>
              <w:right w:val="single" w:sz="4" w:space="0" w:color="auto"/>
            </w:tcBorders>
            <w:shd w:val="clear" w:color="auto" w:fill="auto"/>
            <w:vAlign w:val="center"/>
            <w:hideMark/>
          </w:tcPr>
          <w:p w14:paraId="07430CC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131,26%</w:t>
            </w:r>
          </w:p>
        </w:tc>
        <w:tc>
          <w:tcPr>
            <w:tcW w:w="1701" w:type="dxa"/>
            <w:tcBorders>
              <w:top w:val="nil"/>
              <w:left w:val="nil"/>
              <w:bottom w:val="single" w:sz="4" w:space="0" w:color="auto"/>
              <w:right w:val="single" w:sz="4" w:space="0" w:color="auto"/>
            </w:tcBorders>
            <w:shd w:val="clear" w:color="auto" w:fill="auto"/>
            <w:vAlign w:val="center"/>
            <w:hideMark/>
          </w:tcPr>
          <w:p w14:paraId="324E8BB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835016,32</w:t>
            </w:r>
          </w:p>
        </w:tc>
        <w:tc>
          <w:tcPr>
            <w:tcW w:w="1417" w:type="dxa"/>
            <w:tcBorders>
              <w:top w:val="nil"/>
              <w:left w:val="nil"/>
              <w:bottom w:val="single" w:sz="4" w:space="0" w:color="auto"/>
              <w:right w:val="single" w:sz="4" w:space="0" w:color="auto"/>
            </w:tcBorders>
            <w:shd w:val="clear" w:color="auto" w:fill="auto"/>
            <w:vAlign w:val="center"/>
            <w:hideMark/>
          </w:tcPr>
          <w:p w14:paraId="0A526EE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1776619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3252644,94</w:t>
            </w:r>
          </w:p>
        </w:tc>
        <w:tc>
          <w:tcPr>
            <w:tcW w:w="1134" w:type="dxa"/>
            <w:tcBorders>
              <w:top w:val="nil"/>
              <w:left w:val="nil"/>
              <w:bottom w:val="single" w:sz="4" w:space="0" w:color="auto"/>
              <w:right w:val="single" w:sz="4" w:space="0" w:color="auto"/>
            </w:tcBorders>
            <w:shd w:val="clear" w:color="auto" w:fill="auto"/>
            <w:vAlign w:val="center"/>
            <w:hideMark/>
          </w:tcPr>
          <w:p w14:paraId="338A185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51</w:t>
            </w:r>
          </w:p>
        </w:tc>
        <w:tc>
          <w:tcPr>
            <w:tcW w:w="1134" w:type="dxa"/>
            <w:tcBorders>
              <w:top w:val="nil"/>
              <w:left w:val="nil"/>
              <w:bottom w:val="single" w:sz="4" w:space="0" w:color="auto"/>
              <w:right w:val="single" w:sz="4" w:space="0" w:color="auto"/>
            </w:tcBorders>
            <w:shd w:val="clear" w:color="000000" w:fill="FFFFFF"/>
            <w:noWrap/>
            <w:vAlign w:val="bottom"/>
            <w:hideMark/>
          </w:tcPr>
          <w:p w14:paraId="53D3EC6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32</w:t>
            </w:r>
          </w:p>
        </w:tc>
        <w:tc>
          <w:tcPr>
            <w:tcW w:w="1559" w:type="dxa"/>
            <w:tcBorders>
              <w:top w:val="nil"/>
              <w:left w:val="nil"/>
              <w:bottom w:val="single" w:sz="4" w:space="0" w:color="auto"/>
              <w:right w:val="single" w:sz="4" w:space="0" w:color="auto"/>
            </w:tcBorders>
            <w:shd w:val="clear" w:color="000000" w:fill="FFFFFF"/>
            <w:noWrap/>
            <w:vAlign w:val="bottom"/>
            <w:hideMark/>
          </w:tcPr>
          <w:p w14:paraId="0421643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2 048 386,46 </w:t>
            </w:r>
          </w:p>
        </w:tc>
      </w:tr>
      <w:tr w:rsidR="00E8617E" w:rsidRPr="00BC513A" w14:paraId="2CCAEE3D" w14:textId="77777777" w:rsidTr="00922731">
        <w:trPr>
          <w:trHeight w:val="43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715F7B29"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24</w:t>
            </w:r>
          </w:p>
        </w:tc>
        <w:tc>
          <w:tcPr>
            <w:tcW w:w="2462" w:type="dxa"/>
            <w:tcBorders>
              <w:top w:val="nil"/>
              <w:left w:val="nil"/>
              <w:bottom w:val="single" w:sz="4" w:space="0" w:color="auto"/>
              <w:right w:val="single" w:sz="4" w:space="0" w:color="auto"/>
            </w:tcBorders>
            <w:shd w:val="clear" w:color="auto" w:fill="auto"/>
            <w:vAlign w:val="center"/>
            <w:hideMark/>
          </w:tcPr>
          <w:p w14:paraId="7704D6CB"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Исперих </w:t>
            </w:r>
          </w:p>
        </w:tc>
        <w:tc>
          <w:tcPr>
            <w:tcW w:w="992" w:type="dxa"/>
            <w:tcBorders>
              <w:top w:val="nil"/>
              <w:left w:val="nil"/>
              <w:bottom w:val="single" w:sz="4" w:space="0" w:color="auto"/>
              <w:right w:val="single" w:sz="4" w:space="0" w:color="auto"/>
            </w:tcBorders>
            <w:vAlign w:val="center"/>
          </w:tcPr>
          <w:p w14:paraId="0FB1102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73</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6C64D8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65</w:t>
            </w:r>
          </w:p>
        </w:tc>
        <w:tc>
          <w:tcPr>
            <w:tcW w:w="1559" w:type="dxa"/>
            <w:tcBorders>
              <w:top w:val="nil"/>
              <w:left w:val="nil"/>
              <w:bottom w:val="single" w:sz="4" w:space="0" w:color="auto"/>
              <w:right w:val="single" w:sz="4" w:space="0" w:color="auto"/>
            </w:tcBorders>
            <w:shd w:val="clear" w:color="auto" w:fill="auto"/>
            <w:vAlign w:val="center"/>
            <w:hideMark/>
          </w:tcPr>
          <w:p w14:paraId="5098792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103,37%</w:t>
            </w:r>
          </w:p>
        </w:tc>
        <w:tc>
          <w:tcPr>
            <w:tcW w:w="1701" w:type="dxa"/>
            <w:tcBorders>
              <w:top w:val="nil"/>
              <w:left w:val="nil"/>
              <w:bottom w:val="single" w:sz="4" w:space="0" w:color="auto"/>
              <w:right w:val="single" w:sz="4" w:space="0" w:color="auto"/>
            </w:tcBorders>
            <w:shd w:val="clear" w:color="auto" w:fill="auto"/>
            <w:vAlign w:val="center"/>
            <w:hideMark/>
          </w:tcPr>
          <w:p w14:paraId="046C897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805841,60</w:t>
            </w:r>
          </w:p>
        </w:tc>
        <w:tc>
          <w:tcPr>
            <w:tcW w:w="1417" w:type="dxa"/>
            <w:tcBorders>
              <w:top w:val="nil"/>
              <w:left w:val="nil"/>
              <w:bottom w:val="single" w:sz="4" w:space="0" w:color="auto"/>
              <w:right w:val="single" w:sz="4" w:space="0" w:color="auto"/>
            </w:tcBorders>
            <w:shd w:val="clear" w:color="auto" w:fill="auto"/>
            <w:vAlign w:val="center"/>
            <w:hideMark/>
          </w:tcPr>
          <w:p w14:paraId="52E33C5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728F2E8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2442189,71</w:t>
            </w:r>
          </w:p>
        </w:tc>
        <w:tc>
          <w:tcPr>
            <w:tcW w:w="1134" w:type="dxa"/>
            <w:tcBorders>
              <w:top w:val="nil"/>
              <w:left w:val="nil"/>
              <w:bottom w:val="single" w:sz="4" w:space="0" w:color="auto"/>
              <w:right w:val="single" w:sz="4" w:space="0" w:color="auto"/>
            </w:tcBorders>
            <w:shd w:val="clear" w:color="auto" w:fill="auto"/>
            <w:vAlign w:val="center"/>
            <w:hideMark/>
          </w:tcPr>
          <w:p w14:paraId="79F89EB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65</w:t>
            </w:r>
          </w:p>
        </w:tc>
        <w:tc>
          <w:tcPr>
            <w:tcW w:w="1134" w:type="dxa"/>
            <w:tcBorders>
              <w:top w:val="nil"/>
              <w:left w:val="nil"/>
              <w:bottom w:val="single" w:sz="4" w:space="0" w:color="auto"/>
              <w:right w:val="single" w:sz="4" w:space="0" w:color="auto"/>
            </w:tcBorders>
            <w:shd w:val="clear" w:color="000000" w:fill="FFFFFF"/>
            <w:noWrap/>
            <w:vAlign w:val="bottom"/>
            <w:hideMark/>
          </w:tcPr>
          <w:p w14:paraId="51EEFE1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55</w:t>
            </w:r>
          </w:p>
        </w:tc>
        <w:tc>
          <w:tcPr>
            <w:tcW w:w="1559" w:type="dxa"/>
            <w:tcBorders>
              <w:top w:val="nil"/>
              <w:left w:val="nil"/>
              <w:bottom w:val="single" w:sz="4" w:space="0" w:color="auto"/>
              <w:right w:val="single" w:sz="4" w:space="0" w:color="auto"/>
            </w:tcBorders>
            <w:shd w:val="clear" w:color="000000" w:fill="FFFFFF"/>
            <w:noWrap/>
            <w:vAlign w:val="bottom"/>
            <w:hideMark/>
          </w:tcPr>
          <w:p w14:paraId="5896D08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2 512 596,17 </w:t>
            </w:r>
          </w:p>
        </w:tc>
      </w:tr>
      <w:tr w:rsidR="00E8617E" w:rsidRPr="00BC513A" w14:paraId="061F8BB8" w14:textId="77777777" w:rsidTr="00922731">
        <w:trPr>
          <w:trHeight w:val="43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0022652B"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25</w:t>
            </w:r>
          </w:p>
        </w:tc>
        <w:tc>
          <w:tcPr>
            <w:tcW w:w="2462" w:type="dxa"/>
            <w:tcBorders>
              <w:top w:val="nil"/>
              <w:left w:val="nil"/>
              <w:bottom w:val="single" w:sz="4" w:space="0" w:color="auto"/>
              <w:right w:val="single" w:sz="4" w:space="0" w:color="auto"/>
            </w:tcBorders>
            <w:shd w:val="clear" w:color="auto" w:fill="auto"/>
            <w:vAlign w:val="center"/>
            <w:hideMark/>
          </w:tcPr>
          <w:p w14:paraId="428FCF47"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Етрополски балкан</w:t>
            </w:r>
          </w:p>
        </w:tc>
        <w:tc>
          <w:tcPr>
            <w:tcW w:w="992" w:type="dxa"/>
            <w:tcBorders>
              <w:top w:val="nil"/>
              <w:left w:val="nil"/>
              <w:bottom w:val="single" w:sz="4" w:space="0" w:color="auto"/>
              <w:right w:val="single" w:sz="4" w:space="0" w:color="auto"/>
            </w:tcBorders>
            <w:vAlign w:val="center"/>
          </w:tcPr>
          <w:p w14:paraId="220FBA8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17</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07385D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16</w:t>
            </w:r>
          </w:p>
        </w:tc>
        <w:tc>
          <w:tcPr>
            <w:tcW w:w="1559" w:type="dxa"/>
            <w:tcBorders>
              <w:top w:val="nil"/>
              <w:left w:val="nil"/>
              <w:bottom w:val="single" w:sz="4" w:space="0" w:color="auto"/>
              <w:right w:val="single" w:sz="4" w:space="0" w:color="auto"/>
            </w:tcBorders>
            <w:shd w:val="clear" w:color="auto" w:fill="auto"/>
            <w:vAlign w:val="center"/>
            <w:hideMark/>
          </w:tcPr>
          <w:p w14:paraId="7AE256C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116,54%</w:t>
            </w:r>
          </w:p>
        </w:tc>
        <w:tc>
          <w:tcPr>
            <w:tcW w:w="1701" w:type="dxa"/>
            <w:tcBorders>
              <w:top w:val="nil"/>
              <w:left w:val="nil"/>
              <w:bottom w:val="single" w:sz="4" w:space="0" w:color="auto"/>
              <w:right w:val="single" w:sz="4" w:space="0" w:color="auto"/>
            </w:tcBorders>
            <w:shd w:val="clear" w:color="auto" w:fill="auto"/>
            <w:vAlign w:val="center"/>
            <w:hideMark/>
          </w:tcPr>
          <w:p w14:paraId="5829048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351967,44</w:t>
            </w:r>
          </w:p>
        </w:tc>
        <w:tc>
          <w:tcPr>
            <w:tcW w:w="1417" w:type="dxa"/>
            <w:tcBorders>
              <w:top w:val="nil"/>
              <w:left w:val="nil"/>
              <w:bottom w:val="single" w:sz="4" w:space="0" w:color="auto"/>
              <w:right w:val="single" w:sz="4" w:space="0" w:color="auto"/>
            </w:tcBorders>
            <w:shd w:val="clear" w:color="auto" w:fill="auto"/>
            <w:vAlign w:val="center"/>
            <w:hideMark/>
          </w:tcPr>
          <w:p w14:paraId="389FE49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6911797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3295019,24</w:t>
            </w:r>
          </w:p>
        </w:tc>
        <w:tc>
          <w:tcPr>
            <w:tcW w:w="1134" w:type="dxa"/>
            <w:tcBorders>
              <w:top w:val="nil"/>
              <w:left w:val="nil"/>
              <w:bottom w:val="single" w:sz="4" w:space="0" w:color="auto"/>
              <w:right w:val="single" w:sz="4" w:space="0" w:color="auto"/>
            </w:tcBorders>
            <w:shd w:val="clear" w:color="auto" w:fill="auto"/>
            <w:vAlign w:val="center"/>
            <w:hideMark/>
          </w:tcPr>
          <w:p w14:paraId="5E6E2A7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16</w:t>
            </w:r>
          </w:p>
        </w:tc>
        <w:tc>
          <w:tcPr>
            <w:tcW w:w="1134" w:type="dxa"/>
            <w:tcBorders>
              <w:top w:val="nil"/>
              <w:left w:val="nil"/>
              <w:bottom w:val="single" w:sz="4" w:space="0" w:color="auto"/>
              <w:right w:val="single" w:sz="4" w:space="0" w:color="auto"/>
            </w:tcBorders>
            <w:shd w:val="clear" w:color="000000" w:fill="FFFFFF"/>
            <w:noWrap/>
            <w:vAlign w:val="bottom"/>
            <w:hideMark/>
          </w:tcPr>
          <w:p w14:paraId="4360F03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13</w:t>
            </w:r>
          </w:p>
        </w:tc>
        <w:tc>
          <w:tcPr>
            <w:tcW w:w="1559" w:type="dxa"/>
            <w:tcBorders>
              <w:top w:val="nil"/>
              <w:left w:val="nil"/>
              <w:bottom w:val="single" w:sz="4" w:space="0" w:color="auto"/>
              <w:right w:val="single" w:sz="4" w:space="0" w:color="auto"/>
            </w:tcBorders>
            <w:shd w:val="clear" w:color="000000" w:fill="FFFFFF"/>
            <w:noWrap/>
            <w:vAlign w:val="bottom"/>
            <w:hideMark/>
          </w:tcPr>
          <w:p w14:paraId="78EBB8D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2 460 760,43 </w:t>
            </w:r>
          </w:p>
        </w:tc>
      </w:tr>
      <w:tr w:rsidR="00E8617E" w:rsidRPr="00BC513A" w14:paraId="145F0AB1" w14:textId="77777777" w:rsidTr="00922731">
        <w:trPr>
          <w:trHeight w:val="58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033FC386"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26</w:t>
            </w:r>
          </w:p>
        </w:tc>
        <w:tc>
          <w:tcPr>
            <w:tcW w:w="2462" w:type="dxa"/>
            <w:tcBorders>
              <w:top w:val="nil"/>
              <w:left w:val="nil"/>
              <w:bottom w:val="single" w:sz="4" w:space="0" w:color="auto"/>
              <w:right w:val="single" w:sz="4" w:space="0" w:color="auto"/>
            </w:tcBorders>
            <w:shd w:val="clear" w:color="auto" w:fill="auto"/>
            <w:vAlign w:val="center"/>
            <w:hideMark/>
          </w:tcPr>
          <w:p w14:paraId="403CAF91"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Панагюрище, Стрелча, Лесичово</w:t>
            </w:r>
          </w:p>
        </w:tc>
        <w:tc>
          <w:tcPr>
            <w:tcW w:w="992" w:type="dxa"/>
            <w:tcBorders>
              <w:top w:val="nil"/>
              <w:left w:val="nil"/>
              <w:bottom w:val="single" w:sz="4" w:space="0" w:color="auto"/>
              <w:right w:val="single" w:sz="4" w:space="0" w:color="auto"/>
            </w:tcBorders>
            <w:vAlign w:val="center"/>
          </w:tcPr>
          <w:p w14:paraId="732816E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106</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2B85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96</w:t>
            </w:r>
          </w:p>
        </w:tc>
        <w:tc>
          <w:tcPr>
            <w:tcW w:w="1559" w:type="dxa"/>
            <w:tcBorders>
              <w:top w:val="nil"/>
              <w:left w:val="nil"/>
              <w:bottom w:val="single" w:sz="4" w:space="0" w:color="auto"/>
              <w:right w:val="single" w:sz="4" w:space="0" w:color="auto"/>
            </w:tcBorders>
            <w:shd w:val="clear" w:color="auto" w:fill="auto"/>
            <w:vAlign w:val="center"/>
            <w:hideMark/>
          </w:tcPr>
          <w:p w14:paraId="5766AC2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115,07%</w:t>
            </w:r>
          </w:p>
        </w:tc>
        <w:tc>
          <w:tcPr>
            <w:tcW w:w="1701" w:type="dxa"/>
            <w:tcBorders>
              <w:top w:val="nil"/>
              <w:left w:val="nil"/>
              <w:bottom w:val="single" w:sz="4" w:space="0" w:color="auto"/>
              <w:right w:val="single" w:sz="4" w:space="0" w:color="auto"/>
            </w:tcBorders>
            <w:shd w:val="clear" w:color="auto" w:fill="auto"/>
            <w:vAlign w:val="center"/>
            <w:hideMark/>
          </w:tcPr>
          <w:p w14:paraId="18E7707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1034519,27</w:t>
            </w:r>
          </w:p>
        </w:tc>
        <w:tc>
          <w:tcPr>
            <w:tcW w:w="1417" w:type="dxa"/>
            <w:tcBorders>
              <w:top w:val="nil"/>
              <w:left w:val="nil"/>
              <w:bottom w:val="single" w:sz="4" w:space="0" w:color="auto"/>
              <w:right w:val="single" w:sz="4" w:space="0" w:color="auto"/>
            </w:tcBorders>
            <w:shd w:val="clear" w:color="auto" w:fill="auto"/>
            <w:vAlign w:val="center"/>
            <w:hideMark/>
          </w:tcPr>
          <w:p w14:paraId="01D281B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59 022,20</w:t>
            </w:r>
          </w:p>
        </w:tc>
        <w:tc>
          <w:tcPr>
            <w:tcW w:w="1560" w:type="dxa"/>
            <w:tcBorders>
              <w:top w:val="nil"/>
              <w:left w:val="nil"/>
              <w:bottom w:val="single" w:sz="4" w:space="0" w:color="auto"/>
              <w:right w:val="single" w:sz="4" w:space="0" w:color="auto"/>
            </w:tcBorders>
            <w:shd w:val="clear" w:color="auto" w:fill="auto"/>
            <w:vAlign w:val="center"/>
            <w:hideMark/>
          </w:tcPr>
          <w:p w14:paraId="03C60B7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2485086,16</w:t>
            </w:r>
          </w:p>
        </w:tc>
        <w:tc>
          <w:tcPr>
            <w:tcW w:w="1134" w:type="dxa"/>
            <w:tcBorders>
              <w:top w:val="nil"/>
              <w:left w:val="nil"/>
              <w:bottom w:val="single" w:sz="4" w:space="0" w:color="auto"/>
              <w:right w:val="single" w:sz="4" w:space="0" w:color="auto"/>
            </w:tcBorders>
            <w:shd w:val="clear" w:color="auto" w:fill="auto"/>
            <w:vAlign w:val="center"/>
            <w:hideMark/>
          </w:tcPr>
          <w:p w14:paraId="5FB2957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96</w:t>
            </w:r>
          </w:p>
        </w:tc>
        <w:tc>
          <w:tcPr>
            <w:tcW w:w="1134" w:type="dxa"/>
            <w:tcBorders>
              <w:top w:val="nil"/>
              <w:left w:val="nil"/>
              <w:bottom w:val="single" w:sz="4" w:space="0" w:color="auto"/>
              <w:right w:val="single" w:sz="4" w:space="0" w:color="auto"/>
            </w:tcBorders>
            <w:shd w:val="clear" w:color="000000" w:fill="FFFFFF"/>
            <w:noWrap/>
            <w:vAlign w:val="bottom"/>
            <w:hideMark/>
          </w:tcPr>
          <w:p w14:paraId="611DFB9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82</w:t>
            </w:r>
          </w:p>
        </w:tc>
        <w:tc>
          <w:tcPr>
            <w:tcW w:w="1559" w:type="dxa"/>
            <w:tcBorders>
              <w:top w:val="nil"/>
              <w:left w:val="nil"/>
              <w:bottom w:val="single" w:sz="4" w:space="0" w:color="auto"/>
              <w:right w:val="single" w:sz="4" w:space="0" w:color="auto"/>
            </w:tcBorders>
            <w:shd w:val="clear" w:color="000000" w:fill="FFFFFF"/>
            <w:noWrap/>
            <w:vAlign w:val="bottom"/>
            <w:hideMark/>
          </w:tcPr>
          <w:p w14:paraId="564AF32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2 557 808,42 </w:t>
            </w:r>
          </w:p>
        </w:tc>
      </w:tr>
      <w:tr w:rsidR="00E8617E" w:rsidRPr="00BC513A" w14:paraId="1CD0584E" w14:textId="77777777" w:rsidTr="00922731">
        <w:trPr>
          <w:trHeight w:val="407"/>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1D29F4E1"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27</w:t>
            </w:r>
          </w:p>
        </w:tc>
        <w:tc>
          <w:tcPr>
            <w:tcW w:w="2462" w:type="dxa"/>
            <w:tcBorders>
              <w:top w:val="nil"/>
              <w:left w:val="nil"/>
              <w:bottom w:val="single" w:sz="4" w:space="0" w:color="auto"/>
              <w:right w:val="single" w:sz="4" w:space="0" w:color="auto"/>
            </w:tcBorders>
            <w:shd w:val="clear" w:color="auto" w:fill="auto"/>
            <w:vAlign w:val="center"/>
            <w:hideMark/>
          </w:tcPr>
          <w:p w14:paraId="6DA427A3"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Карнобат</w:t>
            </w:r>
          </w:p>
        </w:tc>
        <w:tc>
          <w:tcPr>
            <w:tcW w:w="992" w:type="dxa"/>
            <w:tcBorders>
              <w:top w:val="nil"/>
              <w:left w:val="nil"/>
              <w:bottom w:val="single" w:sz="4" w:space="0" w:color="auto"/>
              <w:right w:val="single" w:sz="4" w:space="0" w:color="auto"/>
            </w:tcBorders>
            <w:vAlign w:val="center"/>
          </w:tcPr>
          <w:p w14:paraId="4D91987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68</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93F26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58</w:t>
            </w:r>
          </w:p>
        </w:tc>
        <w:tc>
          <w:tcPr>
            <w:tcW w:w="1559" w:type="dxa"/>
            <w:tcBorders>
              <w:top w:val="nil"/>
              <w:left w:val="nil"/>
              <w:bottom w:val="single" w:sz="4" w:space="0" w:color="auto"/>
              <w:right w:val="single" w:sz="4" w:space="0" w:color="auto"/>
            </w:tcBorders>
            <w:shd w:val="clear" w:color="auto" w:fill="auto"/>
            <w:vAlign w:val="center"/>
            <w:hideMark/>
          </w:tcPr>
          <w:p w14:paraId="77C7A1C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112,42%</w:t>
            </w:r>
          </w:p>
        </w:tc>
        <w:tc>
          <w:tcPr>
            <w:tcW w:w="1701" w:type="dxa"/>
            <w:tcBorders>
              <w:top w:val="nil"/>
              <w:left w:val="nil"/>
              <w:bottom w:val="single" w:sz="4" w:space="0" w:color="auto"/>
              <w:right w:val="single" w:sz="4" w:space="0" w:color="auto"/>
            </w:tcBorders>
            <w:shd w:val="clear" w:color="auto" w:fill="auto"/>
            <w:vAlign w:val="center"/>
            <w:hideMark/>
          </w:tcPr>
          <w:p w14:paraId="40961DE5"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996400,9</w:t>
            </w:r>
          </w:p>
        </w:tc>
        <w:tc>
          <w:tcPr>
            <w:tcW w:w="1417" w:type="dxa"/>
            <w:tcBorders>
              <w:top w:val="nil"/>
              <w:left w:val="nil"/>
              <w:bottom w:val="single" w:sz="4" w:space="0" w:color="auto"/>
              <w:right w:val="single" w:sz="4" w:space="0" w:color="auto"/>
            </w:tcBorders>
            <w:shd w:val="clear" w:color="auto" w:fill="auto"/>
            <w:vAlign w:val="center"/>
            <w:hideMark/>
          </w:tcPr>
          <w:p w14:paraId="5A05A27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w:t>
            </w:r>
          </w:p>
        </w:tc>
        <w:tc>
          <w:tcPr>
            <w:tcW w:w="1560" w:type="dxa"/>
            <w:tcBorders>
              <w:top w:val="nil"/>
              <w:left w:val="nil"/>
              <w:bottom w:val="single" w:sz="4" w:space="0" w:color="auto"/>
              <w:right w:val="single" w:sz="4" w:space="0" w:color="auto"/>
            </w:tcBorders>
            <w:shd w:val="clear" w:color="auto" w:fill="auto"/>
            <w:vAlign w:val="center"/>
            <w:hideMark/>
          </w:tcPr>
          <w:p w14:paraId="2537C6D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2433663,49</w:t>
            </w:r>
          </w:p>
        </w:tc>
        <w:tc>
          <w:tcPr>
            <w:tcW w:w="1134" w:type="dxa"/>
            <w:tcBorders>
              <w:top w:val="nil"/>
              <w:left w:val="nil"/>
              <w:bottom w:val="single" w:sz="4" w:space="0" w:color="auto"/>
              <w:right w:val="single" w:sz="4" w:space="0" w:color="auto"/>
            </w:tcBorders>
            <w:shd w:val="clear" w:color="auto" w:fill="auto"/>
            <w:vAlign w:val="center"/>
            <w:hideMark/>
          </w:tcPr>
          <w:p w14:paraId="67D404B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55</w:t>
            </w:r>
          </w:p>
        </w:tc>
        <w:tc>
          <w:tcPr>
            <w:tcW w:w="1134" w:type="dxa"/>
            <w:tcBorders>
              <w:top w:val="nil"/>
              <w:left w:val="nil"/>
              <w:bottom w:val="single" w:sz="4" w:space="0" w:color="auto"/>
              <w:right w:val="single" w:sz="4" w:space="0" w:color="auto"/>
            </w:tcBorders>
            <w:shd w:val="clear" w:color="000000" w:fill="FFFFFF"/>
            <w:noWrap/>
            <w:vAlign w:val="bottom"/>
            <w:hideMark/>
          </w:tcPr>
          <w:p w14:paraId="4BC6B04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47</w:t>
            </w:r>
          </w:p>
        </w:tc>
        <w:tc>
          <w:tcPr>
            <w:tcW w:w="1559" w:type="dxa"/>
            <w:tcBorders>
              <w:top w:val="nil"/>
              <w:left w:val="nil"/>
              <w:bottom w:val="single" w:sz="4" w:space="0" w:color="auto"/>
              <w:right w:val="single" w:sz="4" w:space="0" w:color="auto"/>
            </w:tcBorders>
            <w:shd w:val="clear" w:color="000000" w:fill="FFFFFF"/>
            <w:noWrap/>
            <w:vAlign w:val="bottom"/>
            <w:hideMark/>
          </w:tcPr>
          <w:p w14:paraId="2066A4E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2 591 204,63 </w:t>
            </w:r>
          </w:p>
        </w:tc>
      </w:tr>
      <w:tr w:rsidR="00E8617E" w:rsidRPr="00BC513A" w14:paraId="479400DF" w14:textId="77777777" w:rsidTr="00922731">
        <w:trPr>
          <w:trHeight w:val="510"/>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7FD878E1"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28</w:t>
            </w:r>
          </w:p>
        </w:tc>
        <w:tc>
          <w:tcPr>
            <w:tcW w:w="2462" w:type="dxa"/>
            <w:tcBorders>
              <w:top w:val="nil"/>
              <w:left w:val="nil"/>
              <w:bottom w:val="single" w:sz="4" w:space="0" w:color="auto"/>
              <w:right w:val="single" w:sz="4" w:space="0" w:color="auto"/>
            </w:tcBorders>
            <w:shd w:val="clear" w:color="auto" w:fill="auto"/>
            <w:vAlign w:val="center"/>
            <w:hideMark/>
          </w:tcPr>
          <w:p w14:paraId="2EA25A0F"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Белово, Септември, Велинград</w:t>
            </w:r>
          </w:p>
        </w:tc>
        <w:tc>
          <w:tcPr>
            <w:tcW w:w="992" w:type="dxa"/>
            <w:tcBorders>
              <w:top w:val="nil"/>
              <w:left w:val="nil"/>
              <w:bottom w:val="single" w:sz="4" w:space="0" w:color="auto"/>
              <w:right w:val="single" w:sz="4" w:space="0" w:color="auto"/>
            </w:tcBorders>
            <w:vAlign w:val="center"/>
          </w:tcPr>
          <w:p w14:paraId="2565B0E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940D51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57</w:t>
            </w:r>
          </w:p>
        </w:tc>
        <w:tc>
          <w:tcPr>
            <w:tcW w:w="1559" w:type="dxa"/>
            <w:tcBorders>
              <w:top w:val="nil"/>
              <w:left w:val="nil"/>
              <w:bottom w:val="single" w:sz="4" w:space="0" w:color="auto"/>
              <w:right w:val="single" w:sz="4" w:space="0" w:color="auto"/>
            </w:tcBorders>
            <w:shd w:val="clear" w:color="auto" w:fill="auto"/>
            <w:vAlign w:val="center"/>
            <w:hideMark/>
          </w:tcPr>
          <w:p w14:paraId="573B327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116,67%</w:t>
            </w:r>
          </w:p>
        </w:tc>
        <w:tc>
          <w:tcPr>
            <w:tcW w:w="1701" w:type="dxa"/>
            <w:tcBorders>
              <w:top w:val="nil"/>
              <w:left w:val="nil"/>
              <w:bottom w:val="single" w:sz="4" w:space="0" w:color="auto"/>
              <w:right w:val="single" w:sz="4" w:space="0" w:color="auto"/>
            </w:tcBorders>
            <w:shd w:val="clear" w:color="auto" w:fill="auto"/>
            <w:vAlign w:val="center"/>
            <w:hideMark/>
          </w:tcPr>
          <w:p w14:paraId="150BBCA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733937,78</w:t>
            </w:r>
          </w:p>
        </w:tc>
        <w:tc>
          <w:tcPr>
            <w:tcW w:w="1417" w:type="dxa"/>
            <w:tcBorders>
              <w:top w:val="nil"/>
              <w:left w:val="nil"/>
              <w:bottom w:val="single" w:sz="4" w:space="0" w:color="auto"/>
              <w:right w:val="single" w:sz="4" w:space="0" w:color="auto"/>
            </w:tcBorders>
            <w:shd w:val="clear" w:color="auto" w:fill="auto"/>
            <w:vAlign w:val="center"/>
            <w:hideMark/>
          </w:tcPr>
          <w:p w14:paraId="7E51EA3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w:t>
            </w:r>
          </w:p>
        </w:tc>
        <w:tc>
          <w:tcPr>
            <w:tcW w:w="1560" w:type="dxa"/>
            <w:tcBorders>
              <w:top w:val="nil"/>
              <w:left w:val="nil"/>
              <w:bottom w:val="single" w:sz="4" w:space="0" w:color="auto"/>
              <w:right w:val="single" w:sz="4" w:space="0" w:color="auto"/>
            </w:tcBorders>
            <w:shd w:val="clear" w:color="auto" w:fill="auto"/>
            <w:vAlign w:val="center"/>
            <w:hideMark/>
          </w:tcPr>
          <w:p w14:paraId="2793817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2895078,61</w:t>
            </w:r>
          </w:p>
        </w:tc>
        <w:tc>
          <w:tcPr>
            <w:tcW w:w="1134" w:type="dxa"/>
            <w:tcBorders>
              <w:top w:val="nil"/>
              <w:left w:val="nil"/>
              <w:bottom w:val="single" w:sz="4" w:space="0" w:color="auto"/>
              <w:right w:val="single" w:sz="4" w:space="0" w:color="auto"/>
            </w:tcBorders>
            <w:shd w:val="clear" w:color="auto" w:fill="auto"/>
            <w:vAlign w:val="center"/>
            <w:hideMark/>
          </w:tcPr>
          <w:p w14:paraId="60D9CC4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57</w:t>
            </w:r>
          </w:p>
        </w:tc>
        <w:tc>
          <w:tcPr>
            <w:tcW w:w="1134" w:type="dxa"/>
            <w:tcBorders>
              <w:top w:val="nil"/>
              <w:left w:val="nil"/>
              <w:bottom w:val="single" w:sz="4" w:space="0" w:color="auto"/>
              <w:right w:val="single" w:sz="4" w:space="0" w:color="auto"/>
            </w:tcBorders>
            <w:shd w:val="clear" w:color="000000" w:fill="FFFFFF"/>
            <w:noWrap/>
            <w:vAlign w:val="bottom"/>
            <w:hideMark/>
          </w:tcPr>
          <w:p w14:paraId="1E7DAB4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41</w:t>
            </w:r>
          </w:p>
        </w:tc>
        <w:tc>
          <w:tcPr>
            <w:tcW w:w="1559" w:type="dxa"/>
            <w:tcBorders>
              <w:top w:val="nil"/>
              <w:left w:val="nil"/>
              <w:bottom w:val="single" w:sz="4" w:space="0" w:color="auto"/>
              <w:right w:val="single" w:sz="4" w:space="0" w:color="auto"/>
            </w:tcBorders>
            <w:shd w:val="clear" w:color="000000" w:fill="FFFFFF"/>
            <w:noWrap/>
            <w:vAlign w:val="bottom"/>
            <w:hideMark/>
          </w:tcPr>
          <w:p w14:paraId="5620E8E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2 289 215,40 </w:t>
            </w:r>
          </w:p>
        </w:tc>
      </w:tr>
      <w:tr w:rsidR="00E8617E" w:rsidRPr="00BC513A" w14:paraId="324EF660" w14:textId="77777777" w:rsidTr="00922731">
        <w:trPr>
          <w:trHeight w:val="419"/>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13F236C4"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29</w:t>
            </w:r>
          </w:p>
        </w:tc>
        <w:tc>
          <w:tcPr>
            <w:tcW w:w="2462" w:type="dxa"/>
            <w:tcBorders>
              <w:top w:val="nil"/>
              <w:left w:val="nil"/>
              <w:bottom w:val="single" w:sz="4" w:space="0" w:color="auto"/>
              <w:right w:val="single" w:sz="4" w:space="0" w:color="auto"/>
            </w:tcBorders>
            <w:shd w:val="clear" w:color="auto" w:fill="auto"/>
            <w:vAlign w:val="center"/>
            <w:hideMark/>
          </w:tcPr>
          <w:p w14:paraId="4E2BC92E"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Костенец</w:t>
            </w:r>
          </w:p>
        </w:tc>
        <w:tc>
          <w:tcPr>
            <w:tcW w:w="992" w:type="dxa"/>
            <w:tcBorders>
              <w:top w:val="nil"/>
              <w:left w:val="nil"/>
              <w:bottom w:val="single" w:sz="4" w:space="0" w:color="auto"/>
              <w:right w:val="single" w:sz="4" w:space="0" w:color="auto"/>
            </w:tcBorders>
            <w:vAlign w:val="center"/>
          </w:tcPr>
          <w:p w14:paraId="00D1CA9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B55FDB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20</w:t>
            </w:r>
          </w:p>
        </w:tc>
        <w:tc>
          <w:tcPr>
            <w:tcW w:w="1559" w:type="dxa"/>
            <w:tcBorders>
              <w:top w:val="nil"/>
              <w:left w:val="nil"/>
              <w:bottom w:val="single" w:sz="4" w:space="0" w:color="auto"/>
              <w:right w:val="single" w:sz="4" w:space="0" w:color="auto"/>
            </w:tcBorders>
            <w:shd w:val="clear" w:color="auto" w:fill="auto"/>
            <w:vAlign w:val="center"/>
            <w:hideMark/>
          </w:tcPr>
          <w:p w14:paraId="7CF4114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104,70%</w:t>
            </w:r>
          </w:p>
        </w:tc>
        <w:tc>
          <w:tcPr>
            <w:tcW w:w="1701" w:type="dxa"/>
            <w:tcBorders>
              <w:top w:val="nil"/>
              <w:left w:val="nil"/>
              <w:bottom w:val="single" w:sz="4" w:space="0" w:color="auto"/>
              <w:right w:val="single" w:sz="4" w:space="0" w:color="auto"/>
            </w:tcBorders>
            <w:shd w:val="clear" w:color="auto" w:fill="auto"/>
            <w:vAlign w:val="center"/>
            <w:hideMark/>
          </w:tcPr>
          <w:p w14:paraId="3A48B3E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w:t>
            </w:r>
          </w:p>
        </w:tc>
        <w:tc>
          <w:tcPr>
            <w:tcW w:w="1417" w:type="dxa"/>
            <w:tcBorders>
              <w:top w:val="nil"/>
              <w:left w:val="nil"/>
              <w:bottom w:val="single" w:sz="4" w:space="0" w:color="auto"/>
              <w:right w:val="single" w:sz="4" w:space="0" w:color="auto"/>
            </w:tcBorders>
            <w:shd w:val="clear" w:color="auto" w:fill="auto"/>
            <w:vAlign w:val="center"/>
            <w:hideMark/>
          </w:tcPr>
          <w:p w14:paraId="122B00B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87787,30</w:t>
            </w:r>
          </w:p>
        </w:tc>
        <w:tc>
          <w:tcPr>
            <w:tcW w:w="1560" w:type="dxa"/>
            <w:tcBorders>
              <w:top w:val="nil"/>
              <w:left w:val="nil"/>
              <w:bottom w:val="single" w:sz="4" w:space="0" w:color="auto"/>
              <w:right w:val="single" w:sz="4" w:space="0" w:color="auto"/>
            </w:tcBorders>
            <w:shd w:val="clear" w:color="auto" w:fill="auto"/>
            <w:vAlign w:val="center"/>
            <w:hideMark/>
          </w:tcPr>
          <w:p w14:paraId="16C609E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2768366,35</w:t>
            </w:r>
          </w:p>
        </w:tc>
        <w:tc>
          <w:tcPr>
            <w:tcW w:w="1134" w:type="dxa"/>
            <w:tcBorders>
              <w:top w:val="nil"/>
              <w:left w:val="nil"/>
              <w:bottom w:val="single" w:sz="4" w:space="0" w:color="auto"/>
              <w:right w:val="single" w:sz="4" w:space="0" w:color="auto"/>
            </w:tcBorders>
            <w:shd w:val="clear" w:color="auto" w:fill="auto"/>
            <w:vAlign w:val="center"/>
            <w:hideMark/>
          </w:tcPr>
          <w:p w14:paraId="46768B9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20</w:t>
            </w:r>
          </w:p>
        </w:tc>
        <w:tc>
          <w:tcPr>
            <w:tcW w:w="1134" w:type="dxa"/>
            <w:tcBorders>
              <w:top w:val="nil"/>
              <w:left w:val="nil"/>
              <w:bottom w:val="single" w:sz="4" w:space="0" w:color="auto"/>
              <w:right w:val="single" w:sz="4" w:space="0" w:color="auto"/>
            </w:tcBorders>
            <w:shd w:val="clear" w:color="000000" w:fill="FFFFFF"/>
            <w:noWrap/>
            <w:vAlign w:val="bottom"/>
            <w:hideMark/>
          </w:tcPr>
          <w:p w14:paraId="4CD684F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18</w:t>
            </w:r>
          </w:p>
        </w:tc>
        <w:tc>
          <w:tcPr>
            <w:tcW w:w="1559" w:type="dxa"/>
            <w:tcBorders>
              <w:top w:val="nil"/>
              <w:left w:val="nil"/>
              <w:bottom w:val="single" w:sz="4" w:space="0" w:color="auto"/>
              <w:right w:val="single" w:sz="4" w:space="0" w:color="auto"/>
            </w:tcBorders>
            <w:shd w:val="clear" w:color="000000" w:fill="FFFFFF"/>
            <w:noWrap/>
            <w:vAlign w:val="bottom"/>
            <w:hideMark/>
          </w:tcPr>
          <w:p w14:paraId="5CB8A2E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1 888 305,34 </w:t>
            </w:r>
          </w:p>
        </w:tc>
      </w:tr>
      <w:tr w:rsidR="00E8617E" w:rsidRPr="00BC513A" w14:paraId="241E47B1" w14:textId="77777777" w:rsidTr="00922731">
        <w:trPr>
          <w:trHeight w:val="411"/>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1A4E9506"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30</w:t>
            </w:r>
          </w:p>
        </w:tc>
        <w:tc>
          <w:tcPr>
            <w:tcW w:w="2462" w:type="dxa"/>
            <w:tcBorders>
              <w:top w:val="nil"/>
              <w:left w:val="nil"/>
              <w:bottom w:val="single" w:sz="4" w:space="0" w:color="auto"/>
              <w:right w:val="single" w:sz="4" w:space="0" w:color="auto"/>
            </w:tcBorders>
            <w:shd w:val="clear" w:color="auto" w:fill="auto"/>
            <w:vAlign w:val="center"/>
            <w:hideMark/>
          </w:tcPr>
          <w:p w14:paraId="53B7B9FB"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Раковски</w:t>
            </w:r>
          </w:p>
        </w:tc>
        <w:tc>
          <w:tcPr>
            <w:tcW w:w="992" w:type="dxa"/>
            <w:tcBorders>
              <w:top w:val="nil"/>
              <w:left w:val="nil"/>
              <w:bottom w:val="single" w:sz="4" w:space="0" w:color="auto"/>
              <w:right w:val="single" w:sz="4" w:space="0" w:color="auto"/>
            </w:tcBorders>
            <w:vAlign w:val="center"/>
          </w:tcPr>
          <w:p w14:paraId="4A66B1D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88</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C269C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73</w:t>
            </w:r>
          </w:p>
        </w:tc>
        <w:tc>
          <w:tcPr>
            <w:tcW w:w="1559" w:type="dxa"/>
            <w:tcBorders>
              <w:top w:val="nil"/>
              <w:left w:val="nil"/>
              <w:bottom w:val="single" w:sz="4" w:space="0" w:color="auto"/>
              <w:right w:val="single" w:sz="4" w:space="0" w:color="auto"/>
            </w:tcBorders>
            <w:shd w:val="clear" w:color="auto" w:fill="auto"/>
            <w:vAlign w:val="center"/>
            <w:hideMark/>
          </w:tcPr>
          <w:p w14:paraId="1D604F0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121,82%</w:t>
            </w:r>
          </w:p>
        </w:tc>
        <w:tc>
          <w:tcPr>
            <w:tcW w:w="1701" w:type="dxa"/>
            <w:tcBorders>
              <w:top w:val="nil"/>
              <w:left w:val="nil"/>
              <w:bottom w:val="single" w:sz="4" w:space="0" w:color="auto"/>
              <w:right w:val="single" w:sz="4" w:space="0" w:color="auto"/>
            </w:tcBorders>
            <w:shd w:val="clear" w:color="auto" w:fill="auto"/>
            <w:vAlign w:val="center"/>
            <w:hideMark/>
          </w:tcPr>
          <w:p w14:paraId="12C5B78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1692855,37</w:t>
            </w:r>
          </w:p>
        </w:tc>
        <w:tc>
          <w:tcPr>
            <w:tcW w:w="1417" w:type="dxa"/>
            <w:tcBorders>
              <w:top w:val="nil"/>
              <w:left w:val="nil"/>
              <w:bottom w:val="single" w:sz="4" w:space="0" w:color="auto"/>
              <w:right w:val="single" w:sz="4" w:space="0" w:color="auto"/>
            </w:tcBorders>
            <w:shd w:val="clear" w:color="auto" w:fill="auto"/>
            <w:vAlign w:val="center"/>
            <w:hideMark/>
          </w:tcPr>
          <w:p w14:paraId="461EC86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w:t>
            </w:r>
          </w:p>
        </w:tc>
        <w:tc>
          <w:tcPr>
            <w:tcW w:w="1560" w:type="dxa"/>
            <w:tcBorders>
              <w:top w:val="nil"/>
              <w:left w:val="nil"/>
              <w:bottom w:val="single" w:sz="4" w:space="0" w:color="auto"/>
              <w:right w:val="single" w:sz="4" w:space="0" w:color="auto"/>
            </w:tcBorders>
            <w:shd w:val="clear" w:color="auto" w:fill="auto"/>
            <w:vAlign w:val="center"/>
            <w:hideMark/>
          </w:tcPr>
          <w:p w14:paraId="25FA014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2088447,31</w:t>
            </w:r>
          </w:p>
        </w:tc>
        <w:tc>
          <w:tcPr>
            <w:tcW w:w="1134" w:type="dxa"/>
            <w:tcBorders>
              <w:top w:val="nil"/>
              <w:left w:val="nil"/>
              <w:bottom w:val="single" w:sz="4" w:space="0" w:color="auto"/>
              <w:right w:val="single" w:sz="4" w:space="0" w:color="auto"/>
            </w:tcBorders>
            <w:shd w:val="clear" w:color="auto" w:fill="auto"/>
            <w:vAlign w:val="center"/>
            <w:hideMark/>
          </w:tcPr>
          <w:p w14:paraId="030F40E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73</w:t>
            </w:r>
          </w:p>
        </w:tc>
        <w:tc>
          <w:tcPr>
            <w:tcW w:w="1134" w:type="dxa"/>
            <w:tcBorders>
              <w:top w:val="nil"/>
              <w:left w:val="nil"/>
              <w:bottom w:val="single" w:sz="4" w:space="0" w:color="auto"/>
              <w:right w:val="single" w:sz="4" w:space="0" w:color="auto"/>
            </w:tcBorders>
            <w:shd w:val="clear" w:color="000000" w:fill="FFFFFF"/>
            <w:noWrap/>
            <w:vAlign w:val="bottom"/>
            <w:hideMark/>
          </w:tcPr>
          <w:p w14:paraId="7B38D3E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55</w:t>
            </w:r>
          </w:p>
        </w:tc>
        <w:tc>
          <w:tcPr>
            <w:tcW w:w="1559" w:type="dxa"/>
            <w:tcBorders>
              <w:top w:val="nil"/>
              <w:left w:val="nil"/>
              <w:bottom w:val="single" w:sz="4" w:space="0" w:color="auto"/>
              <w:right w:val="single" w:sz="4" w:space="0" w:color="auto"/>
            </w:tcBorders>
            <w:shd w:val="clear" w:color="000000" w:fill="FFFFFF"/>
            <w:noWrap/>
            <w:vAlign w:val="bottom"/>
            <w:hideMark/>
          </w:tcPr>
          <w:p w14:paraId="4E26086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2 532 655,17 </w:t>
            </w:r>
          </w:p>
        </w:tc>
      </w:tr>
      <w:tr w:rsidR="00E8617E" w:rsidRPr="00BC513A" w14:paraId="36E5CC2A" w14:textId="77777777" w:rsidTr="00922731">
        <w:trPr>
          <w:trHeight w:val="417"/>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38B12213"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31</w:t>
            </w:r>
          </w:p>
        </w:tc>
        <w:tc>
          <w:tcPr>
            <w:tcW w:w="2462" w:type="dxa"/>
            <w:tcBorders>
              <w:top w:val="nil"/>
              <w:left w:val="nil"/>
              <w:bottom w:val="single" w:sz="4" w:space="0" w:color="auto"/>
              <w:right w:val="single" w:sz="4" w:space="0" w:color="auto"/>
            </w:tcBorders>
            <w:shd w:val="clear" w:color="auto" w:fill="auto"/>
            <w:vAlign w:val="center"/>
            <w:hideMark/>
          </w:tcPr>
          <w:p w14:paraId="7E750565"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Тунджа</w:t>
            </w:r>
          </w:p>
        </w:tc>
        <w:tc>
          <w:tcPr>
            <w:tcW w:w="992" w:type="dxa"/>
            <w:tcBorders>
              <w:top w:val="nil"/>
              <w:left w:val="nil"/>
              <w:bottom w:val="single" w:sz="4" w:space="0" w:color="auto"/>
              <w:right w:val="single" w:sz="4" w:space="0" w:color="auto"/>
            </w:tcBorders>
            <w:vAlign w:val="center"/>
          </w:tcPr>
          <w:p w14:paraId="6A5CF35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80</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F14AC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64</w:t>
            </w:r>
          </w:p>
        </w:tc>
        <w:tc>
          <w:tcPr>
            <w:tcW w:w="1559" w:type="dxa"/>
            <w:tcBorders>
              <w:top w:val="nil"/>
              <w:left w:val="nil"/>
              <w:bottom w:val="single" w:sz="4" w:space="0" w:color="auto"/>
              <w:right w:val="single" w:sz="4" w:space="0" w:color="auto"/>
            </w:tcBorders>
            <w:shd w:val="clear" w:color="auto" w:fill="auto"/>
            <w:vAlign w:val="center"/>
            <w:hideMark/>
          </w:tcPr>
          <w:p w14:paraId="65CE377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106,48%</w:t>
            </w:r>
          </w:p>
        </w:tc>
        <w:tc>
          <w:tcPr>
            <w:tcW w:w="1701" w:type="dxa"/>
            <w:tcBorders>
              <w:top w:val="nil"/>
              <w:left w:val="nil"/>
              <w:bottom w:val="single" w:sz="4" w:space="0" w:color="auto"/>
              <w:right w:val="single" w:sz="4" w:space="0" w:color="auto"/>
            </w:tcBorders>
            <w:shd w:val="clear" w:color="auto" w:fill="auto"/>
            <w:vAlign w:val="center"/>
            <w:hideMark/>
          </w:tcPr>
          <w:p w14:paraId="3331B5A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958822,92</w:t>
            </w:r>
          </w:p>
        </w:tc>
        <w:tc>
          <w:tcPr>
            <w:tcW w:w="1417" w:type="dxa"/>
            <w:tcBorders>
              <w:top w:val="nil"/>
              <w:left w:val="nil"/>
              <w:bottom w:val="single" w:sz="4" w:space="0" w:color="auto"/>
              <w:right w:val="single" w:sz="4" w:space="0" w:color="auto"/>
            </w:tcBorders>
            <w:shd w:val="clear" w:color="auto" w:fill="auto"/>
            <w:vAlign w:val="center"/>
            <w:hideMark/>
          </w:tcPr>
          <w:p w14:paraId="1512AC1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124245,95</w:t>
            </w:r>
          </w:p>
        </w:tc>
        <w:tc>
          <w:tcPr>
            <w:tcW w:w="1560" w:type="dxa"/>
            <w:tcBorders>
              <w:top w:val="nil"/>
              <w:left w:val="nil"/>
              <w:bottom w:val="single" w:sz="4" w:space="0" w:color="auto"/>
              <w:right w:val="single" w:sz="4" w:space="0" w:color="auto"/>
            </w:tcBorders>
            <w:shd w:val="clear" w:color="auto" w:fill="auto"/>
            <w:vAlign w:val="center"/>
            <w:hideMark/>
          </w:tcPr>
          <w:p w14:paraId="086017A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2201989,48</w:t>
            </w:r>
          </w:p>
        </w:tc>
        <w:tc>
          <w:tcPr>
            <w:tcW w:w="1134" w:type="dxa"/>
            <w:tcBorders>
              <w:top w:val="nil"/>
              <w:left w:val="nil"/>
              <w:bottom w:val="single" w:sz="4" w:space="0" w:color="auto"/>
              <w:right w:val="single" w:sz="4" w:space="0" w:color="auto"/>
            </w:tcBorders>
            <w:shd w:val="clear" w:color="auto" w:fill="auto"/>
            <w:vAlign w:val="center"/>
            <w:hideMark/>
          </w:tcPr>
          <w:p w14:paraId="6978A88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64</w:t>
            </w:r>
          </w:p>
        </w:tc>
        <w:tc>
          <w:tcPr>
            <w:tcW w:w="1134" w:type="dxa"/>
            <w:tcBorders>
              <w:top w:val="nil"/>
              <w:left w:val="nil"/>
              <w:bottom w:val="single" w:sz="4" w:space="0" w:color="auto"/>
              <w:right w:val="single" w:sz="4" w:space="0" w:color="auto"/>
            </w:tcBorders>
            <w:shd w:val="clear" w:color="000000" w:fill="FFFFFF"/>
            <w:noWrap/>
            <w:vAlign w:val="bottom"/>
            <w:hideMark/>
          </w:tcPr>
          <w:p w14:paraId="54E61FB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59</w:t>
            </w:r>
          </w:p>
        </w:tc>
        <w:tc>
          <w:tcPr>
            <w:tcW w:w="1559" w:type="dxa"/>
            <w:tcBorders>
              <w:top w:val="nil"/>
              <w:left w:val="nil"/>
              <w:bottom w:val="single" w:sz="4" w:space="0" w:color="auto"/>
              <w:right w:val="single" w:sz="4" w:space="0" w:color="auto"/>
            </w:tcBorders>
            <w:shd w:val="clear" w:color="000000" w:fill="FFFFFF"/>
            <w:noWrap/>
            <w:vAlign w:val="bottom"/>
            <w:hideMark/>
          </w:tcPr>
          <w:p w14:paraId="1B5C16D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2 581 671,92 </w:t>
            </w:r>
          </w:p>
        </w:tc>
      </w:tr>
      <w:tr w:rsidR="00E8617E" w:rsidRPr="00BC513A" w14:paraId="4D7E542B" w14:textId="77777777" w:rsidTr="00922731">
        <w:trPr>
          <w:trHeight w:val="34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28D643B9"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32</w:t>
            </w:r>
          </w:p>
        </w:tc>
        <w:tc>
          <w:tcPr>
            <w:tcW w:w="2462" w:type="dxa"/>
            <w:tcBorders>
              <w:top w:val="nil"/>
              <w:left w:val="nil"/>
              <w:bottom w:val="single" w:sz="4" w:space="0" w:color="auto"/>
              <w:right w:val="single" w:sz="4" w:space="0" w:color="auto"/>
            </w:tcBorders>
            <w:shd w:val="clear" w:color="auto" w:fill="auto"/>
            <w:vAlign w:val="center"/>
            <w:hideMark/>
          </w:tcPr>
          <w:p w14:paraId="3EF0C93A"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Елхово</w:t>
            </w:r>
          </w:p>
        </w:tc>
        <w:tc>
          <w:tcPr>
            <w:tcW w:w="992" w:type="dxa"/>
            <w:tcBorders>
              <w:top w:val="nil"/>
              <w:left w:val="nil"/>
              <w:bottom w:val="single" w:sz="4" w:space="0" w:color="auto"/>
              <w:right w:val="single" w:sz="4" w:space="0" w:color="auto"/>
            </w:tcBorders>
            <w:vAlign w:val="center"/>
          </w:tcPr>
          <w:p w14:paraId="366498A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color w:val="000000"/>
                <w:sz w:val="18"/>
                <w:szCs w:val="18"/>
                <w:lang w:eastAsia="bg-BG"/>
              </w:rPr>
              <w:t>54</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42002F"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42</w:t>
            </w:r>
          </w:p>
        </w:tc>
        <w:tc>
          <w:tcPr>
            <w:tcW w:w="1559" w:type="dxa"/>
            <w:tcBorders>
              <w:top w:val="nil"/>
              <w:left w:val="nil"/>
              <w:bottom w:val="single" w:sz="4" w:space="0" w:color="auto"/>
              <w:right w:val="single" w:sz="4" w:space="0" w:color="auto"/>
            </w:tcBorders>
            <w:shd w:val="clear" w:color="auto" w:fill="auto"/>
            <w:vAlign w:val="center"/>
            <w:hideMark/>
          </w:tcPr>
          <w:p w14:paraId="1B0DF50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114,79%</w:t>
            </w:r>
          </w:p>
        </w:tc>
        <w:tc>
          <w:tcPr>
            <w:tcW w:w="1701" w:type="dxa"/>
            <w:tcBorders>
              <w:top w:val="nil"/>
              <w:left w:val="nil"/>
              <w:bottom w:val="single" w:sz="4" w:space="0" w:color="auto"/>
              <w:right w:val="single" w:sz="4" w:space="0" w:color="auto"/>
            </w:tcBorders>
            <w:shd w:val="clear" w:color="auto" w:fill="auto"/>
            <w:vAlign w:val="center"/>
            <w:hideMark/>
          </w:tcPr>
          <w:p w14:paraId="017DBAE1" w14:textId="77777777" w:rsidR="00E8617E" w:rsidRPr="00BC513A" w:rsidRDefault="00E8617E" w:rsidP="00922731">
            <w:pPr>
              <w:spacing w:after="0" w:line="240" w:lineRule="auto"/>
              <w:jc w:val="right"/>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1053460,05</w:t>
            </w:r>
          </w:p>
        </w:tc>
        <w:tc>
          <w:tcPr>
            <w:tcW w:w="1417" w:type="dxa"/>
            <w:tcBorders>
              <w:top w:val="nil"/>
              <w:left w:val="nil"/>
              <w:bottom w:val="single" w:sz="4" w:space="0" w:color="auto"/>
              <w:right w:val="single" w:sz="4" w:space="0" w:color="auto"/>
            </w:tcBorders>
            <w:shd w:val="clear" w:color="auto" w:fill="auto"/>
            <w:vAlign w:val="center"/>
            <w:hideMark/>
          </w:tcPr>
          <w:p w14:paraId="4F76F91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97299</w:t>
            </w:r>
          </w:p>
        </w:tc>
        <w:tc>
          <w:tcPr>
            <w:tcW w:w="1560" w:type="dxa"/>
            <w:tcBorders>
              <w:top w:val="nil"/>
              <w:left w:val="nil"/>
              <w:bottom w:val="single" w:sz="4" w:space="0" w:color="auto"/>
              <w:right w:val="single" w:sz="4" w:space="0" w:color="auto"/>
            </w:tcBorders>
            <w:shd w:val="clear" w:color="auto" w:fill="auto"/>
            <w:vAlign w:val="center"/>
            <w:hideMark/>
          </w:tcPr>
          <w:p w14:paraId="223EDFC5" w14:textId="77777777" w:rsidR="00E8617E" w:rsidRPr="00BC513A" w:rsidRDefault="00E8617E" w:rsidP="00922731">
            <w:pPr>
              <w:spacing w:after="0" w:line="240" w:lineRule="auto"/>
              <w:jc w:val="right"/>
              <w:rPr>
                <w:rFonts w:ascii="Arial" w:eastAsia="Times New Roman" w:hAnsi="Arial" w:cs="Arial"/>
                <w:color w:val="000000"/>
                <w:sz w:val="18"/>
                <w:szCs w:val="18"/>
                <w:lang w:eastAsia="bg-BG"/>
              </w:rPr>
            </w:pPr>
            <w:r w:rsidRPr="00BC513A">
              <w:rPr>
                <w:rFonts w:ascii="Arial" w:eastAsia="Times New Roman" w:hAnsi="Arial" w:cs="Arial"/>
                <w:color w:val="000000"/>
                <w:sz w:val="18"/>
                <w:szCs w:val="18"/>
                <w:lang w:eastAsia="bg-BG"/>
              </w:rPr>
              <w:t>2017564,82</w:t>
            </w:r>
          </w:p>
        </w:tc>
        <w:tc>
          <w:tcPr>
            <w:tcW w:w="1134" w:type="dxa"/>
            <w:tcBorders>
              <w:top w:val="nil"/>
              <w:left w:val="nil"/>
              <w:bottom w:val="single" w:sz="4" w:space="0" w:color="auto"/>
              <w:right w:val="single" w:sz="4" w:space="0" w:color="auto"/>
            </w:tcBorders>
            <w:shd w:val="clear" w:color="auto" w:fill="auto"/>
            <w:vAlign w:val="center"/>
            <w:hideMark/>
          </w:tcPr>
          <w:p w14:paraId="611B438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42</w:t>
            </w:r>
          </w:p>
        </w:tc>
        <w:tc>
          <w:tcPr>
            <w:tcW w:w="1134" w:type="dxa"/>
            <w:tcBorders>
              <w:top w:val="nil"/>
              <w:left w:val="nil"/>
              <w:bottom w:val="single" w:sz="4" w:space="0" w:color="auto"/>
              <w:right w:val="single" w:sz="4" w:space="0" w:color="auto"/>
            </w:tcBorders>
            <w:shd w:val="clear" w:color="000000" w:fill="FFFFFF"/>
            <w:noWrap/>
            <w:vAlign w:val="bottom"/>
            <w:hideMark/>
          </w:tcPr>
          <w:p w14:paraId="6DFAB6B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32</w:t>
            </w:r>
          </w:p>
        </w:tc>
        <w:tc>
          <w:tcPr>
            <w:tcW w:w="1559" w:type="dxa"/>
            <w:tcBorders>
              <w:top w:val="nil"/>
              <w:left w:val="nil"/>
              <w:bottom w:val="single" w:sz="4" w:space="0" w:color="auto"/>
              <w:right w:val="single" w:sz="4" w:space="0" w:color="auto"/>
            </w:tcBorders>
            <w:shd w:val="clear" w:color="000000" w:fill="FFFFFF"/>
            <w:noWrap/>
            <w:vAlign w:val="bottom"/>
            <w:hideMark/>
          </w:tcPr>
          <w:p w14:paraId="46412D94"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2 065 830,21 </w:t>
            </w:r>
          </w:p>
        </w:tc>
      </w:tr>
      <w:tr w:rsidR="00E8617E" w:rsidRPr="00BC513A" w14:paraId="5F7924E5" w14:textId="77777777" w:rsidTr="00922731">
        <w:trPr>
          <w:trHeight w:val="276"/>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026FC174"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33</w:t>
            </w:r>
          </w:p>
        </w:tc>
        <w:tc>
          <w:tcPr>
            <w:tcW w:w="2462" w:type="dxa"/>
            <w:tcBorders>
              <w:top w:val="nil"/>
              <w:left w:val="nil"/>
              <w:bottom w:val="single" w:sz="4" w:space="0" w:color="auto"/>
              <w:right w:val="single" w:sz="4" w:space="0" w:color="auto"/>
            </w:tcBorders>
            <w:shd w:val="clear" w:color="auto" w:fill="auto"/>
            <w:vAlign w:val="center"/>
            <w:hideMark/>
          </w:tcPr>
          <w:p w14:paraId="145D2BBA"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Тервел - Крушари</w:t>
            </w:r>
          </w:p>
        </w:tc>
        <w:tc>
          <w:tcPr>
            <w:tcW w:w="992" w:type="dxa"/>
            <w:tcBorders>
              <w:top w:val="nil"/>
              <w:left w:val="nil"/>
              <w:bottom w:val="single" w:sz="4" w:space="0" w:color="auto"/>
              <w:right w:val="single" w:sz="4" w:space="0" w:color="auto"/>
            </w:tcBorders>
            <w:vAlign w:val="center"/>
          </w:tcPr>
          <w:p w14:paraId="556334F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72</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9F3F9F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62</w:t>
            </w:r>
          </w:p>
        </w:tc>
        <w:tc>
          <w:tcPr>
            <w:tcW w:w="1559" w:type="dxa"/>
            <w:tcBorders>
              <w:top w:val="nil"/>
              <w:left w:val="nil"/>
              <w:bottom w:val="single" w:sz="4" w:space="0" w:color="auto"/>
              <w:right w:val="single" w:sz="4" w:space="0" w:color="auto"/>
            </w:tcBorders>
            <w:shd w:val="clear" w:color="auto" w:fill="auto"/>
            <w:vAlign w:val="center"/>
            <w:hideMark/>
          </w:tcPr>
          <w:p w14:paraId="7FCA4E5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94,09%</w:t>
            </w:r>
          </w:p>
        </w:tc>
        <w:tc>
          <w:tcPr>
            <w:tcW w:w="1701" w:type="dxa"/>
            <w:tcBorders>
              <w:top w:val="nil"/>
              <w:left w:val="nil"/>
              <w:bottom w:val="single" w:sz="4" w:space="0" w:color="auto"/>
              <w:right w:val="single" w:sz="4" w:space="0" w:color="auto"/>
            </w:tcBorders>
            <w:shd w:val="clear" w:color="auto" w:fill="auto"/>
            <w:vAlign w:val="center"/>
            <w:hideMark/>
          </w:tcPr>
          <w:p w14:paraId="0F2BCA2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821919,19</w:t>
            </w:r>
          </w:p>
        </w:tc>
        <w:tc>
          <w:tcPr>
            <w:tcW w:w="1417" w:type="dxa"/>
            <w:tcBorders>
              <w:top w:val="nil"/>
              <w:left w:val="nil"/>
              <w:bottom w:val="single" w:sz="4" w:space="0" w:color="auto"/>
              <w:right w:val="single" w:sz="4" w:space="0" w:color="auto"/>
            </w:tcBorders>
            <w:shd w:val="clear" w:color="auto" w:fill="auto"/>
            <w:vAlign w:val="center"/>
            <w:hideMark/>
          </w:tcPr>
          <w:p w14:paraId="1DF7FC49"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0,00</w:t>
            </w:r>
          </w:p>
        </w:tc>
        <w:tc>
          <w:tcPr>
            <w:tcW w:w="1560" w:type="dxa"/>
            <w:tcBorders>
              <w:top w:val="nil"/>
              <w:left w:val="nil"/>
              <w:bottom w:val="single" w:sz="4" w:space="0" w:color="auto"/>
              <w:right w:val="single" w:sz="4" w:space="0" w:color="auto"/>
            </w:tcBorders>
            <w:shd w:val="clear" w:color="auto" w:fill="auto"/>
            <w:vAlign w:val="center"/>
            <w:hideMark/>
          </w:tcPr>
          <w:p w14:paraId="4D96517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2108780,66</w:t>
            </w:r>
          </w:p>
        </w:tc>
        <w:tc>
          <w:tcPr>
            <w:tcW w:w="1134" w:type="dxa"/>
            <w:tcBorders>
              <w:top w:val="nil"/>
              <w:left w:val="nil"/>
              <w:bottom w:val="single" w:sz="4" w:space="0" w:color="auto"/>
              <w:right w:val="single" w:sz="4" w:space="0" w:color="auto"/>
            </w:tcBorders>
            <w:shd w:val="clear" w:color="auto" w:fill="auto"/>
            <w:vAlign w:val="center"/>
            <w:hideMark/>
          </w:tcPr>
          <w:p w14:paraId="1AC10181"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62</w:t>
            </w:r>
          </w:p>
        </w:tc>
        <w:tc>
          <w:tcPr>
            <w:tcW w:w="1134" w:type="dxa"/>
            <w:tcBorders>
              <w:top w:val="nil"/>
              <w:left w:val="nil"/>
              <w:bottom w:val="single" w:sz="4" w:space="0" w:color="auto"/>
              <w:right w:val="single" w:sz="4" w:space="0" w:color="auto"/>
            </w:tcBorders>
            <w:shd w:val="clear" w:color="000000" w:fill="FFFFFF"/>
            <w:noWrap/>
            <w:vAlign w:val="bottom"/>
            <w:hideMark/>
          </w:tcPr>
          <w:p w14:paraId="79636436"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48</w:t>
            </w:r>
          </w:p>
        </w:tc>
        <w:tc>
          <w:tcPr>
            <w:tcW w:w="1559" w:type="dxa"/>
            <w:tcBorders>
              <w:top w:val="nil"/>
              <w:left w:val="nil"/>
              <w:bottom w:val="single" w:sz="4" w:space="0" w:color="auto"/>
              <w:right w:val="single" w:sz="4" w:space="0" w:color="auto"/>
            </w:tcBorders>
            <w:shd w:val="clear" w:color="000000" w:fill="FFFFFF"/>
            <w:noWrap/>
            <w:vAlign w:val="bottom"/>
            <w:hideMark/>
          </w:tcPr>
          <w:p w14:paraId="75086E37"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2 388 660,25 </w:t>
            </w:r>
          </w:p>
        </w:tc>
      </w:tr>
      <w:tr w:rsidR="00E8617E" w:rsidRPr="00BC513A" w14:paraId="10214661" w14:textId="77777777" w:rsidTr="00922731">
        <w:trPr>
          <w:trHeight w:val="345"/>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45895B34"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34</w:t>
            </w:r>
          </w:p>
        </w:tc>
        <w:tc>
          <w:tcPr>
            <w:tcW w:w="2462" w:type="dxa"/>
            <w:tcBorders>
              <w:top w:val="nil"/>
              <w:left w:val="nil"/>
              <w:bottom w:val="single" w:sz="4" w:space="0" w:color="auto"/>
              <w:right w:val="single" w:sz="4" w:space="0" w:color="auto"/>
            </w:tcBorders>
            <w:shd w:val="clear" w:color="auto" w:fill="auto"/>
            <w:vAlign w:val="center"/>
            <w:hideMark/>
          </w:tcPr>
          <w:p w14:paraId="417CB6F4"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Харманли</w:t>
            </w:r>
          </w:p>
        </w:tc>
        <w:tc>
          <w:tcPr>
            <w:tcW w:w="992" w:type="dxa"/>
            <w:tcBorders>
              <w:top w:val="nil"/>
              <w:left w:val="nil"/>
              <w:bottom w:val="single" w:sz="4" w:space="0" w:color="auto"/>
              <w:right w:val="single" w:sz="4" w:space="0" w:color="auto"/>
            </w:tcBorders>
            <w:vAlign w:val="bottom"/>
          </w:tcPr>
          <w:p w14:paraId="6883790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45</w:t>
            </w:r>
          </w:p>
        </w:tc>
        <w:tc>
          <w:tcPr>
            <w:tcW w:w="1418" w:type="dxa"/>
            <w:tcBorders>
              <w:top w:val="nil"/>
              <w:left w:val="single" w:sz="4" w:space="0" w:color="auto"/>
              <w:bottom w:val="single" w:sz="4" w:space="0" w:color="auto"/>
              <w:right w:val="single" w:sz="4" w:space="0" w:color="auto"/>
            </w:tcBorders>
            <w:shd w:val="clear" w:color="auto" w:fill="auto"/>
            <w:noWrap/>
            <w:vAlign w:val="bottom"/>
            <w:hideMark/>
          </w:tcPr>
          <w:p w14:paraId="16C7830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43</w:t>
            </w:r>
          </w:p>
        </w:tc>
        <w:tc>
          <w:tcPr>
            <w:tcW w:w="1559" w:type="dxa"/>
            <w:tcBorders>
              <w:top w:val="nil"/>
              <w:left w:val="nil"/>
              <w:bottom w:val="single" w:sz="4" w:space="0" w:color="auto"/>
              <w:right w:val="single" w:sz="4" w:space="0" w:color="auto"/>
            </w:tcBorders>
            <w:shd w:val="clear" w:color="auto" w:fill="auto"/>
            <w:vAlign w:val="center"/>
            <w:hideMark/>
          </w:tcPr>
          <w:p w14:paraId="7EF94EF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129,84%</w:t>
            </w:r>
          </w:p>
        </w:tc>
        <w:tc>
          <w:tcPr>
            <w:tcW w:w="1701" w:type="dxa"/>
            <w:tcBorders>
              <w:top w:val="nil"/>
              <w:left w:val="nil"/>
              <w:bottom w:val="single" w:sz="4" w:space="0" w:color="auto"/>
              <w:right w:val="single" w:sz="4" w:space="0" w:color="auto"/>
            </w:tcBorders>
            <w:shd w:val="clear" w:color="auto" w:fill="auto"/>
            <w:noWrap/>
            <w:vAlign w:val="bottom"/>
            <w:hideMark/>
          </w:tcPr>
          <w:p w14:paraId="3D57743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1215553,53</w:t>
            </w:r>
          </w:p>
        </w:tc>
        <w:tc>
          <w:tcPr>
            <w:tcW w:w="1417" w:type="dxa"/>
            <w:tcBorders>
              <w:top w:val="nil"/>
              <w:left w:val="nil"/>
              <w:bottom w:val="single" w:sz="4" w:space="0" w:color="auto"/>
              <w:right w:val="single" w:sz="4" w:space="0" w:color="auto"/>
            </w:tcBorders>
            <w:shd w:val="clear" w:color="auto" w:fill="auto"/>
            <w:noWrap/>
            <w:vAlign w:val="bottom"/>
            <w:hideMark/>
          </w:tcPr>
          <w:p w14:paraId="5F12EA40"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330000,00</w:t>
            </w:r>
          </w:p>
        </w:tc>
        <w:tc>
          <w:tcPr>
            <w:tcW w:w="1560" w:type="dxa"/>
            <w:tcBorders>
              <w:top w:val="nil"/>
              <w:left w:val="nil"/>
              <w:bottom w:val="single" w:sz="4" w:space="0" w:color="auto"/>
              <w:right w:val="single" w:sz="4" w:space="0" w:color="auto"/>
            </w:tcBorders>
            <w:shd w:val="clear" w:color="auto" w:fill="auto"/>
            <w:noWrap/>
            <w:vAlign w:val="bottom"/>
            <w:hideMark/>
          </w:tcPr>
          <w:p w14:paraId="73B18BE3"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2648404,07</w:t>
            </w:r>
          </w:p>
        </w:tc>
        <w:tc>
          <w:tcPr>
            <w:tcW w:w="1134" w:type="dxa"/>
            <w:tcBorders>
              <w:top w:val="nil"/>
              <w:left w:val="nil"/>
              <w:bottom w:val="single" w:sz="4" w:space="0" w:color="auto"/>
              <w:right w:val="single" w:sz="4" w:space="0" w:color="auto"/>
            </w:tcBorders>
            <w:shd w:val="clear" w:color="auto" w:fill="auto"/>
            <w:noWrap/>
            <w:vAlign w:val="bottom"/>
            <w:hideMark/>
          </w:tcPr>
          <w:p w14:paraId="7D50803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43</w:t>
            </w:r>
          </w:p>
        </w:tc>
        <w:tc>
          <w:tcPr>
            <w:tcW w:w="1134" w:type="dxa"/>
            <w:tcBorders>
              <w:top w:val="nil"/>
              <w:left w:val="nil"/>
              <w:bottom w:val="single" w:sz="4" w:space="0" w:color="auto"/>
              <w:right w:val="single" w:sz="4" w:space="0" w:color="auto"/>
            </w:tcBorders>
            <w:shd w:val="clear" w:color="000000" w:fill="FFFFFF"/>
            <w:noWrap/>
            <w:vAlign w:val="bottom"/>
            <w:hideMark/>
          </w:tcPr>
          <w:p w14:paraId="1453CED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28</w:t>
            </w:r>
          </w:p>
        </w:tc>
        <w:tc>
          <w:tcPr>
            <w:tcW w:w="1559" w:type="dxa"/>
            <w:tcBorders>
              <w:top w:val="nil"/>
              <w:left w:val="nil"/>
              <w:bottom w:val="single" w:sz="4" w:space="0" w:color="auto"/>
              <w:right w:val="single" w:sz="4" w:space="0" w:color="auto"/>
            </w:tcBorders>
            <w:shd w:val="clear" w:color="000000" w:fill="FFFFFF"/>
            <w:noWrap/>
            <w:vAlign w:val="bottom"/>
            <w:hideMark/>
          </w:tcPr>
          <w:p w14:paraId="6E32061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2 335 848,84 </w:t>
            </w:r>
          </w:p>
        </w:tc>
      </w:tr>
      <w:tr w:rsidR="00E8617E" w:rsidRPr="00BC513A" w14:paraId="73652741" w14:textId="77777777" w:rsidTr="00922731">
        <w:trPr>
          <w:trHeight w:val="300"/>
        </w:trPr>
        <w:tc>
          <w:tcPr>
            <w:tcW w:w="441" w:type="dxa"/>
            <w:tcBorders>
              <w:top w:val="nil"/>
              <w:left w:val="single" w:sz="4" w:space="0" w:color="auto"/>
              <w:bottom w:val="single" w:sz="4" w:space="0" w:color="auto"/>
              <w:right w:val="single" w:sz="4" w:space="0" w:color="auto"/>
            </w:tcBorders>
            <w:shd w:val="clear" w:color="auto" w:fill="auto"/>
            <w:vAlign w:val="center"/>
            <w:hideMark/>
          </w:tcPr>
          <w:p w14:paraId="6795A16C" w14:textId="77777777" w:rsidR="00E8617E" w:rsidRPr="00BC513A" w:rsidRDefault="00E8617E" w:rsidP="00922731">
            <w:pPr>
              <w:spacing w:after="0" w:line="240" w:lineRule="auto"/>
              <w:jc w:val="center"/>
              <w:rPr>
                <w:rFonts w:ascii="Arial" w:eastAsia="Times New Roman" w:hAnsi="Arial" w:cs="Arial"/>
                <w:sz w:val="18"/>
                <w:szCs w:val="18"/>
                <w:lang w:eastAsia="bg-BG"/>
              </w:rPr>
            </w:pPr>
            <w:r w:rsidRPr="00BC513A">
              <w:rPr>
                <w:rFonts w:ascii="Arial" w:eastAsia="Times New Roman" w:hAnsi="Arial" w:cs="Arial"/>
                <w:sz w:val="18"/>
                <w:szCs w:val="18"/>
                <w:lang w:eastAsia="bg-BG"/>
              </w:rPr>
              <w:t>35</w:t>
            </w:r>
          </w:p>
        </w:tc>
        <w:tc>
          <w:tcPr>
            <w:tcW w:w="2462" w:type="dxa"/>
            <w:tcBorders>
              <w:top w:val="nil"/>
              <w:left w:val="nil"/>
              <w:bottom w:val="single" w:sz="4" w:space="0" w:color="auto"/>
              <w:right w:val="single" w:sz="4" w:space="0" w:color="auto"/>
            </w:tcBorders>
            <w:shd w:val="clear" w:color="auto" w:fill="auto"/>
            <w:vAlign w:val="center"/>
            <w:hideMark/>
          </w:tcPr>
          <w:p w14:paraId="725E9030" w14:textId="77777777" w:rsidR="00E8617E" w:rsidRPr="00BC513A" w:rsidRDefault="00E8617E" w:rsidP="00922731">
            <w:pPr>
              <w:spacing w:after="0" w:line="240" w:lineRule="auto"/>
              <w:rPr>
                <w:rFonts w:ascii="Arial" w:eastAsia="Times New Roman" w:hAnsi="Arial" w:cs="Arial"/>
                <w:sz w:val="18"/>
                <w:szCs w:val="18"/>
                <w:lang w:eastAsia="bg-BG"/>
              </w:rPr>
            </w:pPr>
            <w:r w:rsidRPr="00BC513A">
              <w:rPr>
                <w:rFonts w:ascii="Arial" w:eastAsia="Times New Roman" w:hAnsi="Arial" w:cs="Arial"/>
                <w:sz w:val="18"/>
                <w:szCs w:val="18"/>
                <w:lang w:eastAsia="bg-BG"/>
              </w:rPr>
              <w:t>Брезник - Трън</w:t>
            </w:r>
          </w:p>
        </w:tc>
        <w:tc>
          <w:tcPr>
            <w:tcW w:w="992" w:type="dxa"/>
            <w:tcBorders>
              <w:top w:val="nil"/>
              <w:left w:val="nil"/>
              <w:bottom w:val="single" w:sz="4" w:space="0" w:color="auto"/>
              <w:right w:val="single" w:sz="4" w:space="0" w:color="auto"/>
            </w:tcBorders>
            <w:vAlign w:val="center"/>
          </w:tcPr>
          <w:p w14:paraId="30CE671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74</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956B01A"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63</w:t>
            </w:r>
          </w:p>
        </w:tc>
        <w:tc>
          <w:tcPr>
            <w:tcW w:w="1559" w:type="dxa"/>
            <w:tcBorders>
              <w:top w:val="nil"/>
              <w:left w:val="nil"/>
              <w:bottom w:val="single" w:sz="4" w:space="0" w:color="auto"/>
              <w:right w:val="single" w:sz="4" w:space="0" w:color="auto"/>
            </w:tcBorders>
            <w:shd w:val="clear" w:color="auto" w:fill="auto"/>
            <w:vAlign w:val="center"/>
            <w:hideMark/>
          </w:tcPr>
          <w:p w14:paraId="0DAEDD38"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179,26%</w:t>
            </w:r>
          </w:p>
        </w:tc>
        <w:tc>
          <w:tcPr>
            <w:tcW w:w="1701" w:type="dxa"/>
            <w:tcBorders>
              <w:top w:val="nil"/>
              <w:left w:val="nil"/>
              <w:bottom w:val="single" w:sz="4" w:space="0" w:color="auto"/>
              <w:right w:val="single" w:sz="4" w:space="0" w:color="auto"/>
            </w:tcBorders>
            <w:shd w:val="clear" w:color="auto" w:fill="auto"/>
            <w:vAlign w:val="center"/>
            <w:hideMark/>
          </w:tcPr>
          <w:p w14:paraId="086965E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1594107,00</w:t>
            </w:r>
          </w:p>
        </w:tc>
        <w:tc>
          <w:tcPr>
            <w:tcW w:w="1417" w:type="dxa"/>
            <w:tcBorders>
              <w:top w:val="nil"/>
              <w:left w:val="nil"/>
              <w:bottom w:val="single" w:sz="4" w:space="0" w:color="auto"/>
              <w:right w:val="single" w:sz="4" w:space="0" w:color="auto"/>
            </w:tcBorders>
            <w:shd w:val="clear" w:color="auto" w:fill="auto"/>
            <w:vAlign w:val="center"/>
            <w:hideMark/>
          </w:tcPr>
          <w:p w14:paraId="4E77A12B"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24636,58</w:t>
            </w:r>
          </w:p>
        </w:tc>
        <w:tc>
          <w:tcPr>
            <w:tcW w:w="1560" w:type="dxa"/>
            <w:tcBorders>
              <w:top w:val="nil"/>
              <w:left w:val="nil"/>
              <w:bottom w:val="single" w:sz="4" w:space="0" w:color="auto"/>
              <w:right w:val="single" w:sz="4" w:space="0" w:color="auto"/>
            </w:tcBorders>
            <w:shd w:val="clear" w:color="auto" w:fill="auto"/>
            <w:vAlign w:val="center"/>
            <w:hideMark/>
          </w:tcPr>
          <w:p w14:paraId="5E6EBC52"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3920526,70</w:t>
            </w:r>
          </w:p>
        </w:tc>
        <w:tc>
          <w:tcPr>
            <w:tcW w:w="1134" w:type="dxa"/>
            <w:tcBorders>
              <w:top w:val="nil"/>
              <w:left w:val="nil"/>
              <w:bottom w:val="single" w:sz="4" w:space="0" w:color="auto"/>
              <w:right w:val="single" w:sz="4" w:space="0" w:color="auto"/>
            </w:tcBorders>
            <w:shd w:val="clear" w:color="auto" w:fill="auto"/>
            <w:vAlign w:val="center"/>
            <w:hideMark/>
          </w:tcPr>
          <w:p w14:paraId="593B7D7D"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63</w:t>
            </w:r>
          </w:p>
        </w:tc>
        <w:tc>
          <w:tcPr>
            <w:tcW w:w="1134" w:type="dxa"/>
            <w:tcBorders>
              <w:top w:val="nil"/>
              <w:left w:val="nil"/>
              <w:bottom w:val="single" w:sz="4" w:space="0" w:color="auto"/>
              <w:right w:val="single" w:sz="4" w:space="0" w:color="auto"/>
            </w:tcBorders>
            <w:shd w:val="clear" w:color="000000" w:fill="FFFFFF"/>
            <w:noWrap/>
            <w:vAlign w:val="bottom"/>
            <w:hideMark/>
          </w:tcPr>
          <w:p w14:paraId="5A4A0D3C"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29</w:t>
            </w:r>
          </w:p>
        </w:tc>
        <w:tc>
          <w:tcPr>
            <w:tcW w:w="1559" w:type="dxa"/>
            <w:tcBorders>
              <w:top w:val="nil"/>
              <w:left w:val="nil"/>
              <w:bottom w:val="single" w:sz="4" w:space="0" w:color="auto"/>
              <w:right w:val="single" w:sz="4" w:space="0" w:color="auto"/>
            </w:tcBorders>
            <w:shd w:val="clear" w:color="000000" w:fill="FFFFFF"/>
            <w:noWrap/>
            <w:vAlign w:val="bottom"/>
            <w:hideMark/>
          </w:tcPr>
          <w:p w14:paraId="65EA950E" w14:textId="77777777" w:rsidR="00E8617E" w:rsidRPr="00BC513A" w:rsidRDefault="00E8617E" w:rsidP="00922731">
            <w:pPr>
              <w:spacing w:after="0" w:line="240" w:lineRule="auto"/>
              <w:jc w:val="right"/>
              <w:rPr>
                <w:rFonts w:ascii="Arial" w:eastAsia="Times New Roman" w:hAnsi="Arial" w:cs="Arial"/>
                <w:sz w:val="18"/>
                <w:szCs w:val="18"/>
                <w:lang w:eastAsia="bg-BG"/>
              </w:rPr>
            </w:pPr>
            <w:r w:rsidRPr="00BC513A">
              <w:rPr>
                <w:rFonts w:ascii="Arial" w:eastAsia="Times New Roman" w:hAnsi="Arial" w:cs="Arial"/>
                <w:sz w:val="18"/>
                <w:szCs w:val="18"/>
                <w:lang w:eastAsia="bg-BG"/>
              </w:rPr>
              <w:t xml:space="preserve">1 932 556,77 </w:t>
            </w:r>
          </w:p>
        </w:tc>
      </w:tr>
      <w:tr w:rsidR="00E8617E" w:rsidRPr="00BC513A" w14:paraId="3C68EF76" w14:textId="77777777" w:rsidTr="00922731">
        <w:trPr>
          <w:trHeight w:val="390"/>
        </w:trPr>
        <w:tc>
          <w:tcPr>
            <w:tcW w:w="2903" w:type="dxa"/>
            <w:gridSpan w:val="2"/>
            <w:tcBorders>
              <w:top w:val="nil"/>
              <w:left w:val="single" w:sz="4" w:space="0" w:color="auto"/>
              <w:bottom w:val="single" w:sz="4" w:space="0" w:color="auto"/>
              <w:right w:val="single" w:sz="4" w:space="0" w:color="auto"/>
            </w:tcBorders>
            <w:shd w:val="clear" w:color="auto" w:fill="DEEAF6" w:themeFill="accent1" w:themeFillTint="33"/>
            <w:vAlign w:val="center"/>
            <w:hideMark/>
          </w:tcPr>
          <w:p w14:paraId="0A9FDB68" w14:textId="77777777" w:rsidR="00E8617E" w:rsidRPr="00BC513A" w:rsidRDefault="00E8617E" w:rsidP="00922731">
            <w:pPr>
              <w:spacing w:after="0" w:line="240" w:lineRule="auto"/>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 Общо</w:t>
            </w:r>
          </w:p>
        </w:tc>
        <w:tc>
          <w:tcPr>
            <w:tcW w:w="992" w:type="dxa"/>
            <w:tcBorders>
              <w:top w:val="nil"/>
              <w:left w:val="nil"/>
              <w:bottom w:val="single" w:sz="4" w:space="0" w:color="auto"/>
              <w:right w:val="single" w:sz="4" w:space="0" w:color="auto"/>
            </w:tcBorders>
            <w:shd w:val="clear" w:color="auto" w:fill="DEEAF6" w:themeFill="accent1" w:themeFillTint="33"/>
            <w:vAlign w:val="center"/>
          </w:tcPr>
          <w:p w14:paraId="31B0E2C0" w14:textId="77777777" w:rsidR="00E8617E" w:rsidRPr="00BC513A" w:rsidRDefault="00E8617E" w:rsidP="00922731">
            <w:pPr>
              <w:spacing w:after="0" w:line="240" w:lineRule="auto"/>
              <w:jc w:val="right"/>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1908</w:t>
            </w:r>
          </w:p>
        </w:tc>
        <w:tc>
          <w:tcPr>
            <w:tcW w:w="1418" w:type="dxa"/>
            <w:tcBorders>
              <w:top w:val="nil"/>
              <w:left w:val="single" w:sz="4" w:space="0" w:color="auto"/>
              <w:bottom w:val="single" w:sz="4" w:space="0" w:color="auto"/>
              <w:right w:val="single" w:sz="4" w:space="0" w:color="auto"/>
            </w:tcBorders>
            <w:shd w:val="clear" w:color="auto" w:fill="DEEAF6" w:themeFill="accent1" w:themeFillTint="33"/>
            <w:vAlign w:val="center"/>
            <w:hideMark/>
          </w:tcPr>
          <w:p w14:paraId="69F79B8A" w14:textId="77777777" w:rsidR="00E8617E" w:rsidRPr="00BC513A" w:rsidRDefault="00E8617E" w:rsidP="00922731">
            <w:pPr>
              <w:spacing w:after="0" w:line="240" w:lineRule="auto"/>
              <w:jc w:val="right"/>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1626</w:t>
            </w:r>
          </w:p>
        </w:tc>
        <w:tc>
          <w:tcPr>
            <w:tcW w:w="1559" w:type="dxa"/>
            <w:tcBorders>
              <w:top w:val="nil"/>
              <w:left w:val="nil"/>
              <w:bottom w:val="single" w:sz="4" w:space="0" w:color="auto"/>
              <w:right w:val="single" w:sz="4" w:space="0" w:color="auto"/>
            </w:tcBorders>
            <w:shd w:val="clear" w:color="auto" w:fill="DEEAF6" w:themeFill="accent1" w:themeFillTint="33"/>
            <w:vAlign w:val="center"/>
            <w:hideMark/>
          </w:tcPr>
          <w:p w14:paraId="5B16FB63" w14:textId="77777777" w:rsidR="00E8617E" w:rsidRPr="00BC513A" w:rsidRDefault="00E8617E" w:rsidP="00922731">
            <w:pPr>
              <w:spacing w:after="0" w:line="240" w:lineRule="auto"/>
              <w:jc w:val="right"/>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114,73%</w:t>
            </w:r>
          </w:p>
        </w:tc>
        <w:tc>
          <w:tcPr>
            <w:tcW w:w="1701" w:type="dxa"/>
            <w:tcBorders>
              <w:top w:val="nil"/>
              <w:left w:val="nil"/>
              <w:bottom w:val="single" w:sz="4" w:space="0" w:color="auto"/>
              <w:right w:val="single" w:sz="4" w:space="0" w:color="auto"/>
            </w:tcBorders>
            <w:shd w:val="clear" w:color="auto" w:fill="DEEAF6" w:themeFill="accent1" w:themeFillTint="33"/>
            <w:vAlign w:val="center"/>
            <w:hideMark/>
          </w:tcPr>
          <w:p w14:paraId="1BB6E147" w14:textId="77777777" w:rsidR="00E8617E" w:rsidRPr="00BC513A" w:rsidRDefault="00E8617E" w:rsidP="00922731">
            <w:pPr>
              <w:spacing w:after="0" w:line="240" w:lineRule="auto"/>
              <w:jc w:val="right"/>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30367681,34</w:t>
            </w:r>
          </w:p>
        </w:tc>
        <w:tc>
          <w:tcPr>
            <w:tcW w:w="1417" w:type="dxa"/>
            <w:tcBorders>
              <w:top w:val="nil"/>
              <w:left w:val="nil"/>
              <w:bottom w:val="single" w:sz="4" w:space="0" w:color="auto"/>
              <w:right w:val="single" w:sz="4" w:space="0" w:color="auto"/>
            </w:tcBorders>
            <w:shd w:val="clear" w:color="auto" w:fill="DEEAF6" w:themeFill="accent1" w:themeFillTint="33"/>
            <w:vAlign w:val="center"/>
            <w:hideMark/>
          </w:tcPr>
          <w:p w14:paraId="51ED323D" w14:textId="77777777" w:rsidR="00E8617E" w:rsidRPr="00BC513A" w:rsidRDefault="00E8617E" w:rsidP="00922731">
            <w:pPr>
              <w:spacing w:after="0" w:line="240" w:lineRule="auto"/>
              <w:jc w:val="right"/>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1427538,9</w:t>
            </w:r>
          </w:p>
        </w:tc>
        <w:tc>
          <w:tcPr>
            <w:tcW w:w="1560" w:type="dxa"/>
            <w:tcBorders>
              <w:top w:val="nil"/>
              <w:left w:val="nil"/>
              <w:bottom w:val="single" w:sz="4" w:space="0" w:color="auto"/>
              <w:right w:val="single" w:sz="4" w:space="0" w:color="auto"/>
            </w:tcBorders>
            <w:shd w:val="clear" w:color="auto" w:fill="DEEAF6" w:themeFill="accent1" w:themeFillTint="33"/>
            <w:vAlign w:val="center"/>
            <w:hideMark/>
          </w:tcPr>
          <w:p w14:paraId="13AD3903" w14:textId="77777777" w:rsidR="00E8617E" w:rsidRPr="00BC513A" w:rsidRDefault="00E8617E" w:rsidP="00922731">
            <w:pPr>
              <w:spacing w:after="0" w:line="240" w:lineRule="auto"/>
              <w:jc w:val="right"/>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87495870,8</w:t>
            </w:r>
          </w:p>
        </w:tc>
        <w:tc>
          <w:tcPr>
            <w:tcW w:w="1134" w:type="dxa"/>
            <w:tcBorders>
              <w:top w:val="nil"/>
              <w:left w:val="nil"/>
              <w:bottom w:val="single" w:sz="4" w:space="0" w:color="auto"/>
              <w:right w:val="single" w:sz="4" w:space="0" w:color="auto"/>
            </w:tcBorders>
            <w:shd w:val="clear" w:color="auto" w:fill="DEEAF6" w:themeFill="accent1" w:themeFillTint="33"/>
            <w:vAlign w:val="center"/>
            <w:hideMark/>
          </w:tcPr>
          <w:p w14:paraId="7770DC50" w14:textId="77777777" w:rsidR="00E8617E" w:rsidRPr="00BC513A" w:rsidRDefault="00E8617E" w:rsidP="00922731">
            <w:pPr>
              <w:spacing w:after="0" w:line="240" w:lineRule="auto"/>
              <w:jc w:val="right"/>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1588</w:t>
            </w:r>
          </w:p>
        </w:tc>
        <w:tc>
          <w:tcPr>
            <w:tcW w:w="1134" w:type="dxa"/>
            <w:tcBorders>
              <w:top w:val="nil"/>
              <w:left w:val="nil"/>
              <w:bottom w:val="single" w:sz="4" w:space="0" w:color="auto"/>
              <w:right w:val="single" w:sz="4" w:space="0" w:color="auto"/>
            </w:tcBorders>
            <w:shd w:val="clear" w:color="auto" w:fill="DEEAF6" w:themeFill="accent1" w:themeFillTint="33"/>
            <w:vAlign w:val="center"/>
            <w:hideMark/>
          </w:tcPr>
          <w:p w14:paraId="3FC0DA0E" w14:textId="77777777" w:rsidR="00E8617E" w:rsidRPr="00BC513A" w:rsidRDefault="00E8617E" w:rsidP="00922731">
            <w:pPr>
              <w:spacing w:after="0" w:line="240" w:lineRule="auto"/>
              <w:jc w:val="right"/>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1221</w:t>
            </w:r>
          </w:p>
        </w:tc>
        <w:tc>
          <w:tcPr>
            <w:tcW w:w="1559" w:type="dxa"/>
            <w:tcBorders>
              <w:top w:val="nil"/>
              <w:left w:val="nil"/>
              <w:bottom w:val="single" w:sz="4" w:space="0" w:color="auto"/>
              <w:right w:val="single" w:sz="4" w:space="0" w:color="auto"/>
            </w:tcBorders>
            <w:shd w:val="clear" w:color="auto" w:fill="DEEAF6" w:themeFill="accent1" w:themeFillTint="33"/>
            <w:vAlign w:val="center"/>
            <w:hideMark/>
          </w:tcPr>
          <w:p w14:paraId="647A21A0" w14:textId="77777777" w:rsidR="00E8617E" w:rsidRPr="00BC513A" w:rsidRDefault="00E8617E" w:rsidP="00922731">
            <w:pPr>
              <w:spacing w:after="0" w:line="240" w:lineRule="auto"/>
              <w:jc w:val="right"/>
              <w:rPr>
                <w:rFonts w:ascii="Arial" w:eastAsia="Times New Roman" w:hAnsi="Arial" w:cs="Arial"/>
                <w:b/>
                <w:bCs/>
                <w:sz w:val="18"/>
                <w:szCs w:val="18"/>
                <w:lang w:eastAsia="bg-BG"/>
              </w:rPr>
            </w:pPr>
            <w:r w:rsidRPr="00BC513A">
              <w:rPr>
                <w:rFonts w:ascii="Arial" w:eastAsia="Times New Roman" w:hAnsi="Arial" w:cs="Arial"/>
                <w:b/>
                <w:bCs/>
                <w:sz w:val="18"/>
                <w:szCs w:val="18"/>
                <w:lang w:eastAsia="bg-BG"/>
              </w:rPr>
              <w:t xml:space="preserve">76 741 501,69 </w:t>
            </w:r>
          </w:p>
        </w:tc>
      </w:tr>
    </w:tbl>
    <w:p w14:paraId="20B750C5" w14:textId="77777777" w:rsidR="00E8617E" w:rsidRPr="00BC513A" w:rsidRDefault="00E8617E" w:rsidP="00E8617E">
      <w:pPr>
        <w:spacing w:before="120" w:after="120" w:line="300" w:lineRule="atLeast"/>
        <w:rPr>
          <w:rFonts w:ascii="Arial" w:eastAsia="Times New Roman" w:hAnsi="Arial" w:cs="Arial"/>
          <w:sz w:val="20"/>
          <w:szCs w:val="20"/>
          <w:lang w:eastAsia="nl-NL"/>
        </w:rPr>
      </w:pPr>
      <w:r w:rsidRPr="00BC513A">
        <w:rPr>
          <w:rFonts w:ascii="Arial" w:eastAsia="Times New Roman" w:hAnsi="Arial" w:cs="Arial"/>
          <w:sz w:val="20"/>
          <w:szCs w:val="20"/>
          <w:lang w:eastAsia="nl-NL"/>
        </w:rPr>
        <w:t xml:space="preserve">Източник: По данни от МЗХГ   </w:t>
      </w:r>
    </w:p>
    <w:p w14:paraId="33A2534F" w14:textId="77777777" w:rsidR="00E8617E" w:rsidRPr="00BC513A" w:rsidRDefault="00E8617E" w:rsidP="00E8617E">
      <w:pPr>
        <w:pStyle w:val="DefaultText"/>
        <w:rPr>
          <w:lang w:val="bg-BG"/>
        </w:rPr>
        <w:sectPr w:rsidR="00E8617E" w:rsidRPr="00BC513A" w:rsidSect="00922731">
          <w:pgSz w:w="16838" w:h="11906" w:orient="landscape" w:code="9"/>
          <w:pgMar w:top="1418" w:right="1417" w:bottom="1417" w:left="1417" w:header="708" w:footer="708" w:gutter="0"/>
          <w:cols w:space="708"/>
          <w:docGrid w:linePitch="360"/>
        </w:sectPr>
      </w:pPr>
    </w:p>
    <w:p w14:paraId="7562CAF3" w14:textId="77777777" w:rsidR="00E8617E" w:rsidRPr="00BC513A" w:rsidRDefault="00E8617E" w:rsidP="00E8617E">
      <w:pPr>
        <w:pStyle w:val="DefaultText"/>
        <w:rPr>
          <w:rFonts w:eastAsiaTheme="minorHAnsi" w:cs="Arial"/>
          <w:i/>
          <w:iCs/>
          <w:color w:val="0070C0"/>
          <w:sz w:val="22"/>
          <w:szCs w:val="22"/>
          <w:lang w:val="bg-BG" w:eastAsia="en-US"/>
        </w:rPr>
      </w:pPr>
      <w:r w:rsidRPr="00BC513A">
        <w:rPr>
          <w:rFonts w:eastAsiaTheme="minorHAnsi" w:cs="Arial"/>
          <w:i/>
          <w:iCs/>
          <w:color w:val="0070C0"/>
          <w:sz w:val="22"/>
          <w:szCs w:val="22"/>
          <w:lang w:val="bg-BG" w:eastAsia="en-US"/>
        </w:rPr>
        <w:t>Анализ на заинтересовани страни и бенефициенти по Стратегиите за местно развитие на МИГ</w:t>
      </w:r>
    </w:p>
    <w:p w14:paraId="6A10B087" w14:textId="77777777" w:rsidR="00E8617E" w:rsidRPr="00BC513A" w:rsidRDefault="00E8617E" w:rsidP="00E8617E">
      <w:pPr>
        <w:pStyle w:val="DefaultText"/>
        <w:rPr>
          <w:lang w:val="bg-BG"/>
        </w:rPr>
      </w:pPr>
    </w:p>
    <w:p w14:paraId="1D512CBF" w14:textId="77777777" w:rsidR="00E8617E" w:rsidRPr="00BC513A" w:rsidRDefault="00E8617E" w:rsidP="00E8617E">
      <w:pPr>
        <w:pStyle w:val="NormalWeb"/>
        <w:shd w:val="clear" w:color="auto" w:fill="FFFFFF"/>
        <w:spacing w:before="0" w:beforeAutospacing="0" w:after="0" w:afterAutospacing="0"/>
        <w:jc w:val="both"/>
        <w:rPr>
          <w:rFonts w:ascii="Arial" w:hAnsi="Arial" w:cs="Arial"/>
          <w:b/>
          <w:color w:val="252525"/>
          <w:sz w:val="20"/>
          <w:szCs w:val="20"/>
        </w:rPr>
      </w:pPr>
      <w:bookmarkStart w:id="217" w:name="_Toc504136261"/>
      <w:r w:rsidRPr="00BC513A">
        <w:rPr>
          <w:rFonts w:ascii="Arial" w:hAnsi="Arial" w:cs="Arial"/>
          <w:b/>
          <w:iCs/>
          <w:color w:val="0070C0"/>
          <w:sz w:val="20"/>
          <w:szCs w:val="20"/>
        </w:rPr>
        <w:t xml:space="preserve">Таблица </w:t>
      </w:r>
      <w:r w:rsidRPr="00BC513A">
        <w:rPr>
          <w:rFonts w:ascii="Arial" w:hAnsi="Arial" w:cs="Arial"/>
          <w:b/>
          <w:iCs/>
          <w:color w:val="0070C0"/>
          <w:sz w:val="20"/>
          <w:szCs w:val="20"/>
        </w:rPr>
        <w:fldChar w:fldCharType="begin"/>
      </w:r>
      <w:r w:rsidRPr="00BC513A">
        <w:rPr>
          <w:rFonts w:ascii="Arial" w:hAnsi="Arial" w:cs="Arial"/>
          <w:b/>
          <w:iCs/>
          <w:color w:val="0070C0"/>
          <w:sz w:val="20"/>
          <w:szCs w:val="20"/>
        </w:rPr>
        <w:instrText xml:space="preserve"> SEQ Таблица \* ARABIC </w:instrText>
      </w:r>
      <w:r w:rsidRPr="00BC513A">
        <w:rPr>
          <w:rFonts w:ascii="Arial" w:hAnsi="Arial" w:cs="Arial"/>
          <w:b/>
          <w:iCs/>
          <w:color w:val="0070C0"/>
          <w:sz w:val="20"/>
          <w:szCs w:val="20"/>
        </w:rPr>
        <w:fldChar w:fldCharType="separate"/>
      </w:r>
      <w:r w:rsidR="0023010D">
        <w:rPr>
          <w:rFonts w:ascii="Arial" w:hAnsi="Arial" w:cs="Arial"/>
          <w:b/>
          <w:iCs/>
          <w:noProof/>
          <w:color w:val="0070C0"/>
          <w:sz w:val="20"/>
          <w:szCs w:val="20"/>
        </w:rPr>
        <w:t>90</w:t>
      </w:r>
      <w:r w:rsidRPr="00BC513A">
        <w:rPr>
          <w:rFonts w:ascii="Arial" w:hAnsi="Arial" w:cs="Arial"/>
          <w:b/>
          <w:iCs/>
          <w:color w:val="0070C0"/>
          <w:sz w:val="20"/>
          <w:szCs w:val="20"/>
        </w:rPr>
        <w:fldChar w:fldCharType="end"/>
      </w:r>
      <w:r w:rsidRPr="00BC513A">
        <w:rPr>
          <w:rFonts w:ascii="Arial" w:hAnsi="Arial" w:cs="Arial"/>
          <w:b/>
          <w:iCs/>
          <w:color w:val="0070C0"/>
          <w:sz w:val="20"/>
          <w:szCs w:val="20"/>
        </w:rPr>
        <w:t>. Заинтересовани страни по мерки от ос 4</w:t>
      </w:r>
      <w:bookmarkEnd w:id="217"/>
    </w:p>
    <w:tbl>
      <w:tblPr>
        <w:tblStyle w:val="TableGrid"/>
        <w:tblW w:w="9081" w:type="dxa"/>
        <w:tblInd w:w="-5" w:type="dxa"/>
        <w:tblLayout w:type="fixed"/>
        <w:tblLook w:val="04A0" w:firstRow="1" w:lastRow="0" w:firstColumn="1" w:lastColumn="0" w:noHBand="0" w:noVBand="1"/>
      </w:tblPr>
      <w:tblGrid>
        <w:gridCol w:w="567"/>
        <w:gridCol w:w="567"/>
        <w:gridCol w:w="851"/>
        <w:gridCol w:w="5528"/>
        <w:gridCol w:w="1568"/>
      </w:tblGrid>
      <w:tr w:rsidR="00E8617E" w:rsidRPr="00BC513A" w14:paraId="453D747D" w14:textId="77777777" w:rsidTr="003A0F89">
        <w:trPr>
          <w:tblHeader/>
        </w:trPr>
        <w:tc>
          <w:tcPr>
            <w:tcW w:w="567" w:type="dxa"/>
            <w:shd w:val="clear" w:color="auto" w:fill="1F4E79" w:themeFill="accent1" w:themeFillShade="80"/>
          </w:tcPr>
          <w:p w14:paraId="4E2E5EF9" w14:textId="77777777" w:rsidR="00E8617E" w:rsidRPr="00BC513A" w:rsidRDefault="00E8617E" w:rsidP="00922731">
            <w:pPr>
              <w:tabs>
                <w:tab w:val="left" w:pos="993"/>
              </w:tabs>
              <w:autoSpaceDE w:val="0"/>
              <w:autoSpaceDN w:val="0"/>
              <w:contextualSpacing/>
              <w:jc w:val="both"/>
              <w:rPr>
                <w:rFonts w:ascii="Arial" w:hAnsi="Arial" w:cs="Arial"/>
                <w:b/>
                <w:color w:val="FFFFFF" w:themeColor="background1"/>
                <w:sz w:val="20"/>
                <w:szCs w:val="20"/>
              </w:rPr>
            </w:pPr>
            <w:r w:rsidRPr="00BC513A">
              <w:rPr>
                <w:rFonts w:ascii="Arial" w:hAnsi="Arial" w:cs="Arial"/>
                <w:b/>
                <w:color w:val="FFFFFF" w:themeColor="background1"/>
                <w:sz w:val="20"/>
                <w:szCs w:val="20"/>
              </w:rPr>
              <w:t>№</w:t>
            </w:r>
          </w:p>
        </w:tc>
        <w:tc>
          <w:tcPr>
            <w:tcW w:w="567" w:type="dxa"/>
            <w:shd w:val="clear" w:color="auto" w:fill="1F4E79" w:themeFill="accent1" w:themeFillShade="80"/>
          </w:tcPr>
          <w:p w14:paraId="63FE4A26" w14:textId="77777777" w:rsidR="00E8617E" w:rsidRPr="00BC513A" w:rsidRDefault="00E8617E" w:rsidP="00922731">
            <w:pPr>
              <w:tabs>
                <w:tab w:val="left" w:pos="993"/>
              </w:tabs>
              <w:autoSpaceDE w:val="0"/>
              <w:autoSpaceDN w:val="0"/>
              <w:contextualSpacing/>
              <w:jc w:val="both"/>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Ос </w:t>
            </w:r>
          </w:p>
        </w:tc>
        <w:tc>
          <w:tcPr>
            <w:tcW w:w="851" w:type="dxa"/>
            <w:shd w:val="clear" w:color="auto" w:fill="1F4E79" w:themeFill="accent1" w:themeFillShade="80"/>
          </w:tcPr>
          <w:p w14:paraId="2D6F8FE3" w14:textId="77777777" w:rsidR="00E8617E" w:rsidRPr="00BC513A" w:rsidRDefault="00E8617E" w:rsidP="00922731">
            <w:pPr>
              <w:tabs>
                <w:tab w:val="left" w:pos="993"/>
              </w:tabs>
              <w:autoSpaceDE w:val="0"/>
              <w:autoSpaceDN w:val="0"/>
              <w:contextualSpacing/>
              <w:jc w:val="both"/>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Мярка </w:t>
            </w:r>
          </w:p>
        </w:tc>
        <w:tc>
          <w:tcPr>
            <w:tcW w:w="5528" w:type="dxa"/>
            <w:shd w:val="clear" w:color="auto" w:fill="1F4E79" w:themeFill="accent1" w:themeFillShade="80"/>
          </w:tcPr>
          <w:p w14:paraId="2BEFC983" w14:textId="77777777" w:rsidR="00E8617E" w:rsidRPr="00BC513A" w:rsidRDefault="00E8617E" w:rsidP="00922731">
            <w:pPr>
              <w:tabs>
                <w:tab w:val="left" w:pos="993"/>
              </w:tabs>
              <w:autoSpaceDE w:val="0"/>
              <w:autoSpaceDN w:val="0"/>
              <w:contextualSpacing/>
              <w:jc w:val="both"/>
              <w:rPr>
                <w:rFonts w:ascii="Arial" w:hAnsi="Arial" w:cs="Arial"/>
                <w:b/>
                <w:color w:val="FFFFFF" w:themeColor="background1"/>
                <w:sz w:val="20"/>
                <w:szCs w:val="20"/>
              </w:rPr>
            </w:pPr>
            <w:r w:rsidRPr="00BC513A">
              <w:rPr>
                <w:rFonts w:ascii="Arial" w:hAnsi="Arial" w:cs="Arial"/>
                <w:b/>
                <w:color w:val="FFFFFF" w:themeColor="background1"/>
                <w:sz w:val="20"/>
                <w:szCs w:val="20"/>
              </w:rPr>
              <w:t>Заинтересовани страни/допустими кандидати</w:t>
            </w:r>
          </w:p>
        </w:tc>
        <w:tc>
          <w:tcPr>
            <w:tcW w:w="1568" w:type="dxa"/>
            <w:shd w:val="clear" w:color="auto" w:fill="1F4E79" w:themeFill="accent1" w:themeFillShade="80"/>
          </w:tcPr>
          <w:p w14:paraId="29127C76" w14:textId="77777777" w:rsidR="00E8617E" w:rsidRPr="00BC513A" w:rsidRDefault="00E8617E" w:rsidP="00922731">
            <w:pPr>
              <w:tabs>
                <w:tab w:val="left" w:pos="993"/>
              </w:tabs>
              <w:autoSpaceDE w:val="0"/>
              <w:autoSpaceDN w:val="0"/>
              <w:contextualSpacing/>
              <w:jc w:val="both"/>
              <w:rPr>
                <w:rFonts w:ascii="Arial" w:hAnsi="Arial" w:cs="Arial"/>
                <w:b/>
                <w:color w:val="FFFFFF" w:themeColor="background1"/>
                <w:sz w:val="20"/>
                <w:szCs w:val="20"/>
              </w:rPr>
            </w:pPr>
            <w:r w:rsidRPr="00BC513A">
              <w:rPr>
                <w:rFonts w:ascii="Arial" w:hAnsi="Arial" w:cs="Arial"/>
                <w:b/>
                <w:color w:val="FFFFFF" w:themeColor="background1"/>
                <w:sz w:val="20"/>
                <w:szCs w:val="20"/>
              </w:rPr>
              <w:t xml:space="preserve">Сектор </w:t>
            </w:r>
          </w:p>
        </w:tc>
      </w:tr>
      <w:tr w:rsidR="00E8617E" w:rsidRPr="00BC513A" w14:paraId="39F7A97E" w14:textId="77777777" w:rsidTr="00922731">
        <w:tc>
          <w:tcPr>
            <w:tcW w:w="567" w:type="dxa"/>
          </w:tcPr>
          <w:p w14:paraId="61AAAD09"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w:t>
            </w:r>
          </w:p>
        </w:tc>
        <w:tc>
          <w:tcPr>
            <w:tcW w:w="567" w:type="dxa"/>
            <w:vMerge w:val="restart"/>
          </w:tcPr>
          <w:p w14:paraId="6BBD1300"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 xml:space="preserve">Ос 1 </w:t>
            </w:r>
          </w:p>
          <w:p w14:paraId="4F8ED3F2"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3565C8F3"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 xml:space="preserve">Мярка 111 </w:t>
            </w:r>
          </w:p>
        </w:tc>
        <w:tc>
          <w:tcPr>
            <w:tcW w:w="5528" w:type="dxa"/>
          </w:tcPr>
          <w:p w14:paraId="1CDAEA8C"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1. Институции в системата на</w:t>
            </w:r>
          </w:p>
          <w:p w14:paraId="1564AF4A"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професионалното образование и обучение по чл. 18, т. 1, 2, 4 и 5 от Закона за професионалното образование и обучение</w:t>
            </w:r>
          </w:p>
          <w:p w14:paraId="52A566B9"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2. Висши училища</w:t>
            </w:r>
          </w:p>
          <w:p w14:paraId="2E62B3EE"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3. Лица, регистрирани по Закона за</w:t>
            </w:r>
          </w:p>
          <w:p w14:paraId="1B9D7A72"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юридическите лица с нестопанска цел</w:t>
            </w:r>
          </w:p>
          <w:p w14:paraId="036F17BF"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4. Научни институти</w:t>
            </w:r>
          </w:p>
          <w:p w14:paraId="57EEB3EE"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 xml:space="preserve">5. Читалища </w:t>
            </w:r>
          </w:p>
          <w:p w14:paraId="7B799E7A"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6. Юридически лица с нестопанска цел, регистрирани по Закона за юридическите лица с нестопанска цел</w:t>
            </w:r>
          </w:p>
        </w:tc>
        <w:tc>
          <w:tcPr>
            <w:tcW w:w="1568" w:type="dxa"/>
          </w:tcPr>
          <w:p w14:paraId="03C1B98B"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Публичен и нестопански</w:t>
            </w:r>
          </w:p>
        </w:tc>
      </w:tr>
      <w:tr w:rsidR="00E8617E" w:rsidRPr="00BC513A" w14:paraId="36C8BC32" w14:textId="77777777" w:rsidTr="00922731">
        <w:tc>
          <w:tcPr>
            <w:tcW w:w="567" w:type="dxa"/>
          </w:tcPr>
          <w:p w14:paraId="6D2E0FC0"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2</w:t>
            </w:r>
          </w:p>
        </w:tc>
        <w:tc>
          <w:tcPr>
            <w:tcW w:w="567" w:type="dxa"/>
            <w:vMerge/>
          </w:tcPr>
          <w:p w14:paraId="1B1F35CF"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175FFFD2"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 xml:space="preserve">Мярка 121 </w:t>
            </w:r>
          </w:p>
        </w:tc>
        <w:tc>
          <w:tcPr>
            <w:tcW w:w="5528" w:type="dxa"/>
          </w:tcPr>
          <w:p w14:paraId="58E5E8EA" w14:textId="77777777" w:rsidR="00E8617E" w:rsidRPr="00BC513A" w:rsidRDefault="00E8617E" w:rsidP="00922731">
            <w:pPr>
              <w:shd w:val="clear" w:color="auto" w:fill="FFFFFF"/>
              <w:tabs>
                <w:tab w:val="left" w:pos="355"/>
              </w:tabs>
              <w:jc w:val="both"/>
              <w:rPr>
                <w:rFonts w:ascii="Arial" w:hAnsi="Arial" w:cs="Arial"/>
                <w:color w:val="1A171B"/>
                <w:sz w:val="20"/>
                <w:szCs w:val="20"/>
              </w:rPr>
            </w:pPr>
            <w:r w:rsidRPr="00BC513A">
              <w:rPr>
                <w:rFonts w:ascii="Arial" w:hAnsi="Arial" w:cs="Arial"/>
                <w:color w:val="1A171B"/>
                <w:sz w:val="20"/>
                <w:szCs w:val="20"/>
              </w:rPr>
              <w:t>1. Земеделски производители</w:t>
            </w:r>
          </w:p>
          <w:p w14:paraId="072539BE" w14:textId="77777777" w:rsidR="00E8617E" w:rsidRPr="00BC513A" w:rsidRDefault="00E8617E" w:rsidP="00922731">
            <w:pPr>
              <w:shd w:val="clear" w:color="auto" w:fill="FFFFFF"/>
              <w:tabs>
                <w:tab w:val="left" w:pos="355"/>
              </w:tabs>
              <w:jc w:val="both"/>
              <w:rPr>
                <w:rFonts w:ascii="Arial" w:hAnsi="Arial" w:cs="Arial"/>
                <w:sz w:val="20"/>
                <w:szCs w:val="20"/>
              </w:rPr>
            </w:pPr>
            <w:r w:rsidRPr="00BC513A">
              <w:rPr>
                <w:rFonts w:ascii="Arial" w:hAnsi="Arial" w:cs="Arial"/>
                <w:color w:val="1A171B"/>
                <w:sz w:val="20"/>
                <w:szCs w:val="20"/>
              </w:rPr>
              <w:t>2. Признати организации на земеделски производители</w:t>
            </w:r>
          </w:p>
        </w:tc>
        <w:tc>
          <w:tcPr>
            <w:tcW w:w="1568" w:type="dxa"/>
          </w:tcPr>
          <w:p w14:paraId="3A24F49B"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 xml:space="preserve">Стопански </w:t>
            </w:r>
          </w:p>
        </w:tc>
      </w:tr>
      <w:tr w:rsidR="00E8617E" w:rsidRPr="00BC513A" w14:paraId="3C6886AB" w14:textId="77777777" w:rsidTr="00922731">
        <w:tc>
          <w:tcPr>
            <w:tcW w:w="567" w:type="dxa"/>
          </w:tcPr>
          <w:p w14:paraId="4DE8947E"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3</w:t>
            </w:r>
          </w:p>
        </w:tc>
        <w:tc>
          <w:tcPr>
            <w:tcW w:w="567" w:type="dxa"/>
            <w:vMerge/>
          </w:tcPr>
          <w:p w14:paraId="6E9586CE"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79616F4A"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Мярка 123</w:t>
            </w:r>
          </w:p>
        </w:tc>
        <w:tc>
          <w:tcPr>
            <w:tcW w:w="5528" w:type="dxa"/>
          </w:tcPr>
          <w:p w14:paraId="29F75DCC" w14:textId="77777777" w:rsidR="00E8617E" w:rsidRPr="00BC513A" w:rsidRDefault="00E8617E" w:rsidP="00922731">
            <w:pPr>
              <w:jc w:val="both"/>
              <w:rPr>
                <w:rFonts w:ascii="Arial" w:hAnsi="Arial" w:cs="Arial"/>
                <w:bCs/>
                <w:sz w:val="20"/>
                <w:szCs w:val="20"/>
              </w:rPr>
            </w:pPr>
            <w:r w:rsidRPr="00BC513A">
              <w:rPr>
                <w:rFonts w:ascii="Arial" w:hAnsi="Arial" w:cs="Arial"/>
                <w:bCs/>
                <w:sz w:val="20"/>
                <w:szCs w:val="20"/>
              </w:rPr>
              <w:t>1. Микро, малки и средни предприятия</w:t>
            </w:r>
          </w:p>
          <w:p w14:paraId="11D634F4"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bCs/>
                <w:sz w:val="20"/>
                <w:szCs w:val="20"/>
              </w:rPr>
              <w:t>2. междинни предприятия</w:t>
            </w:r>
          </w:p>
        </w:tc>
        <w:tc>
          <w:tcPr>
            <w:tcW w:w="1568" w:type="dxa"/>
          </w:tcPr>
          <w:p w14:paraId="61BA1FF3"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Стопански</w:t>
            </w:r>
          </w:p>
        </w:tc>
      </w:tr>
      <w:tr w:rsidR="00E8617E" w:rsidRPr="00BC513A" w14:paraId="2709AB82" w14:textId="77777777" w:rsidTr="00922731">
        <w:tc>
          <w:tcPr>
            <w:tcW w:w="567" w:type="dxa"/>
          </w:tcPr>
          <w:p w14:paraId="11031C59"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4</w:t>
            </w:r>
          </w:p>
        </w:tc>
        <w:tc>
          <w:tcPr>
            <w:tcW w:w="567" w:type="dxa"/>
            <w:vMerge w:val="restart"/>
          </w:tcPr>
          <w:p w14:paraId="3F634E16" w14:textId="77777777" w:rsidR="00E8617E" w:rsidRPr="00BC513A" w:rsidRDefault="00E8617E" w:rsidP="00922731">
            <w:pPr>
              <w:pStyle w:val="ListParagraph"/>
              <w:ind w:left="0" w:firstLine="34"/>
              <w:jc w:val="both"/>
              <w:rPr>
                <w:rFonts w:ascii="Arial" w:hAnsi="Arial" w:cs="Arial"/>
                <w:sz w:val="20"/>
                <w:szCs w:val="20"/>
              </w:rPr>
            </w:pPr>
            <w:r w:rsidRPr="00BC513A">
              <w:rPr>
                <w:rFonts w:ascii="Arial" w:hAnsi="Arial" w:cs="Arial"/>
                <w:sz w:val="20"/>
                <w:szCs w:val="20"/>
              </w:rPr>
              <w:t xml:space="preserve">Ос 2 </w:t>
            </w:r>
          </w:p>
        </w:tc>
        <w:tc>
          <w:tcPr>
            <w:tcW w:w="851" w:type="dxa"/>
          </w:tcPr>
          <w:p w14:paraId="5FB76DF8" w14:textId="77777777" w:rsidR="00E8617E" w:rsidRPr="00BC513A" w:rsidRDefault="00E8617E" w:rsidP="00922731">
            <w:pPr>
              <w:pStyle w:val="ListParagraph"/>
              <w:ind w:left="0"/>
              <w:jc w:val="both"/>
              <w:rPr>
                <w:rFonts w:ascii="Arial" w:hAnsi="Arial" w:cs="Arial"/>
                <w:sz w:val="20"/>
                <w:szCs w:val="20"/>
              </w:rPr>
            </w:pPr>
            <w:r w:rsidRPr="00BC513A">
              <w:rPr>
                <w:rFonts w:ascii="Arial" w:hAnsi="Arial" w:cs="Arial"/>
                <w:sz w:val="20"/>
                <w:szCs w:val="20"/>
              </w:rPr>
              <w:t xml:space="preserve">Мярка 223 </w:t>
            </w:r>
          </w:p>
        </w:tc>
        <w:tc>
          <w:tcPr>
            <w:tcW w:w="5528" w:type="dxa"/>
          </w:tcPr>
          <w:p w14:paraId="1B02A3FB" w14:textId="77777777" w:rsidR="00E8617E" w:rsidRPr="00BC513A" w:rsidRDefault="00E8617E" w:rsidP="00922731">
            <w:pPr>
              <w:widowControl w:val="0"/>
              <w:autoSpaceDE w:val="0"/>
              <w:autoSpaceDN w:val="0"/>
              <w:adjustRightInd w:val="0"/>
              <w:jc w:val="both"/>
              <w:rPr>
                <w:rFonts w:ascii="Arial" w:hAnsi="Arial" w:cs="Arial"/>
                <w:sz w:val="20"/>
                <w:szCs w:val="20"/>
              </w:rPr>
            </w:pPr>
            <w:r w:rsidRPr="00BC513A">
              <w:rPr>
                <w:rFonts w:ascii="Arial" w:hAnsi="Arial" w:cs="Arial"/>
                <w:sz w:val="20"/>
                <w:szCs w:val="20"/>
              </w:rPr>
              <w:t>1. Физически лица, еднолични търговци и юридически лица</w:t>
            </w:r>
          </w:p>
          <w:p w14:paraId="4F598257" w14:textId="77777777" w:rsidR="00E8617E" w:rsidRPr="00BC513A" w:rsidRDefault="00E8617E" w:rsidP="00922731">
            <w:pPr>
              <w:widowControl w:val="0"/>
              <w:autoSpaceDE w:val="0"/>
              <w:autoSpaceDN w:val="0"/>
              <w:adjustRightInd w:val="0"/>
              <w:jc w:val="both"/>
              <w:rPr>
                <w:rFonts w:ascii="Arial" w:hAnsi="Arial" w:cs="Arial"/>
                <w:sz w:val="20"/>
                <w:szCs w:val="20"/>
              </w:rPr>
            </w:pPr>
            <w:r w:rsidRPr="00BC513A">
              <w:rPr>
                <w:rFonts w:ascii="Arial" w:hAnsi="Arial" w:cs="Arial"/>
                <w:sz w:val="20"/>
                <w:szCs w:val="20"/>
              </w:rPr>
              <w:t>2. Общини</w:t>
            </w:r>
          </w:p>
          <w:p w14:paraId="37EA1940" w14:textId="77777777" w:rsidR="00E8617E" w:rsidRPr="00BC513A" w:rsidRDefault="00E8617E" w:rsidP="00922731">
            <w:pPr>
              <w:widowControl w:val="0"/>
              <w:autoSpaceDE w:val="0"/>
              <w:autoSpaceDN w:val="0"/>
              <w:adjustRightInd w:val="0"/>
              <w:jc w:val="both"/>
              <w:rPr>
                <w:rFonts w:ascii="Arial" w:hAnsi="Arial" w:cs="Arial"/>
                <w:sz w:val="20"/>
                <w:szCs w:val="20"/>
              </w:rPr>
            </w:pPr>
            <w:r w:rsidRPr="00BC513A">
              <w:rPr>
                <w:rFonts w:ascii="Arial" w:hAnsi="Arial" w:cs="Arial"/>
                <w:sz w:val="20"/>
                <w:szCs w:val="20"/>
              </w:rPr>
              <w:t>3. Държавни горски стопанства (ДГС), държавни ловни стопанства (ДЛС), дирекции на национални паркове (ДНП) и научноизследователски горски стопанства.</w:t>
            </w:r>
          </w:p>
        </w:tc>
        <w:tc>
          <w:tcPr>
            <w:tcW w:w="1568" w:type="dxa"/>
          </w:tcPr>
          <w:p w14:paraId="2AD77754"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Стопански и публичен</w:t>
            </w:r>
          </w:p>
        </w:tc>
      </w:tr>
      <w:tr w:rsidR="00E8617E" w:rsidRPr="00BC513A" w14:paraId="6C111C40" w14:textId="77777777" w:rsidTr="00922731">
        <w:tc>
          <w:tcPr>
            <w:tcW w:w="567" w:type="dxa"/>
          </w:tcPr>
          <w:p w14:paraId="39055379"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5</w:t>
            </w:r>
          </w:p>
        </w:tc>
        <w:tc>
          <w:tcPr>
            <w:tcW w:w="567" w:type="dxa"/>
            <w:vMerge/>
          </w:tcPr>
          <w:p w14:paraId="1C601A1B"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2DD64CC9" w14:textId="77777777" w:rsidR="00E8617E" w:rsidRPr="00BC513A" w:rsidRDefault="00E8617E" w:rsidP="00922731">
            <w:pPr>
              <w:pStyle w:val="ListParagraph"/>
              <w:ind w:left="0"/>
              <w:jc w:val="both"/>
              <w:rPr>
                <w:rFonts w:ascii="Arial" w:hAnsi="Arial" w:cs="Arial"/>
                <w:sz w:val="20"/>
                <w:szCs w:val="20"/>
              </w:rPr>
            </w:pPr>
            <w:r w:rsidRPr="00BC513A">
              <w:rPr>
                <w:rFonts w:ascii="Arial" w:hAnsi="Arial" w:cs="Arial"/>
                <w:sz w:val="20"/>
                <w:szCs w:val="20"/>
              </w:rPr>
              <w:t xml:space="preserve">Мярка 226 </w:t>
            </w:r>
          </w:p>
        </w:tc>
        <w:tc>
          <w:tcPr>
            <w:tcW w:w="5528" w:type="dxa"/>
          </w:tcPr>
          <w:p w14:paraId="114C7FBB" w14:textId="77777777" w:rsidR="00E8617E" w:rsidRPr="00BC513A" w:rsidRDefault="00E8617E" w:rsidP="00922731">
            <w:pPr>
              <w:widowControl w:val="0"/>
              <w:autoSpaceDE w:val="0"/>
              <w:autoSpaceDN w:val="0"/>
              <w:adjustRightInd w:val="0"/>
              <w:jc w:val="both"/>
              <w:rPr>
                <w:rFonts w:ascii="Arial" w:hAnsi="Arial" w:cs="Arial"/>
                <w:sz w:val="20"/>
                <w:szCs w:val="20"/>
              </w:rPr>
            </w:pPr>
            <w:r w:rsidRPr="00BC513A">
              <w:rPr>
                <w:rFonts w:ascii="Arial" w:hAnsi="Arial" w:cs="Arial"/>
                <w:sz w:val="20"/>
                <w:szCs w:val="20"/>
              </w:rPr>
              <w:t>1. Физически лица, еднолични търговци и юридически лица</w:t>
            </w:r>
          </w:p>
          <w:p w14:paraId="3ECCF210" w14:textId="77777777" w:rsidR="00E8617E" w:rsidRPr="00BC513A" w:rsidRDefault="00E8617E" w:rsidP="00922731">
            <w:pPr>
              <w:widowControl w:val="0"/>
              <w:autoSpaceDE w:val="0"/>
              <w:autoSpaceDN w:val="0"/>
              <w:adjustRightInd w:val="0"/>
              <w:jc w:val="both"/>
              <w:rPr>
                <w:rFonts w:ascii="Arial" w:hAnsi="Arial" w:cs="Arial"/>
                <w:sz w:val="20"/>
                <w:szCs w:val="20"/>
              </w:rPr>
            </w:pPr>
            <w:r w:rsidRPr="00BC513A">
              <w:rPr>
                <w:rFonts w:ascii="Arial" w:hAnsi="Arial" w:cs="Arial"/>
                <w:sz w:val="20"/>
                <w:szCs w:val="20"/>
              </w:rPr>
              <w:t>2. Общини</w:t>
            </w:r>
          </w:p>
          <w:p w14:paraId="576F3471" w14:textId="77777777" w:rsidR="00E8617E" w:rsidRPr="00BC513A" w:rsidRDefault="00E8617E" w:rsidP="00922731">
            <w:pPr>
              <w:widowControl w:val="0"/>
              <w:autoSpaceDE w:val="0"/>
              <w:autoSpaceDN w:val="0"/>
              <w:adjustRightInd w:val="0"/>
              <w:jc w:val="both"/>
              <w:rPr>
                <w:rFonts w:ascii="Arial" w:hAnsi="Arial" w:cs="Arial"/>
                <w:sz w:val="20"/>
                <w:szCs w:val="20"/>
              </w:rPr>
            </w:pPr>
            <w:r w:rsidRPr="00BC513A">
              <w:rPr>
                <w:rFonts w:ascii="Arial" w:hAnsi="Arial" w:cs="Arial"/>
                <w:sz w:val="20"/>
                <w:szCs w:val="20"/>
              </w:rPr>
              <w:t>3. Държавни горски стопанства (ДГС), държавни ловни стопанства (ДЛС), дирекции на национални паркове (ДНП) и научноизследователски горски стопанства</w:t>
            </w:r>
          </w:p>
        </w:tc>
        <w:tc>
          <w:tcPr>
            <w:tcW w:w="1568" w:type="dxa"/>
          </w:tcPr>
          <w:p w14:paraId="603BAAB7"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Стопански и публичен</w:t>
            </w:r>
          </w:p>
        </w:tc>
      </w:tr>
      <w:tr w:rsidR="00E8617E" w:rsidRPr="00BC513A" w14:paraId="4230D7AE" w14:textId="77777777" w:rsidTr="00922731">
        <w:tc>
          <w:tcPr>
            <w:tcW w:w="567" w:type="dxa"/>
          </w:tcPr>
          <w:p w14:paraId="6775A10F"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6</w:t>
            </w:r>
          </w:p>
        </w:tc>
        <w:tc>
          <w:tcPr>
            <w:tcW w:w="567" w:type="dxa"/>
            <w:vMerge w:val="restart"/>
          </w:tcPr>
          <w:p w14:paraId="26B0A62D" w14:textId="77777777" w:rsidR="00E8617E" w:rsidRPr="00BC513A" w:rsidRDefault="00E8617E" w:rsidP="00922731">
            <w:pPr>
              <w:pStyle w:val="ListParagraph"/>
              <w:ind w:left="0"/>
              <w:jc w:val="both"/>
              <w:rPr>
                <w:rFonts w:ascii="Arial" w:hAnsi="Arial" w:cs="Arial"/>
                <w:sz w:val="20"/>
                <w:szCs w:val="20"/>
              </w:rPr>
            </w:pPr>
            <w:r w:rsidRPr="00BC513A">
              <w:rPr>
                <w:rFonts w:ascii="Arial" w:hAnsi="Arial" w:cs="Arial"/>
                <w:sz w:val="20"/>
                <w:szCs w:val="20"/>
              </w:rPr>
              <w:t xml:space="preserve">Ос 3 </w:t>
            </w:r>
          </w:p>
          <w:p w14:paraId="61E3CB23"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7AF4DFCB" w14:textId="77777777" w:rsidR="00E8617E" w:rsidRPr="00BC513A" w:rsidRDefault="00E8617E" w:rsidP="00922731">
            <w:pPr>
              <w:pStyle w:val="ListParagraph"/>
              <w:ind w:left="0"/>
              <w:jc w:val="both"/>
              <w:rPr>
                <w:rFonts w:ascii="Arial" w:hAnsi="Arial" w:cs="Arial"/>
                <w:sz w:val="20"/>
                <w:szCs w:val="20"/>
              </w:rPr>
            </w:pPr>
            <w:r w:rsidRPr="00BC513A">
              <w:rPr>
                <w:rFonts w:ascii="Arial" w:hAnsi="Arial" w:cs="Arial"/>
                <w:sz w:val="20"/>
                <w:szCs w:val="20"/>
              </w:rPr>
              <w:t xml:space="preserve">Мярка 311 </w:t>
            </w:r>
          </w:p>
        </w:tc>
        <w:tc>
          <w:tcPr>
            <w:tcW w:w="5528" w:type="dxa"/>
          </w:tcPr>
          <w:p w14:paraId="1F3A6609"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1. Микро, малко или средно предприятие по смисъла на чл. 3 от Закона за малки и средни предприятия – Еднолични търговци (ЕТ) и юридически лица, регистрирани по Търговския закон или Закона за кооперациите, регистрирани като земеделски производители;</w:t>
            </w:r>
          </w:p>
        </w:tc>
        <w:tc>
          <w:tcPr>
            <w:tcW w:w="1568" w:type="dxa"/>
          </w:tcPr>
          <w:p w14:paraId="1E692157"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Стопански</w:t>
            </w:r>
          </w:p>
        </w:tc>
      </w:tr>
      <w:tr w:rsidR="00E8617E" w:rsidRPr="00BC513A" w14:paraId="0BB3C14F" w14:textId="77777777" w:rsidTr="00922731">
        <w:tc>
          <w:tcPr>
            <w:tcW w:w="567" w:type="dxa"/>
          </w:tcPr>
          <w:p w14:paraId="66CEF637"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7</w:t>
            </w:r>
          </w:p>
        </w:tc>
        <w:tc>
          <w:tcPr>
            <w:tcW w:w="567" w:type="dxa"/>
            <w:vMerge/>
          </w:tcPr>
          <w:p w14:paraId="2CC88B2D"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2490061B" w14:textId="77777777" w:rsidR="00E8617E" w:rsidRPr="00BC513A" w:rsidRDefault="00E8617E" w:rsidP="00922731">
            <w:pPr>
              <w:pStyle w:val="ListParagraph"/>
              <w:ind w:left="0"/>
              <w:jc w:val="both"/>
              <w:rPr>
                <w:rFonts w:ascii="Arial" w:hAnsi="Arial" w:cs="Arial"/>
                <w:sz w:val="20"/>
                <w:szCs w:val="20"/>
              </w:rPr>
            </w:pPr>
            <w:r w:rsidRPr="00BC513A">
              <w:rPr>
                <w:rFonts w:ascii="Arial" w:hAnsi="Arial" w:cs="Arial"/>
                <w:sz w:val="20"/>
                <w:szCs w:val="20"/>
              </w:rPr>
              <w:t xml:space="preserve">Мярка 312 </w:t>
            </w:r>
          </w:p>
        </w:tc>
        <w:tc>
          <w:tcPr>
            <w:tcW w:w="5528" w:type="dxa"/>
          </w:tcPr>
          <w:p w14:paraId="4446FB98"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1. Микро, малко или средно предприятие по смисъла на чл. 3 от Закона за малки и средни предприятия – Еднолични търговци (ЕТ) и юридически лица, регистрирани по Търговския закон или Закона за кооперациите;</w:t>
            </w:r>
          </w:p>
        </w:tc>
        <w:tc>
          <w:tcPr>
            <w:tcW w:w="1568" w:type="dxa"/>
          </w:tcPr>
          <w:p w14:paraId="722EE27D"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Стопански</w:t>
            </w:r>
          </w:p>
        </w:tc>
      </w:tr>
      <w:tr w:rsidR="00E8617E" w:rsidRPr="00BC513A" w14:paraId="3E16D238" w14:textId="77777777" w:rsidTr="00922731">
        <w:tc>
          <w:tcPr>
            <w:tcW w:w="567" w:type="dxa"/>
          </w:tcPr>
          <w:p w14:paraId="0A0BBCC2"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8</w:t>
            </w:r>
          </w:p>
        </w:tc>
        <w:tc>
          <w:tcPr>
            <w:tcW w:w="567" w:type="dxa"/>
            <w:vMerge/>
          </w:tcPr>
          <w:p w14:paraId="7F5515C5"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7E3128B7" w14:textId="77777777" w:rsidR="00E8617E" w:rsidRPr="00BC513A" w:rsidRDefault="00E8617E" w:rsidP="00922731">
            <w:pPr>
              <w:tabs>
                <w:tab w:val="num" w:pos="0"/>
              </w:tabs>
              <w:jc w:val="both"/>
              <w:rPr>
                <w:rFonts w:ascii="Arial" w:hAnsi="Arial" w:cs="Arial"/>
                <w:sz w:val="20"/>
                <w:szCs w:val="20"/>
              </w:rPr>
            </w:pPr>
            <w:r w:rsidRPr="00BC513A">
              <w:rPr>
                <w:rFonts w:ascii="Arial" w:hAnsi="Arial" w:cs="Arial"/>
                <w:sz w:val="20"/>
                <w:szCs w:val="20"/>
              </w:rPr>
              <w:t xml:space="preserve">Мярка 313 </w:t>
            </w:r>
          </w:p>
        </w:tc>
        <w:tc>
          <w:tcPr>
            <w:tcW w:w="5528" w:type="dxa"/>
          </w:tcPr>
          <w:p w14:paraId="3EF3E1F3" w14:textId="77777777" w:rsidR="00E8617E" w:rsidRPr="00BC513A" w:rsidRDefault="00E8617E" w:rsidP="00922731">
            <w:pPr>
              <w:widowControl w:val="0"/>
              <w:autoSpaceDE w:val="0"/>
              <w:autoSpaceDN w:val="0"/>
              <w:adjustRightInd w:val="0"/>
              <w:jc w:val="both"/>
              <w:rPr>
                <w:rFonts w:ascii="Arial" w:hAnsi="Arial" w:cs="Arial"/>
                <w:sz w:val="20"/>
                <w:szCs w:val="20"/>
              </w:rPr>
            </w:pPr>
            <w:r w:rsidRPr="00BC513A">
              <w:rPr>
                <w:rFonts w:ascii="Arial" w:hAnsi="Arial" w:cs="Arial"/>
                <w:sz w:val="20"/>
                <w:szCs w:val="20"/>
              </w:rPr>
              <w:t>1. Общини;</w:t>
            </w:r>
          </w:p>
          <w:p w14:paraId="2D300FA7"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2. Юридически лица с нестопанска цел, регистрирани по Закона за юридическите лица с нестопанска цел</w:t>
            </w:r>
          </w:p>
        </w:tc>
        <w:tc>
          <w:tcPr>
            <w:tcW w:w="1568" w:type="dxa"/>
          </w:tcPr>
          <w:p w14:paraId="27D5547C"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Публичен и нестопански</w:t>
            </w:r>
          </w:p>
        </w:tc>
      </w:tr>
      <w:tr w:rsidR="00E8617E" w:rsidRPr="00BC513A" w14:paraId="471CAD55" w14:textId="77777777" w:rsidTr="00922731">
        <w:tc>
          <w:tcPr>
            <w:tcW w:w="567" w:type="dxa"/>
          </w:tcPr>
          <w:p w14:paraId="0C8B7887"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9</w:t>
            </w:r>
          </w:p>
        </w:tc>
        <w:tc>
          <w:tcPr>
            <w:tcW w:w="567" w:type="dxa"/>
            <w:vMerge/>
          </w:tcPr>
          <w:p w14:paraId="5D9B7FC6"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3181B9A1" w14:textId="77777777" w:rsidR="00E8617E" w:rsidRPr="00BC513A" w:rsidRDefault="00E8617E" w:rsidP="00922731">
            <w:pPr>
              <w:tabs>
                <w:tab w:val="num" w:pos="0"/>
              </w:tabs>
              <w:jc w:val="both"/>
              <w:rPr>
                <w:rFonts w:ascii="Arial" w:hAnsi="Arial" w:cs="Arial"/>
                <w:sz w:val="20"/>
                <w:szCs w:val="20"/>
              </w:rPr>
            </w:pPr>
            <w:r w:rsidRPr="00BC513A">
              <w:rPr>
                <w:rFonts w:ascii="Arial" w:hAnsi="Arial" w:cs="Arial"/>
                <w:sz w:val="20"/>
                <w:szCs w:val="20"/>
              </w:rPr>
              <w:t xml:space="preserve">Мярка 321 </w:t>
            </w:r>
          </w:p>
        </w:tc>
        <w:tc>
          <w:tcPr>
            <w:tcW w:w="5528" w:type="dxa"/>
          </w:tcPr>
          <w:p w14:paraId="58BB2224"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1. Общини</w:t>
            </w:r>
          </w:p>
          <w:p w14:paraId="1E1991F4"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2. Юридически лица с нестопанска цел (ЮЛНЦ), регистрирани по Закона за юридическите лица с нестопанска цел</w:t>
            </w:r>
          </w:p>
          <w:p w14:paraId="5600ED12"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3. Читалища, регистрирани по Закона за народните читалища</w:t>
            </w:r>
          </w:p>
        </w:tc>
        <w:tc>
          <w:tcPr>
            <w:tcW w:w="1568" w:type="dxa"/>
          </w:tcPr>
          <w:p w14:paraId="7C93A48D"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Публичен и нестопански</w:t>
            </w:r>
          </w:p>
        </w:tc>
      </w:tr>
      <w:tr w:rsidR="00E8617E" w:rsidRPr="00BC513A" w14:paraId="058A6B5C" w14:textId="77777777" w:rsidTr="00922731">
        <w:tc>
          <w:tcPr>
            <w:tcW w:w="567" w:type="dxa"/>
          </w:tcPr>
          <w:p w14:paraId="32327650"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10</w:t>
            </w:r>
          </w:p>
        </w:tc>
        <w:tc>
          <w:tcPr>
            <w:tcW w:w="567" w:type="dxa"/>
            <w:vMerge/>
          </w:tcPr>
          <w:p w14:paraId="54F1AC22"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566582B8" w14:textId="77777777" w:rsidR="00E8617E" w:rsidRPr="00BC513A" w:rsidRDefault="00E8617E" w:rsidP="00922731">
            <w:pPr>
              <w:tabs>
                <w:tab w:val="num" w:pos="0"/>
              </w:tabs>
              <w:jc w:val="both"/>
              <w:rPr>
                <w:rFonts w:ascii="Arial" w:hAnsi="Arial" w:cs="Arial"/>
                <w:sz w:val="20"/>
                <w:szCs w:val="20"/>
              </w:rPr>
            </w:pPr>
            <w:r w:rsidRPr="00BC513A">
              <w:rPr>
                <w:rFonts w:ascii="Arial" w:hAnsi="Arial" w:cs="Arial"/>
                <w:sz w:val="20"/>
                <w:szCs w:val="20"/>
              </w:rPr>
              <w:t xml:space="preserve">Мярка 322 </w:t>
            </w:r>
          </w:p>
        </w:tc>
        <w:tc>
          <w:tcPr>
            <w:tcW w:w="5528" w:type="dxa"/>
          </w:tcPr>
          <w:p w14:paraId="0F54BC0A"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1. Общини;</w:t>
            </w:r>
          </w:p>
          <w:p w14:paraId="40BE9463"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2. Читалища, регистрирани по Закона за народните читалища;</w:t>
            </w:r>
          </w:p>
          <w:p w14:paraId="6A4F821D"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3. Местни поделения на вероизповедания, регистрирани като юридически лица, съгласно чл. 20 на Закона за вероизповеданията;</w:t>
            </w:r>
          </w:p>
          <w:p w14:paraId="073F7ECF"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4. Граждански дружества на физически и/или юридически лица;</w:t>
            </w:r>
          </w:p>
          <w:p w14:paraId="29F090BC" w14:textId="77777777" w:rsidR="00E8617E" w:rsidRPr="00BC513A" w:rsidRDefault="00E8617E" w:rsidP="00922731">
            <w:pPr>
              <w:jc w:val="both"/>
              <w:rPr>
                <w:rFonts w:ascii="Arial" w:hAnsi="Arial" w:cs="Arial"/>
                <w:bCs/>
                <w:sz w:val="20"/>
                <w:szCs w:val="20"/>
              </w:rPr>
            </w:pPr>
            <w:r w:rsidRPr="00BC513A">
              <w:rPr>
                <w:rFonts w:ascii="Arial" w:hAnsi="Arial" w:cs="Arial"/>
                <w:sz w:val="20"/>
                <w:szCs w:val="20"/>
              </w:rPr>
              <w:t>5. Юридически лица с нестопанска цел, регистрирани по Закона за юридическите лица с нестопанска цел.</w:t>
            </w:r>
          </w:p>
        </w:tc>
        <w:tc>
          <w:tcPr>
            <w:tcW w:w="1568" w:type="dxa"/>
          </w:tcPr>
          <w:p w14:paraId="0CED455B"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Публичен и нестопански</w:t>
            </w:r>
          </w:p>
        </w:tc>
      </w:tr>
      <w:tr w:rsidR="00E8617E" w:rsidRPr="00BC513A" w14:paraId="433F0A1E" w14:textId="77777777" w:rsidTr="00922731">
        <w:tc>
          <w:tcPr>
            <w:tcW w:w="567" w:type="dxa"/>
          </w:tcPr>
          <w:p w14:paraId="2A455DD9"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11</w:t>
            </w:r>
          </w:p>
        </w:tc>
        <w:tc>
          <w:tcPr>
            <w:tcW w:w="567" w:type="dxa"/>
            <w:vMerge/>
          </w:tcPr>
          <w:p w14:paraId="422E14DD"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7CE3439D"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 xml:space="preserve">Мярка 323 </w:t>
            </w:r>
          </w:p>
        </w:tc>
        <w:tc>
          <w:tcPr>
            <w:tcW w:w="5528" w:type="dxa"/>
          </w:tcPr>
          <w:p w14:paraId="35A5DC5D"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 xml:space="preserve">1. Юридически лица регистрирани по ЗЮЛНЦ; </w:t>
            </w:r>
          </w:p>
          <w:p w14:paraId="3703BF37"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2. Общини;</w:t>
            </w:r>
          </w:p>
          <w:p w14:paraId="25CB7C3F"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 xml:space="preserve">3. Музеи, читалища и други юридически лица, с дейност в сферата на културата; </w:t>
            </w:r>
          </w:p>
          <w:p w14:paraId="0A6A3982"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4. Браншови организации;</w:t>
            </w:r>
          </w:p>
          <w:p w14:paraId="282CE1AE"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5. Университети, училища и други учебни заведения;</w:t>
            </w:r>
          </w:p>
          <w:p w14:paraId="5CDAA58E"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6. Земеделски производители и земеделски стопани;</w:t>
            </w:r>
          </w:p>
          <w:p w14:paraId="4B0E0E27"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7. Научни институти, изследователски звена;</w:t>
            </w:r>
          </w:p>
          <w:p w14:paraId="7541D8A3"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8. Кооперации, клонове на занаятчийски или други сдружения, работещи в областта на занаятите и местни традиции;</w:t>
            </w:r>
          </w:p>
          <w:p w14:paraId="7A20E9AF"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9. Местни поделения на религиозни общности;</w:t>
            </w:r>
          </w:p>
          <w:p w14:paraId="5BB1E42C" w14:textId="77777777" w:rsidR="00E8617E" w:rsidRPr="00BC513A" w:rsidRDefault="00E8617E" w:rsidP="00922731">
            <w:pPr>
              <w:jc w:val="both"/>
              <w:rPr>
                <w:rFonts w:ascii="Arial" w:hAnsi="Arial" w:cs="Arial"/>
                <w:sz w:val="20"/>
                <w:szCs w:val="20"/>
              </w:rPr>
            </w:pPr>
            <w:r w:rsidRPr="00BC513A">
              <w:rPr>
                <w:rFonts w:ascii="Arial" w:hAnsi="Arial" w:cs="Arial"/>
                <w:sz w:val="20"/>
                <w:szCs w:val="20"/>
              </w:rPr>
              <w:t>10. Физически лица.</w:t>
            </w:r>
          </w:p>
        </w:tc>
        <w:tc>
          <w:tcPr>
            <w:tcW w:w="1568" w:type="dxa"/>
          </w:tcPr>
          <w:p w14:paraId="528B40BA"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Публичен, стопански и нестопански</w:t>
            </w:r>
          </w:p>
        </w:tc>
      </w:tr>
      <w:tr w:rsidR="00E8617E" w:rsidRPr="00BC513A" w14:paraId="3539ABDF" w14:textId="77777777" w:rsidTr="00922731">
        <w:tc>
          <w:tcPr>
            <w:tcW w:w="567" w:type="dxa"/>
          </w:tcPr>
          <w:p w14:paraId="647405FA"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12</w:t>
            </w:r>
          </w:p>
        </w:tc>
        <w:tc>
          <w:tcPr>
            <w:tcW w:w="567" w:type="dxa"/>
            <w:vMerge/>
          </w:tcPr>
          <w:p w14:paraId="521622EF"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3646FFDE"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 xml:space="preserve">Мярка 331 </w:t>
            </w:r>
          </w:p>
        </w:tc>
        <w:tc>
          <w:tcPr>
            <w:tcW w:w="5528" w:type="dxa"/>
          </w:tcPr>
          <w:p w14:paraId="5CD2C7B4" w14:textId="77777777" w:rsidR="00E8617E" w:rsidRPr="00BC513A" w:rsidRDefault="00E8617E" w:rsidP="00922731">
            <w:pPr>
              <w:autoSpaceDE w:val="0"/>
              <w:autoSpaceDN w:val="0"/>
              <w:adjustRightInd w:val="0"/>
              <w:jc w:val="both"/>
              <w:rPr>
                <w:rFonts w:ascii="Arial" w:hAnsi="Arial" w:cs="Arial"/>
                <w:bCs/>
                <w:iCs/>
                <w:sz w:val="20"/>
                <w:szCs w:val="20"/>
              </w:rPr>
            </w:pPr>
            <w:r w:rsidRPr="00BC513A">
              <w:rPr>
                <w:rFonts w:ascii="Arial" w:hAnsi="Arial" w:cs="Arial"/>
                <w:bCs/>
                <w:iCs/>
                <w:sz w:val="20"/>
                <w:szCs w:val="20"/>
              </w:rPr>
              <w:t>1. Юридически лица с нестопанска цел, читалища, университети, научни институти, специализирани организации за обучение, юридически лица регистрирани по Търговския закон);</w:t>
            </w:r>
          </w:p>
          <w:p w14:paraId="1D443F5A" w14:textId="77777777" w:rsidR="00E8617E" w:rsidRPr="00BC513A" w:rsidRDefault="00E8617E" w:rsidP="00922731">
            <w:pPr>
              <w:autoSpaceDE w:val="0"/>
              <w:autoSpaceDN w:val="0"/>
              <w:adjustRightInd w:val="0"/>
              <w:jc w:val="both"/>
              <w:rPr>
                <w:rFonts w:ascii="Arial" w:hAnsi="Arial" w:cs="Arial"/>
                <w:sz w:val="20"/>
                <w:szCs w:val="20"/>
              </w:rPr>
            </w:pPr>
            <w:r w:rsidRPr="00BC513A">
              <w:rPr>
                <w:rFonts w:ascii="Arial" w:hAnsi="Arial" w:cs="Arial"/>
                <w:bCs/>
                <w:iCs/>
                <w:sz w:val="20"/>
                <w:szCs w:val="20"/>
              </w:rPr>
              <w:t>2. Специализирани предприятия, асоциации, задруги, браншови организации и кооперации.</w:t>
            </w:r>
          </w:p>
        </w:tc>
        <w:tc>
          <w:tcPr>
            <w:tcW w:w="1568" w:type="dxa"/>
          </w:tcPr>
          <w:p w14:paraId="5E3F15F1"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Публичен, стопански и нестопански</w:t>
            </w:r>
          </w:p>
        </w:tc>
      </w:tr>
      <w:tr w:rsidR="00E8617E" w:rsidRPr="00BC513A" w14:paraId="0989F297" w14:textId="77777777" w:rsidTr="00922731">
        <w:tc>
          <w:tcPr>
            <w:tcW w:w="567" w:type="dxa"/>
          </w:tcPr>
          <w:p w14:paraId="00836461"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13</w:t>
            </w:r>
          </w:p>
        </w:tc>
        <w:tc>
          <w:tcPr>
            <w:tcW w:w="567" w:type="dxa"/>
            <w:vMerge/>
          </w:tcPr>
          <w:p w14:paraId="4BAE92F6" w14:textId="77777777" w:rsidR="00E8617E" w:rsidRPr="00BC513A" w:rsidRDefault="00E8617E" w:rsidP="00922731">
            <w:pPr>
              <w:tabs>
                <w:tab w:val="left" w:pos="993"/>
              </w:tabs>
              <w:autoSpaceDE w:val="0"/>
              <w:autoSpaceDN w:val="0"/>
              <w:contextualSpacing/>
              <w:jc w:val="both"/>
              <w:rPr>
                <w:rFonts w:ascii="Arial" w:hAnsi="Arial" w:cs="Arial"/>
                <w:sz w:val="20"/>
                <w:szCs w:val="20"/>
              </w:rPr>
            </w:pPr>
          </w:p>
        </w:tc>
        <w:tc>
          <w:tcPr>
            <w:tcW w:w="851" w:type="dxa"/>
          </w:tcPr>
          <w:p w14:paraId="0348CA47"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 xml:space="preserve">Мярка 7.1 </w:t>
            </w:r>
          </w:p>
        </w:tc>
        <w:tc>
          <w:tcPr>
            <w:tcW w:w="5528" w:type="dxa"/>
          </w:tcPr>
          <w:p w14:paraId="1A84BBBE" w14:textId="77777777" w:rsidR="00E8617E" w:rsidRPr="00BC513A" w:rsidRDefault="00E8617E" w:rsidP="00922731">
            <w:pPr>
              <w:jc w:val="both"/>
              <w:rPr>
                <w:rFonts w:ascii="Arial" w:eastAsia="Times New Roman" w:hAnsi="Arial" w:cs="Arial"/>
                <w:sz w:val="20"/>
                <w:szCs w:val="20"/>
              </w:rPr>
            </w:pPr>
            <w:r w:rsidRPr="00BC513A">
              <w:rPr>
                <w:rFonts w:ascii="Arial" w:eastAsia="Times New Roman" w:hAnsi="Arial" w:cs="Arial"/>
                <w:sz w:val="20"/>
                <w:szCs w:val="20"/>
              </w:rPr>
              <w:t xml:space="preserve">1. Юридически лица с нестопанска цел регистрирани по Закона за юридическите лица с </w:t>
            </w:r>
          </w:p>
          <w:p w14:paraId="71233978" w14:textId="77777777" w:rsidR="00E8617E" w:rsidRPr="00BC513A" w:rsidRDefault="00E8617E" w:rsidP="00922731">
            <w:pPr>
              <w:jc w:val="both"/>
              <w:rPr>
                <w:rFonts w:ascii="Arial" w:eastAsia="Times New Roman" w:hAnsi="Arial" w:cs="Arial"/>
                <w:sz w:val="20"/>
                <w:szCs w:val="20"/>
              </w:rPr>
            </w:pPr>
            <w:r w:rsidRPr="00BC513A">
              <w:rPr>
                <w:rFonts w:ascii="Arial" w:eastAsia="Times New Roman" w:hAnsi="Arial" w:cs="Arial"/>
                <w:sz w:val="20"/>
                <w:szCs w:val="20"/>
              </w:rPr>
              <w:t>нестопанска цел;</w:t>
            </w:r>
          </w:p>
          <w:p w14:paraId="6F60B271" w14:textId="77777777" w:rsidR="00E8617E" w:rsidRPr="00BC513A" w:rsidRDefault="00E8617E" w:rsidP="00922731">
            <w:pPr>
              <w:jc w:val="both"/>
              <w:rPr>
                <w:rFonts w:ascii="Arial" w:hAnsi="Arial" w:cs="Arial"/>
                <w:sz w:val="20"/>
                <w:szCs w:val="20"/>
              </w:rPr>
            </w:pPr>
            <w:r w:rsidRPr="00BC513A">
              <w:rPr>
                <w:rFonts w:ascii="Arial" w:eastAsia="Times New Roman" w:hAnsi="Arial" w:cs="Arial"/>
                <w:sz w:val="20"/>
                <w:szCs w:val="20"/>
              </w:rPr>
              <w:t>2. Читалища, регистрирани по Закона за народните читалища.</w:t>
            </w:r>
          </w:p>
        </w:tc>
        <w:tc>
          <w:tcPr>
            <w:tcW w:w="1568" w:type="dxa"/>
          </w:tcPr>
          <w:p w14:paraId="6BAA9102" w14:textId="77777777" w:rsidR="00E8617E" w:rsidRPr="00BC513A" w:rsidRDefault="00E8617E" w:rsidP="00922731">
            <w:pPr>
              <w:tabs>
                <w:tab w:val="left" w:pos="993"/>
              </w:tabs>
              <w:autoSpaceDE w:val="0"/>
              <w:autoSpaceDN w:val="0"/>
              <w:contextualSpacing/>
              <w:jc w:val="both"/>
              <w:rPr>
                <w:rFonts w:ascii="Arial" w:hAnsi="Arial" w:cs="Arial"/>
                <w:sz w:val="20"/>
                <w:szCs w:val="20"/>
              </w:rPr>
            </w:pPr>
            <w:r w:rsidRPr="00BC513A">
              <w:rPr>
                <w:rFonts w:ascii="Arial" w:hAnsi="Arial" w:cs="Arial"/>
                <w:sz w:val="20"/>
                <w:szCs w:val="20"/>
              </w:rPr>
              <w:t xml:space="preserve">Нестопански </w:t>
            </w:r>
          </w:p>
        </w:tc>
      </w:tr>
    </w:tbl>
    <w:p w14:paraId="0C2C3DE3" w14:textId="77777777" w:rsidR="00E8617E" w:rsidRPr="00320533" w:rsidRDefault="00E8617E" w:rsidP="00E8617E">
      <w:pPr>
        <w:jc w:val="both"/>
        <w:rPr>
          <w:rFonts w:ascii="Arial" w:hAnsi="Arial" w:cs="Arial"/>
          <w:sz w:val="18"/>
          <w:szCs w:val="18"/>
        </w:rPr>
      </w:pPr>
      <w:r w:rsidRPr="00320533">
        <w:rPr>
          <w:rFonts w:ascii="Arial" w:hAnsi="Arial" w:cs="Arial"/>
          <w:sz w:val="18"/>
          <w:szCs w:val="18"/>
        </w:rPr>
        <w:t>Източник: Собствен анализ на база данни от ДФЗ-РА</w:t>
      </w:r>
    </w:p>
    <w:p w14:paraId="184ED554" w14:textId="77777777" w:rsidR="00E8617E" w:rsidRPr="00BC513A" w:rsidRDefault="00E8617E" w:rsidP="00E8617E">
      <w:pPr>
        <w:pStyle w:val="DefaultText"/>
        <w:rPr>
          <w:lang w:val="bg-BG"/>
        </w:rPr>
      </w:pPr>
    </w:p>
    <w:p w14:paraId="235AC345" w14:textId="77777777" w:rsidR="00E8617E" w:rsidRPr="00BC513A" w:rsidRDefault="00E8617E" w:rsidP="00E8617E">
      <w:pPr>
        <w:ind w:firstLine="708"/>
        <w:jc w:val="both"/>
        <w:rPr>
          <w:rFonts w:ascii="Arial" w:hAnsi="Arial" w:cs="Arial"/>
        </w:rPr>
      </w:pPr>
      <w:r w:rsidRPr="00BC513A">
        <w:rPr>
          <w:rFonts w:ascii="Arial" w:hAnsi="Arial" w:cs="Arial"/>
          <w:b/>
        </w:rPr>
        <w:t>По мярка 111</w:t>
      </w:r>
      <w:r w:rsidRPr="00BC513A">
        <w:rPr>
          <w:rFonts w:ascii="Arial" w:hAnsi="Arial" w:cs="Arial"/>
        </w:rPr>
        <w:t xml:space="preserve"> „Обучение, информационни дейности и разпространяване на научни знания“ проекти са администрирани на представители на публичен и нестопански сектор със средна субсидия на проект 633,88 лв. С най-голям дял от 54 % са юридически лица с нестопанска цел, регистрирани по Закона за юридическите лица с нестопанска цел – 7 бр., следвани от професионални гимназии – 3 бр. или 23 %, по 8 % институти – 1 бр., , читалища  - 1 бр., други – 1 бр.</w:t>
      </w:r>
    </w:p>
    <w:p w14:paraId="6C01FA0B" w14:textId="77777777" w:rsidR="00E8617E" w:rsidRPr="00BC513A" w:rsidRDefault="00E8617E" w:rsidP="00E8617E">
      <w:pPr>
        <w:ind w:firstLine="708"/>
        <w:jc w:val="both"/>
        <w:rPr>
          <w:rFonts w:ascii="Arial" w:hAnsi="Arial" w:cs="Arial"/>
        </w:rPr>
      </w:pPr>
      <w:r w:rsidRPr="00BC513A">
        <w:rPr>
          <w:rFonts w:ascii="Arial" w:hAnsi="Arial" w:cs="Arial"/>
          <w:b/>
        </w:rPr>
        <w:t>По мярка 121</w:t>
      </w:r>
      <w:r w:rsidRPr="00BC513A">
        <w:rPr>
          <w:rFonts w:ascii="Arial" w:hAnsi="Arial" w:cs="Arial"/>
        </w:rPr>
        <w:t xml:space="preserve"> “Модернизиране на земеделските стопанства“ 308 бр. земеделски производители от стопанския сектор са изпълнили проекти със средна субсидия на проект 51 531,87 лв., от тях:</w:t>
      </w:r>
    </w:p>
    <w:p w14:paraId="22E258E1"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ЕТ и физически лица – 168 бр. (54%)</w:t>
      </w:r>
    </w:p>
    <w:p w14:paraId="60788455"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ЕООД – 63 бр. (20 %)</w:t>
      </w:r>
    </w:p>
    <w:p w14:paraId="0A798D7E"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ООД – 57 (19%)</w:t>
      </w:r>
    </w:p>
    <w:p w14:paraId="7435E1BA" w14:textId="77777777" w:rsidR="00E8617E" w:rsidRPr="00BC513A" w:rsidRDefault="00E8617E" w:rsidP="00E8617E">
      <w:pPr>
        <w:pStyle w:val="ListParagraph"/>
        <w:numPr>
          <w:ilvl w:val="0"/>
          <w:numId w:val="35"/>
        </w:numPr>
        <w:spacing w:after="120" w:line="240" w:lineRule="auto"/>
        <w:ind w:left="1077" w:hanging="357"/>
        <w:contextualSpacing w:val="0"/>
        <w:jc w:val="both"/>
        <w:rPr>
          <w:rFonts w:ascii="Arial" w:hAnsi="Arial" w:cs="Arial"/>
        </w:rPr>
      </w:pPr>
      <w:r w:rsidRPr="00BC513A">
        <w:rPr>
          <w:rFonts w:ascii="Arial" w:hAnsi="Arial" w:cs="Arial"/>
        </w:rPr>
        <w:t>ЗК, ЗКЧС, ПТЗК, ЗКПУ  – 22 (7%).</w:t>
      </w:r>
    </w:p>
    <w:p w14:paraId="52219D4C" w14:textId="77777777" w:rsidR="00E8617E" w:rsidRPr="00BC513A" w:rsidRDefault="00E8617E" w:rsidP="00E8617E">
      <w:pPr>
        <w:ind w:firstLine="708"/>
        <w:jc w:val="both"/>
        <w:rPr>
          <w:rFonts w:ascii="Arial" w:eastAsia="Times New Roman" w:hAnsi="Arial" w:cs="Arial"/>
          <w:color w:val="000000"/>
          <w:lang w:eastAsia="bg-BG"/>
        </w:rPr>
      </w:pPr>
      <w:r w:rsidRPr="00BC513A">
        <w:rPr>
          <w:rFonts w:ascii="Arial" w:hAnsi="Arial" w:cs="Arial"/>
        </w:rPr>
        <w:t>Одобрената субсидия след анекси е в размер на 18 147 167,08 лв., а усвоените средства – 17 121 271, 92 лв.</w:t>
      </w:r>
    </w:p>
    <w:p w14:paraId="6E9C48D8" w14:textId="77777777" w:rsidR="00E8617E" w:rsidRPr="00BC513A" w:rsidRDefault="00E8617E" w:rsidP="00E8617E">
      <w:pPr>
        <w:ind w:firstLine="708"/>
        <w:jc w:val="both"/>
        <w:rPr>
          <w:rFonts w:ascii="Arial" w:hAnsi="Arial" w:cs="Arial"/>
        </w:rPr>
      </w:pPr>
      <w:r w:rsidRPr="00BC513A">
        <w:rPr>
          <w:rFonts w:ascii="Arial" w:hAnsi="Arial" w:cs="Arial"/>
          <w:b/>
        </w:rPr>
        <w:t>По мярка 123</w:t>
      </w:r>
      <w:r w:rsidRPr="00BC513A">
        <w:rPr>
          <w:rFonts w:ascii="Arial" w:hAnsi="Arial" w:cs="Arial"/>
        </w:rPr>
        <w:t xml:space="preserve"> „Добавяне на стойност към земеделски и горски продукти“ 41 бр. преработватели от стопанския сектор са изпълнили проекти със средна субсидия на проект 78 904,23 лв., от тях:</w:t>
      </w:r>
    </w:p>
    <w:p w14:paraId="7CA3774F"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ЕТ (включително ЗП) – 5 бр.</w:t>
      </w:r>
    </w:p>
    <w:p w14:paraId="262500D2"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ЕООД – 17 бр.</w:t>
      </w:r>
    </w:p>
    <w:p w14:paraId="749D3A26"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ООД – 15 бр.</w:t>
      </w:r>
    </w:p>
    <w:p w14:paraId="4ECCB70B"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АД – 3 бр.</w:t>
      </w:r>
    </w:p>
    <w:p w14:paraId="1E9708ED" w14:textId="77777777" w:rsidR="00E8617E" w:rsidRPr="00BC513A" w:rsidRDefault="00E8617E" w:rsidP="00E8617E">
      <w:pPr>
        <w:pStyle w:val="ListParagraph"/>
        <w:numPr>
          <w:ilvl w:val="0"/>
          <w:numId w:val="35"/>
        </w:numPr>
        <w:spacing w:after="120" w:line="240" w:lineRule="auto"/>
        <w:ind w:left="1077" w:hanging="357"/>
        <w:contextualSpacing w:val="0"/>
        <w:jc w:val="both"/>
        <w:rPr>
          <w:rFonts w:ascii="Arial" w:hAnsi="Arial" w:cs="Arial"/>
        </w:rPr>
      </w:pPr>
      <w:r w:rsidRPr="00BC513A">
        <w:rPr>
          <w:rFonts w:ascii="Arial" w:hAnsi="Arial" w:cs="Arial"/>
        </w:rPr>
        <w:t>СД – 1 бр.</w:t>
      </w:r>
    </w:p>
    <w:p w14:paraId="233E1D1A" w14:textId="77777777" w:rsidR="00E8617E" w:rsidRPr="00BC513A" w:rsidRDefault="00E8617E" w:rsidP="00E8617E">
      <w:pPr>
        <w:ind w:firstLine="708"/>
        <w:jc w:val="both"/>
        <w:rPr>
          <w:rFonts w:ascii="Arial" w:hAnsi="Arial" w:cs="Arial"/>
        </w:rPr>
      </w:pPr>
      <w:r w:rsidRPr="00BC513A">
        <w:rPr>
          <w:rFonts w:ascii="Arial" w:hAnsi="Arial" w:cs="Arial"/>
        </w:rPr>
        <w:t>Одобрената субсидия след анекси е в размер на 3 372 293,91 лв., а усвоените средства – 3 252 324, 30 лв.</w:t>
      </w:r>
    </w:p>
    <w:p w14:paraId="20EF4058" w14:textId="77777777" w:rsidR="00E8617E" w:rsidRPr="00BC513A" w:rsidRDefault="00E8617E" w:rsidP="00E8617E">
      <w:pPr>
        <w:ind w:firstLine="708"/>
        <w:jc w:val="both"/>
        <w:rPr>
          <w:rFonts w:ascii="Arial" w:hAnsi="Arial" w:cs="Arial"/>
        </w:rPr>
      </w:pPr>
      <w:r w:rsidRPr="00BC513A">
        <w:rPr>
          <w:rFonts w:ascii="Arial" w:hAnsi="Arial" w:cs="Arial"/>
          <w:b/>
        </w:rPr>
        <w:t>По мярка 223</w:t>
      </w:r>
      <w:r w:rsidRPr="00BC513A">
        <w:rPr>
          <w:rFonts w:ascii="Arial" w:hAnsi="Arial" w:cs="Arial"/>
        </w:rPr>
        <w:t xml:space="preserve"> „Първоначално залесяване на неземеделски земи“ 5 общини, представители на публичния сектор са изпълнили проекти със средна субсидия на проект 57 627,65 лв. Одобрената субсидия след анекси е в размер на 403 393,56 лв., а усвоените средства – 327 661,13 лв.</w:t>
      </w:r>
    </w:p>
    <w:p w14:paraId="158437E7" w14:textId="77777777" w:rsidR="00E8617E" w:rsidRPr="00BC513A" w:rsidRDefault="00E8617E" w:rsidP="00E8617E">
      <w:pPr>
        <w:ind w:firstLine="708"/>
        <w:jc w:val="both"/>
        <w:rPr>
          <w:rFonts w:ascii="Arial" w:hAnsi="Arial" w:cs="Arial"/>
        </w:rPr>
      </w:pPr>
      <w:r w:rsidRPr="00BC513A">
        <w:rPr>
          <w:rFonts w:ascii="Arial" w:hAnsi="Arial" w:cs="Arial"/>
          <w:b/>
        </w:rPr>
        <w:t>По мярка 226</w:t>
      </w:r>
      <w:r w:rsidRPr="00BC513A">
        <w:rPr>
          <w:rFonts w:ascii="Arial" w:hAnsi="Arial" w:cs="Arial"/>
        </w:rPr>
        <w:t xml:space="preserve"> „Възстановяване на горския потенциал и въвеждане на превантивни дейности“ проекти са изпълнили следните заинтересовани страни, представители на публичния  сектор със средна субсидия на проект  44 605,65 лв.:</w:t>
      </w:r>
    </w:p>
    <w:p w14:paraId="0C615AC9"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Общини – 7 бр.</w:t>
      </w:r>
    </w:p>
    <w:p w14:paraId="0DE47789"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Горски стопанства – 3 бр.</w:t>
      </w:r>
    </w:p>
    <w:p w14:paraId="10CA842F" w14:textId="77777777" w:rsidR="00E8617E" w:rsidRPr="00BC513A" w:rsidRDefault="00E8617E" w:rsidP="00E8617E">
      <w:pPr>
        <w:pStyle w:val="ListParagraph"/>
        <w:spacing w:after="0" w:line="240" w:lineRule="auto"/>
        <w:ind w:left="1080"/>
        <w:jc w:val="both"/>
        <w:rPr>
          <w:rFonts w:ascii="Arial" w:hAnsi="Arial" w:cs="Arial"/>
        </w:rPr>
      </w:pPr>
    </w:p>
    <w:p w14:paraId="443DC881" w14:textId="77777777" w:rsidR="00E8617E" w:rsidRPr="00BC513A" w:rsidRDefault="00E8617E" w:rsidP="00E8617E">
      <w:pPr>
        <w:spacing w:after="120" w:line="240" w:lineRule="auto"/>
        <w:ind w:firstLine="709"/>
        <w:jc w:val="both"/>
        <w:rPr>
          <w:rFonts w:ascii="Arial" w:hAnsi="Arial" w:cs="Arial"/>
        </w:rPr>
      </w:pPr>
      <w:r w:rsidRPr="00BC513A">
        <w:rPr>
          <w:rFonts w:ascii="Arial" w:hAnsi="Arial" w:cs="Arial"/>
        </w:rPr>
        <w:t xml:space="preserve">Одобрената субсидия след анекси е в размер на 713 690,39 лв., а усвоените средства –663 118,23 лв. </w:t>
      </w:r>
    </w:p>
    <w:p w14:paraId="1141D701" w14:textId="77777777" w:rsidR="00E8617E" w:rsidRPr="00BC513A" w:rsidRDefault="00E8617E" w:rsidP="00E8617E">
      <w:pPr>
        <w:ind w:firstLine="708"/>
        <w:jc w:val="both"/>
        <w:rPr>
          <w:rFonts w:ascii="Arial" w:hAnsi="Arial" w:cs="Arial"/>
        </w:rPr>
      </w:pPr>
      <w:r w:rsidRPr="00BC513A">
        <w:rPr>
          <w:rFonts w:ascii="Arial" w:hAnsi="Arial" w:cs="Arial"/>
          <w:b/>
        </w:rPr>
        <w:t>По мярка 311</w:t>
      </w:r>
      <w:r w:rsidRPr="00BC513A">
        <w:rPr>
          <w:rFonts w:ascii="Arial" w:hAnsi="Arial" w:cs="Arial"/>
        </w:rPr>
        <w:t xml:space="preserve"> „Разнообразяване към неземеделски дейности“ проекти са изпълнили 52 земеделски производители, представители на стопанския  сектор със средна субсидия на проект 85 338,08 лв., от тях:</w:t>
      </w:r>
    </w:p>
    <w:p w14:paraId="25E2088C"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ЕТ – 27 бр. (52 %)</w:t>
      </w:r>
    </w:p>
    <w:p w14:paraId="6B6EABC3"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ЕООД – 16 бр. (31%)</w:t>
      </w:r>
    </w:p>
    <w:p w14:paraId="0FC04DEE"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ООД – 7 бр. (13%)</w:t>
      </w:r>
    </w:p>
    <w:p w14:paraId="5F7A6120"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Земеделски кооперации – 2 бр. (4%).</w:t>
      </w:r>
    </w:p>
    <w:p w14:paraId="74ECF545" w14:textId="77777777" w:rsidR="00E8617E" w:rsidRPr="00BC513A" w:rsidRDefault="00E8617E" w:rsidP="00E8617E">
      <w:pPr>
        <w:spacing w:after="0" w:line="240" w:lineRule="auto"/>
        <w:rPr>
          <w:rFonts w:ascii="Arial" w:hAnsi="Arial" w:cs="Arial"/>
        </w:rPr>
      </w:pPr>
    </w:p>
    <w:p w14:paraId="418A4071" w14:textId="77777777" w:rsidR="00E8617E" w:rsidRPr="00BC513A" w:rsidRDefault="00E8617E" w:rsidP="00E8617E">
      <w:pPr>
        <w:spacing w:after="120" w:line="240" w:lineRule="auto"/>
        <w:ind w:firstLine="709"/>
        <w:jc w:val="both"/>
        <w:rPr>
          <w:rFonts w:ascii="Arial" w:hAnsi="Arial" w:cs="Arial"/>
        </w:rPr>
      </w:pPr>
      <w:r w:rsidRPr="00BC513A">
        <w:rPr>
          <w:rFonts w:ascii="Arial" w:hAnsi="Arial" w:cs="Arial"/>
        </w:rPr>
        <w:t>Одобрената субсидия след анекси е в размер на 4 981 493,56 лв., а усвоените средства – 4 219 269, 65 лв.</w:t>
      </w:r>
    </w:p>
    <w:p w14:paraId="6FD709F0" w14:textId="77777777" w:rsidR="00E8617E" w:rsidRPr="00BC513A" w:rsidRDefault="00E8617E" w:rsidP="00E8617E">
      <w:pPr>
        <w:ind w:firstLine="708"/>
        <w:jc w:val="both"/>
        <w:rPr>
          <w:rFonts w:ascii="Arial" w:hAnsi="Arial" w:cs="Arial"/>
        </w:rPr>
      </w:pPr>
      <w:r w:rsidRPr="00BC513A">
        <w:rPr>
          <w:rFonts w:ascii="Arial" w:hAnsi="Arial" w:cs="Arial"/>
          <w:b/>
        </w:rPr>
        <w:t>По мярка 312</w:t>
      </w:r>
      <w:r w:rsidRPr="00BC513A">
        <w:rPr>
          <w:rFonts w:ascii="Arial" w:hAnsi="Arial" w:cs="Arial"/>
        </w:rPr>
        <w:t xml:space="preserve"> „Подкрепа за създаване и развитие на микропредприятия“ проекти са изпълнили 304 микропредприятия, представители на стопанския сектор със средна субсидия на проект 68 736,01 лв., от тях:</w:t>
      </w:r>
    </w:p>
    <w:p w14:paraId="27A522B1"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ЕТ – 81 бр. (26%)</w:t>
      </w:r>
    </w:p>
    <w:p w14:paraId="0530A65D"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ЕООД – 154 бр. (51%)</w:t>
      </w:r>
    </w:p>
    <w:p w14:paraId="366AEAE5"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ООД -  45 бр. (15%)</w:t>
      </w:r>
    </w:p>
    <w:p w14:paraId="3EC21401"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Други – индивидуални практики, дентални практики – 24 бр. (8%)</w:t>
      </w:r>
    </w:p>
    <w:p w14:paraId="368648C6" w14:textId="77777777" w:rsidR="00E8617E" w:rsidRPr="00BC513A" w:rsidRDefault="00E8617E" w:rsidP="00E8617E">
      <w:pPr>
        <w:spacing w:after="0" w:line="240" w:lineRule="auto"/>
        <w:ind w:firstLine="708"/>
        <w:rPr>
          <w:rFonts w:ascii="Arial" w:hAnsi="Arial" w:cs="Arial"/>
        </w:rPr>
      </w:pPr>
    </w:p>
    <w:p w14:paraId="58A2A8AC" w14:textId="77777777" w:rsidR="00E8617E" w:rsidRPr="00BC513A" w:rsidRDefault="00E8617E" w:rsidP="00E8617E">
      <w:pPr>
        <w:ind w:firstLine="708"/>
        <w:jc w:val="both"/>
        <w:rPr>
          <w:rFonts w:ascii="Arial" w:hAnsi="Arial" w:cs="Arial"/>
        </w:rPr>
      </w:pPr>
      <w:r w:rsidRPr="00BC513A">
        <w:rPr>
          <w:rFonts w:ascii="Arial" w:hAnsi="Arial" w:cs="Arial"/>
        </w:rPr>
        <w:t xml:space="preserve">Одобрената субсидия след анекси е в размер на 20 139 649,52 лв., а усвоените средства – 17 907 441,94 лв. </w:t>
      </w:r>
    </w:p>
    <w:p w14:paraId="732DB908" w14:textId="77777777" w:rsidR="00E8617E" w:rsidRPr="00BC513A" w:rsidRDefault="00E8617E" w:rsidP="00E8617E">
      <w:pPr>
        <w:ind w:firstLine="708"/>
        <w:jc w:val="both"/>
        <w:rPr>
          <w:rFonts w:ascii="Arial" w:hAnsi="Arial" w:cs="Arial"/>
        </w:rPr>
      </w:pPr>
      <w:r w:rsidRPr="00BC513A">
        <w:rPr>
          <w:rFonts w:ascii="Arial" w:hAnsi="Arial" w:cs="Arial"/>
          <w:b/>
        </w:rPr>
        <w:t>По мярка 313</w:t>
      </w:r>
      <w:r w:rsidRPr="00BC513A">
        <w:rPr>
          <w:rFonts w:ascii="Arial" w:hAnsi="Arial" w:cs="Arial"/>
        </w:rPr>
        <w:t xml:space="preserve"> „Насърчаване на туристическите дейности“ проекти са изпълнили 40 бенефициенти, представители на публичния и нестопанския  сектор със средна субсидия на проект 64 834,16 лв., от тях:</w:t>
      </w:r>
    </w:p>
    <w:p w14:paraId="3C204CFC"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 xml:space="preserve">Общини (публичен сектор) – 33 бр. </w:t>
      </w:r>
    </w:p>
    <w:p w14:paraId="3E363ABC"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ЮЛНЦ (нестопански сектор) – 7 бр.</w:t>
      </w:r>
    </w:p>
    <w:p w14:paraId="41781A4F" w14:textId="77777777" w:rsidR="00E8617E" w:rsidRPr="00BC513A" w:rsidRDefault="00E8617E" w:rsidP="00E8617E">
      <w:pPr>
        <w:spacing w:after="0" w:line="240" w:lineRule="auto"/>
        <w:ind w:left="720"/>
        <w:jc w:val="both"/>
        <w:rPr>
          <w:rFonts w:ascii="Arial" w:hAnsi="Arial" w:cs="Arial"/>
        </w:rPr>
      </w:pPr>
    </w:p>
    <w:p w14:paraId="379624A3" w14:textId="77777777" w:rsidR="00E8617E" w:rsidRPr="00BC513A" w:rsidRDefault="00E8617E" w:rsidP="00E8617E">
      <w:pPr>
        <w:ind w:firstLine="708"/>
        <w:jc w:val="both"/>
        <w:rPr>
          <w:rFonts w:ascii="Arial" w:hAnsi="Arial" w:cs="Arial"/>
        </w:rPr>
      </w:pPr>
      <w:r w:rsidRPr="00BC513A">
        <w:rPr>
          <w:rFonts w:ascii="Arial" w:hAnsi="Arial" w:cs="Arial"/>
        </w:rPr>
        <w:t>Одобрената субсидия след анекси е в размер на 4 445 524,03 лв., а усвоените средства – 4 050 663, 93 лв.</w:t>
      </w:r>
    </w:p>
    <w:p w14:paraId="16085630" w14:textId="77777777" w:rsidR="00E8617E" w:rsidRPr="00BC513A" w:rsidRDefault="00E8617E" w:rsidP="00E8617E">
      <w:pPr>
        <w:ind w:firstLine="708"/>
        <w:jc w:val="both"/>
        <w:rPr>
          <w:rFonts w:ascii="Arial" w:hAnsi="Arial" w:cs="Arial"/>
        </w:rPr>
      </w:pPr>
      <w:r w:rsidRPr="00BC513A">
        <w:rPr>
          <w:rFonts w:ascii="Arial" w:hAnsi="Arial" w:cs="Arial"/>
          <w:b/>
        </w:rPr>
        <w:t>По мярка 321</w:t>
      </w:r>
      <w:r w:rsidRPr="00BC513A">
        <w:rPr>
          <w:rFonts w:ascii="Arial" w:hAnsi="Arial" w:cs="Arial"/>
        </w:rPr>
        <w:t xml:space="preserve"> „Основни услуги за населението и икономиката в селските райони“ проекти са изпълнили следните заинтересовани страни, представители на публичен и нестопански сектор със средна субсидия на проект 99 466,43 лв.:</w:t>
      </w:r>
    </w:p>
    <w:p w14:paraId="58DF222A"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Общини (публичен сектор) – 45 бр.</w:t>
      </w:r>
    </w:p>
    <w:p w14:paraId="032E7DFA"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ЮЛНЦ (нестопански сектор) – 12 бр.</w:t>
      </w:r>
    </w:p>
    <w:p w14:paraId="29A395B2"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Читалища (нестопански сектор) – 18 бр.</w:t>
      </w:r>
    </w:p>
    <w:p w14:paraId="03B29826" w14:textId="77777777" w:rsidR="00E8617E" w:rsidRPr="00BC513A" w:rsidRDefault="00E8617E" w:rsidP="00E8617E">
      <w:pPr>
        <w:spacing w:after="0" w:line="240" w:lineRule="auto"/>
        <w:jc w:val="both"/>
        <w:rPr>
          <w:rFonts w:ascii="Arial" w:hAnsi="Arial" w:cs="Arial"/>
        </w:rPr>
      </w:pPr>
    </w:p>
    <w:p w14:paraId="7583A30C" w14:textId="77777777" w:rsidR="00E8617E" w:rsidRPr="00BC513A" w:rsidRDefault="00E8617E" w:rsidP="00E8617E">
      <w:pPr>
        <w:ind w:firstLine="708"/>
        <w:jc w:val="both"/>
        <w:rPr>
          <w:rFonts w:ascii="Arial" w:hAnsi="Arial" w:cs="Arial"/>
        </w:rPr>
      </w:pPr>
      <w:r w:rsidRPr="00BC513A">
        <w:rPr>
          <w:rFonts w:ascii="Arial" w:hAnsi="Arial" w:cs="Arial"/>
        </w:rPr>
        <w:t>Одобрената субсидия след анекси е в размер на 14 528 412,10 лв., а усвоените средства – 13 098 087, 15 лв.</w:t>
      </w:r>
    </w:p>
    <w:p w14:paraId="5612FADE" w14:textId="77777777" w:rsidR="00E8617E" w:rsidRPr="00BC513A" w:rsidRDefault="00E8617E" w:rsidP="00E8617E">
      <w:pPr>
        <w:ind w:firstLine="708"/>
        <w:jc w:val="both"/>
        <w:rPr>
          <w:rFonts w:ascii="Arial" w:hAnsi="Arial" w:cs="Arial"/>
        </w:rPr>
      </w:pPr>
      <w:r w:rsidRPr="00BC513A">
        <w:rPr>
          <w:rFonts w:ascii="Arial" w:hAnsi="Arial" w:cs="Arial"/>
          <w:b/>
        </w:rPr>
        <w:t>По Мярка 322</w:t>
      </w:r>
      <w:r w:rsidRPr="00BC513A">
        <w:rPr>
          <w:rFonts w:ascii="Arial" w:hAnsi="Arial" w:cs="Arial"/>
        </w:rPr>
        <w:t xml:space="preserve"> „Обновяване и развитие на населените места“ проекти са изпълнили заинтересовани страни от публичен и нестопански сектор със средна субсидия на проект 103 502,34 лв.:</w:t>
      </w:r>
    </w:p>
    <w:p w14:paraId="312F0C10"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Общини – 48 бр. (86 %)</w:t>
      </w:r>
    </w:p>
    <w:p w14:paraId="74EE8D7D"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Читалища – 2 бр. (3%)</w:t>
      </w:r>
    </w:p>
    <w:p w14:paraId="7EB6DFC7"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Местни поделения на вероизповедания – 4 бр. (7%)</w:t>
      </w:r>
    </w:p>
    <w:p w14:paraId="48B3E0BC"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ЮЛНЦ – 2 бр. (4%)</w:t>
      </w:r>
    </w:p>
    <w:p w14:paraId="37C1677C" w14:textId="77777777" w:rsidR="00E8617E" w:rsidRPr="00BC513A" w:rsidRDefault="00E8617E" w:rsidP="00E8617E">
      <w:pPr>
        <w:ind w:firstLine="708"/>
        <w:jc w:val="both"/>
        <w:rPr>
          <w:rFonts w:ascii="Arial" w:hAnsi="Arial" w:cs="Arial"/>
        </w:rPr>
      </w:pPr>
    </w:p>
    <w:p w14:paraId="11ABDC10" w14:textId="232F109B" w:rsidR="00E8617E" w:rsidRPr="00BC513A" w:rsidRDefault="00E8617E" w:rsidP="00E8617E">
      <w:pPr>
        <w:ind w:firstLine="708"/>
        <w:jc w:val="both"/>
        <w:rPr>
          <w:rFonts w:ascii="Arial" w:hAnsi="Arial" w:cs="Arial"/>
        </w:rPr>
      </w:pPr>
      <w:r w:rsidRPr="00BC513A">
        <w:rPr>
          <w:rFonts w:ascii="Arial" w:hAnsi="Arial" w:cs="Arial"/>
        </w:rPr>
        <w:t>Одобрената субсидия след анекси е в размер на 13</w:t>
      </w:r>
      <w:r w:rsidR="00F3155A">
        <w:rPr>
          <w:rFonts w:ascii="Arial" w:hAnsi="Arial" w:cs="Arial"/>
        </w:rPr>
        <w:t> </w:t>
      </w:r>
      <w:r w:rsidRPr="00BC513A">
        <w:rPr>
          <w:rFonts w:ascii="Arial" w:hAnsi="Arial" w:cs="Arial"/>
        </w:rPr>
        <w:t>383</w:t>
      </w:r>
      <w:r w:rsidR="00F3155A" w:rsidRPr="00BC513A">
        <w:rPr>
          <w:rFonts w:cs="Arial"/>
          <w:sz w:val="20"/>
          <w:szCs w:val="20"/>
          <w:lang w:eastAsia="bg-BG"/>
        </w:rPr>
        <w:t> </w:t>
      </w:r>
      <w:r w:rsidRPr="00BC513A">
        <w:rPr>
          <w:rFonts w:ascii="Arial" w:hAnsi="Arial" w:cs="Arial"/>
        </w:rPr>
        <w:t>264,82 лв., а усвоените средства – 12 468 826, 69 лв.</w:t>
      </w:r>
    </w:p>
    <w:p w14:paraId="09260764" w14:textId="77777777" w:rsidR="00E8617E" w:rsidRPr="00BC513A" w:rsidRDefault="00E8617E" w:rsidP="00E8617E">
      <w:pPr>
        <w:ind w:firstLine="708"/>
        <w:jc w:val="both"/>
        <w:rPr>
          <w:rFonts w:ascii="Arial" w:hAnsi="Arial" w:cs="Arial"/>
        </w:rPr>
      </w:pPr>
      <w:r w:rsidRPr="00BC513A">
        <w:rPr>
          <w:rFonts w:ascii="Arial" w:hAnsi="Arial" w:cs="Arial"/>
          <w:b/>
        </w:rPr>
        <w:t>По мярка 323</w:t>
      </w:r>
      <w:r w:rsidRPr="00BC513A">
        <w:rPr>
          <w:rFonts w:ascii="Arial" w:hAnsi="Arial" w:cs="Arial"/>
        </w:rPr>
        <w:t xml:space="preserve"> „Опазване и подобряване на селското наследство“ проекти са изпълнили следните заинтересовани страни, представители на публичен, стопански и нестопански сектор със средна субсидия на проект 26 974,60 лв.:</w:t>
      </w:r>
    </w:p>
    <w:p w14:paraId="12F635F0"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Общини (публичен сектор) – 16 бр.</w:t>
      </w:r>
    </w:p>
    <w:p w14:paraId="0A7FEAEB"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Читалища (нестопански сектор) – 37 бр.</w:t>
      </w:r>
    </w:p>
    <w:p w14:paraId="6863EBB9"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ЮЛНЦ (нестопански сектор) – 21 бр.</w:t>
      </w:r>
    </w:p>
    <w:p w14:paraId="5C56F471"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Физическо лице – земеделски производител (стопански сектор) – 1 бр.</w:t>
      </w:r>
    </w:p>
    <w:p w14:paraId="0EEC83E5" w14:textId="77777777" w:rsidR="00E8617E" w:rsidRPr="00BC513A" w:rsidRDefault="00E8617E" w:rsidP="00E8617E">
      <w:pPr>
        <w:spacing w:after="0" w:line="240" w:lineRule="auto"/>
        <w:jc w:val="both"/>
        <w:rPr>
          <w:rFonts w:ascii="Arial" w:hAnsi="Arial" w:cs="Arial"/>
        </w:rPr>
      </w:pPr>
    </w:p>
    <w:p w14:paraId="228CB0CD" w14:textId="0BB7EF46" w:rsidR="00E8617E" w:rsidRPr="00BC513A" w:rsidRDefault="00E8617E" w:rsidP="00E8617E">
      <w:pPr>
        <w:ind w:firstLine="708"/>
        <w:jc w:val="both"/>
        <w:rPr>
          <w:rFonts w:ascii="Arial" w:hAnsi="Arial" w:cs="Arial"/>
        </w:rPr>
      </w:pPr>
      <w:r w:rsidRPr="00BC513A">
        <w:rPr>
          <w:rFonts w:ascii="Arial" w:hAnsi="Arial" w:cs="Arial"/>
        </w:rPr>
        <w:t>Одобрената субсидия след анекси е в размер на 2</w:t>
      </w:r>
      <w:r w:rsidR="00F3155A">
        <w:rPr>
          <w:rFonts w:ascii="Arial" w:hAnsi="Arial" w:cs="Arial"/>
        </w:rPr>
        <w:t> </w:t>
      </w:r>
      <w:r w:rsidRPr="00BC513A">
        <w:rPr>
          <w:rFonts w:ascii="Arial" w:hAnsi="Arial" w:cs="Arial"/>
        </w:rPr>
        <w:t>567</w:t>
      </w:r>
      <w:r w:rsidR="00F3155A" w:rsidRPr="00BC513A">
        <w:rPr>
          <w:rFonts w:cs="Arial"/>
          <w:sz w:val="20"/>
          <w:szCs w:val="20"/>
          <w:lang w:eastAsia="bg-BG"/>
        </w:rPr>
        <w:t> </w:t>
      </w:r>
      <w:r w:rsidRPr="00BC513A">
        <w:rPr>
          <w:rFonts w:ascii="Arial" w:hAnsi="Arial" w:cs="Arial"/>
        </w:rPr>
        <w:t>567,59 лв., а усвоените средства – 2 481 925, 02 лв.</w:t>
      </w:r>
    </w:p>
    <w:p w14:paraId="0A675C54" w14:textId="77777777" w:rsidR="00E8617E" w:rsidRPr="00BC513A" w:rsidRDefault="00E8617E" w:rsidP="00E8617E">
      <w:pPr>
        <w:ind w:firstLine="708"/>
        <w:jc w:val="both"/>
        <w:rPr>
          <w:rFonts w:ascii="Arial" w:hAnsi="Arial" w:cs="Arial"/>
        </w:rPr>
      </w:pPr>
      <w:r w:rsidRPr="00BC513A">
        <w:rPr>
          <w:rFonts w:ascii="Arial" w:hAnsi="Arial" w:cs="Arial"/>
          <w:b/>
        </w:rPr>
        <w:t>По мярка 331</w:t>
      </w:r>
      <w:r w:rsidRPr="00BC513A">
        <w:rPr>
          <w:rFonts w:ascii="Arial" w:hAnsi="Arial" w:cs="Arial"/>
        </w:rPr>
        <w:t xml:space="preserve"> „Професионално обучение и предоставяне информация за икономическите субекти, които работят в областите обхванати от ос 3“ проекти са изпълнили следните заинтересовани страни, представители на нестопански и стопански  сектор със средна субсидия на проект 435,47 лв.:</w:t>
      </w:r>
    </w:p>
    <w:p w14:paraId="3A4DAA4E"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юридически лица с нестопанска цел, регистрирани по Закона за юридическите лица с нестопанска цел – 6 бр. (55 %)</w:t>
      </w:r>
    </w:p>
    <w:p w14:paraId="508B371F"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читалища – 3 бр. (27%)</w:t>
      </w:r>
    </w:p>
    <w:p w14:paraId="07CE705D"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ЕООД – 2 бр. (18%).</w:t>
      </w:r>
    </w:p>
    <w:p w14:paraId="15B959EF" w14:textId="77777777" w:rsidR="00E8617E" w:rsidRPr="00BC513A" w:rsidRDefault="00E8617E" w:rsidP="00E8617E">
      <w:pPr>
        <w:spacing w:after="0" w:line="240" w:lineRule="auto"/>
        <w:ind w:left="720"/>
        <w:jc w:val="both"/>
        <w:rPr>
          <w:rFonts w:ascii="Arial" w:hAnsi="Arial" w:cs="Arial"/>
        </w:rPr>
      </w:pPr>
    </w:p>
    <w:p w14:paraId="02BBD781" w14:textId="27628F81" w:rsidR="00E8617E" w:rsidRPr="00BC513A" w:rsidRDefault="00E8617E" w:rsidP="0049526E">
      <w:pPr>
        <w:spacing w:after="80"/>
        <w:ind w:firstLine="709"/>
        <w:jc w:val="both"/>
        <w:rPr>
          <w:rFonts w:ascii="Arial" w:hAnsi="Arial" w:cs="Arial"/>
        </w:rPr>
      </w:pPr>
      <w:r w:rsidRPr="00BC513A">
        <w:rPr>
          <w:rFonts w:ascii="Arial" w:hAnsi="Arial" w:cs="Arial"/>
        </w:rPr>
        <w:t>Одобрената субсидия след анекси е в размер на 153</w:t>
      </w:r>
      <w:r w:rsidR="00F3155A" w:rsidRPr="00BC513A">
        <w:rPr>
          <w:rFonts w:cs="Arial"/>
          <w:sz w:val="20"/>
          <w:szCs w:val="20"/>
          <w:lang w:eastAsia="bg-BG"/>
        </w:rPr>
        <w:t> </w:t>
      </w:r>
      <w:r w:rsidRPr="00BC513A">
        <w:rPr>
          <w:rFonts w:ascii="Arial" w:hAnsi="Arial" w:cs="Arial"/>
        </w:rPr>
        <w:t>721,56 лв., а усвоените средства –144</w:t>
      </w:r>
      <w:r w:rsidR="00F3155A" w:rsidRPr="00BC513A">
        <w:rPr>
          <w:rFonts w:cs="Arial"/>
          <w:sz w:val="20"/>
          <w:szCs w:val="20"/>
          <w:lang w:eastAsia="bg-BG"/>
        </w:rPr>
        <w:t> </w:t>
      </w:r>
      <w:r w:rsidRPr="00BC513A">
        <w:rPr>
          <w:rFonts w:ascii="Arial" w:hAnsi="Arial" w:cs="Arial"/>
        </w:rPr>
        <w:t xml:space="preserve">358,49 лв. </w:t>
      </w:r>
    </w:p>
    <w:p w14:paraId="7B4733BF" w14:textId="77777777" w:rsidR="00E8617E" w:rsidRPr="00BC513A" w:rsidRDefault="00E8617E" w:rsidP="00E8617E">
      <w:pPr>
        <w:ind w:firstLine="708"/>
        <w:jc w:val="both"/>
        <w:rPr>
          <w:rFonts w:ascii="Arial" w:hAnsi="Arial" w:cs="Arial"/>
        </w:rPr>
      </w:pPr>
      <w:r w:rsidRPr="00BC513A">
        <w:rPr>
          <w:rFonts w:ascii="Arial" w:hAnsi="Arial" w:cs="Arial"/>
          <w:b/>
        </w:rPr>
        <w:t>По мярка 7.1</w:t>
      </w:r>
      <w:r w:rsidRPr="00BC513A">
        <w:rPr>
          <w:rFonts w:ascii="Arial" w:hAnsi="Arial" w:cs="Arial"/>
        </w:rPr>
        <w:t xml:space="preserve"> „Напред към наследството – територията Исперих ни обединява“ проекти са изпълнили следните заинтересовани страни, представители на нестопански сектор със средна субсидия на проект 353,40 лв.:</w:t>
      </w:r>
    </w:p>
    <w:p w14:paraId="759915F4" w14:textId="77777777" w:rsidR="00E8617E" w:rsidRPr="00BC513A" w:rsidRDefault="00E8617E" w:rsidP="00E8617E">
      <w:pPr>
        <w:pStyle w:val="ListParagraph"/>
        <w:numPr>
          <w:ilvl w:val="0"/>
          <w:numId w:val="35"/>
        </w:numPr>
        <w:spacing w:after="0" w:line="240" w:lineRule="auto"/>
        <w:jc w:val="both"/>
        <w:rPr>
          <w:rFonts w:ascii="Arial" w:hAnsi="Arial" w:cs="Arial"/>
        </w:rPr>
      </w:pPr>
      <w:r w:rsidRPr="00BC513A">
        <w:rPr>
          <w:rFonts w:ascii="Arial" w:hAnsi="Arial" w:cs="Arial"/>
        </w:rPr>
        <w:t>С дял от 64 % са юридически лица с нестопанска цел, регистрирани по Закона за юридическите лица с нестопанска цел – 7 бр., читалищата са 4 бр. или 36 %.</w:t>
      </w:r>
    </w:p>
    <w:p w14:paraId="0CEC343E" w14:textId="77777777" w:rsidR="00E8617E" w:rsidRPr="0049526E" w:rsidRDefault="00E8617E" w:rsidP="00E8617E">
      <w:pPr>
        <w:spacing w:after="0" w:line="240" w:lineRule="auto"/>
        <w:jc w:val="both"/>
        <w:rPr>
          <w:rFonts w:ascii="Arial" w:hAnsi="Arial" w:cs="Arial"/>
          <w:sz w:val="12"/>
        </w:rPr>
      </w:pPr>
    </w:p>
    <w:p w14:paraId="5DA1A5C0" w14:textId="77777777" w:rsidR="00F3155A" w:rsidRDefault="00E8617E" w:rsidP="0049526E">
      <w:pPr>
        <w:spacing w:after="0"/>
        <w:ind w:firstLine="709"/>
        <w:jc w:val="both"/>
        <w:rPr>
          <w:rFonts w:ascii="Arial" w:hAnsi="Arial" w:cs="Arial"/>
        </w:rPr>
      </w:pPr>
      <w:r w:rsidRPr="00BC513A">
        <w:rPr>
          <w:rFonts w:ascii="Arial" w:hAnsi="Arial" w:cs="Arial"/>
        </w:rPr>
        <w:t>Одобрената субсидия след анекси е в размер на 137 624,28 лв., а усвоените средства са в размер на 130 573,26 лв.</w:t>
      </w:r>
    </w:p>
    <w:p w14:paraId="5C9CF913" w14:textId="1D608F9E" w:rsidR="00E8617E" w:rsidRPr="00BC513A" w:rsidRDefault="00E8617E" w:rsidP="00E8617E">
      <w:pPr>
        <w:ind w:firstLine="708"/>
        <w:jc w:val="both"/>
        <w:rPr>
          <w:rFonts w:ascii="Arial" w:hAnsi="Arial" w:cs="Arial"/>
        </w:rPr>
        <w:sectPr w:rsidR="00E8617E" w:rsidRPr="00BC513A" w:rsidSect="00922731">
          <w:pgSz w:w="11906" w:h="16838" w:code="9"/>
          <w:pgMar w:top="1417" w:right="1417" w:bottom="1417" w:left="1418" w:header="708" w:footer="708" w:gutter="0"/>
          <w:cols w:space="708"/>
          <w:docGrid w:linePitch="360"/>
        </w:sectPr>
      </w:pPr>
      <w:r w:rsidRPr="00BC513A">
        <w:rPr>
          <w:rFonts w:ascii="Arial" w:hAnsi="Arial" w:cs="Arial"/>
        </w:rPr>
        <w:t xml:space="preserve"> </w:t>
      </w:r>
    </w:p>
    <w:p w14:paraId="0D0C43D8" w14:textId="77777777" w:rsidR="00E8617E" w:rsidRPr="00BC513A" w:rsidRDefault="00E8617E" w:rsidP="00E8617E">
      <w:pPr>
        <w:pStyle w:val="Heading2"/>
        <w:numPr>
          <w:ilvl w:val="0"/>
          <w:numId w:val="0"/>
        </w:numPr>
      </w:pPr>
      <w:bookmarkStart w:id="218" w:name="_Toc504136171"/>
      <w:r w:rsidRPr="00BC513A">
        <w:t>Приложение 4. Карти във връзка с оценка на въздействието на мерките по ос 2</w:t>
      </w:r>
      <w:bookmarkEnd w:id="218"/>
    </w:p>
    <w:p w14:paraId="2A936533" w14:textId="77777777" w:rsidR="00E8617E" w:rsidRPr="00BC513A" w:rsidRDefault="00E8617E" w:rsidP="00E8617E">
      <w:pPr>
        <w:rPr>
          <w:rFonts w:ascii="Arial" w:hAnsi="Arial" w:cs="Arial"/>
          <w:color w:val="0070C0"/>
        </w:rPr>
      </w:pPr>
      <w:r w:rsidRPr="00BC513A">
        <w:rPr>
          <w:rFonts w:ascii="Arial" w:hAnsi="Arial" w:cs="Arial"/>
          <w:color w:val="0070C0"/>
        </w:rPr>
        <w:t>Поддържане на местообитанията (ВПС4) по мярка 214 - подпомагана площ с местообитания на ливаден блатар и на зимуващи гъски</w:t>
      </w:r>
    </w:p>
    <w:p w14:paraId="739E240D" w14:textId="77777777" w:rsidR="00E8617E" w:rsidRPr="00BC513A" w:rsidRDefault="00E8617E" w:rsidP="00E8617E">
      <w:pPr>
        <w:pStyle w:val="DefaultText"/>
        <w:jc w:val="center"/>
        <w:rPr>
          <w:sz w:val="20"/>
          <w:szCs w:val="20"/>
          <w:lang w:val="bg-BG"/>
        </w:rPr>
      </w:pPr>
      <w:r w:rsidRPr="00BC513A">
        <w:rPr>
          <w:noProof/>
          <w:sz w:val="20"/>
          <w:szCs w:val="20"/>
          <w:lang w:val="en-US" w:eastAsia="en-US"/>
        </w:rPr>
        <w:drawing>
          <wp:inline distT="0" distB="0" distL="0" distR="0" wp14:anchorId="4E5F7AD1" wp14:editId="3FF790CC">
            <wp:extent cx="6689243" cy="4723466"/>
            <wp:effectExtent l="0" t="0" r="0" b="1270"/>
            <wp:docPr id="5160" name="Picture 5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rcus_map.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6717845" cy="4743662"/>
                    </a:xfrm>
                    <a:prstGeom prst="rect">
                      <a:avLst/>
                    </a:prstGeom>
                  </pic:spPr>
                </pic:pic>
              </a:graphicData>
            </a:graphic>
          </wp:inline>
        </w:drawing>
      </w:r>
    </w:p>
    <w:p w14:paraId="14D9EE5A" w14:textId="77777777" w:rsidR="00E8617E" w:rsidRDefault="00E8617E" w:rsidP="00E8617E">
      <w:pPr>
        <w:pStyle w:val="DefaultText"/>
        <w:spacing w:after="120" w:line="300" w:lineRule="atLeast"/>
        <w:ind w:firstLine="709"/>
        <w:rPr>
          <w:szCs w:val="18"/>
          <w:lang w:val="bg-BG"/>
        </w:rPr>
      </w:pPr>
      <w:r w:rsidRPr="00CB65F3">
        <w:rPr>
          <w:szCs w:val="18"/>
          <w:lang w:val="bg-BG"/>
        </w:rPr>
        <w:t>Източник: ДФЗ.</w:t>
      </w:r>
    </w:p>
    <w:p w14:paraId="0799AE44" w14:textId="77777777" w:rsidR="00CB65F3" w:rsidRPr="00BC513A" w:rsidRDefault="00CB65F3" w:rsidP="00CB65F3">
      <w:pPr>
        <w:rPr>
          <w:rFonts w:ascii="Arial" w:hAnsi="Arial" w:cs="Arial"/>
          <w:color w:val="0070C0"/>
        </w:rPr>
      </w:pPr>
      <w:r w:rsidRPr="00BC513A">
        <w:rPr>
          <w:rFonts w:ascii="Arial" w:hAnsi="Arial" w:cs="Arial"/>
          <w:color w:val="0070C0"/>
        </w:rPr>
        <w:t>Поддържане на местообитанията (ВПС4) по мярка 214 - подпомагана площ с местообитания на зимуващи гъски</w:t>
      </w:r>
    </w:p>
    <w:p w14:paraId="2DBF29B1" w14:textId="77777777" w:rsidR="00E8617E" w:rsidRPr="00BC513A" w:rsidRDefault="00E8617E" w:rsidP="00E8617E">
      <w:pPr>
        <w:pStyle w:val="DefaultText"/>
        <w:jc w:val="center"/>
        <w:rPr>
          <w:sz w:val="20"/>
          <w:szCs w:val="20"/>
          <w:lang w:val="bg-BG"/>
        </w:rPr>
      </w:pPr>
      <w:r w:rsidRPr="00BC513A">
        <w:rPr>
          <w:noProof/>
          <w:sz w:val="20"/>
          <w:szCs w:val="20"/>
          <w:lang w:val="en-US" w:eastAsia="en-US"/>
        </w:rPr>
        <w:drawing>
          <wp:inline distT="0" distB="0" distL="0" distR="0" wp14:anchorId="177AB907" wp14:editId="5A190FFE">
            <wp:extent cx="7655480" cy="5037364"/>
            <wp:effectExtent l="0" t="0" r="3175" b="0"/>
            <wp:docPr id="5164" name="Picture 5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ese_map.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7686101" cy="5057513"/>
                    </a:xfrm>
                    <a:prstGeom prst="rect">
                      <a:avLst/>
                    </a:prstGeom>
                  </pic:spPr>
                </pic:pic>
              </a:graphicData>
            </a:graphic>
          </wp:inline>
        </w:drawing>
      </w:r>
    </w:p>
    <w:p w14:paraId="19AF2D9D" w14:textId="77777777" w:rsidR="00CB65F3" w:rsidRDefault="00E8617E" w:rsidP="00E8617E">
      <w:pPr>
        <w:pStyle w:val="DefaultText"/>
        <w:spacing w:after="120" w:line="300" w:lineRule="atLeast"/>
        <w:ind w:firstLine="709"/>
        <w:rPr>
          <w:szCs w:val="18"/>
          <w:lang w:val="bg-BG"/>
        </w:rPr>
      </w:pPr>
      <w:r w:rsidRPr="00CB65F3">
        <w:rPr>
          <w:szCs w:val="18"/>
          <w:lang w:val="bg-BG"/>
        </w:rPr>
        <w:t>Източник: ДФЗ.</w:t>
      </w:r>
      <w:r w:rsidR="00CB65F3">
        <w:rPr>
          <w:szCs w:val="18"/>
          <w:lang w:val="bg-BG"/>
        </w:rPr>
        <w:br w:type="page"/>
      </w:r>
    </w:p>
    <w:p w14:paraId="7075B05B" w14:textId="77777777" w:rsidR="00E8617E" w:rsidRPr="00BC513A" w:rsidRDefault="00E8617E" w:rsidP="00E8617E">
      <w:pPr>
        <w:rPr>
          <w:rFonts w:ascii="Arial" w:hAnsi="Arial" w:cs="Arial"/>
          <w:color w:val="0070C0"/>
        </w:rPr>
      </w:pPr>
      <w:r w:rsidRPr="00BC513A">
        <w:rPr>
          <w:rFonts w:ascii="Arial" w:hAnsi="Arial" w:cs="Arial"/>
          <w:color w:val="0070C0"/>
        </w:rPr>
        <w:t xml:space="preserve">Подкрепата по мерки 211 и  212, и мярка 213 площи в населени места, определени като нитратно уязвими зони </w:t>
      </w:r>
    </w:p>
    <w:p w14:paraId="6DFB8878" w14:textId="77777777" w:rsidR="00E8617E" w:rsidRPr="00BC513A" w:rsidRDefault="00E8617E" w:rsidP="00E8617E">
      <w:pPr>
        <w:pStyle w:val="DefaultText"/>
        <w:jc w:val="center"/>
        <w:rPr>
          <w:sz w:val="20"/>
          <w:szCs w:val="20"/>
          <w:lang w:val="bg-BG"/>
        </w:rPr>
      </w:pPr>
      <w:r w:rsidRPr="00BC513A">
        <w:rPr>
          <w:noProof/>
          <w:sz w:val="20"/>
          <w:szCs w:val="20"/>
          <w:lang w:val="en-US" w:eastAsia="en-US"/>
        </w:rPr>
        <w:drawing>
          <wp:inline distT="0" distB="0" distL="0" distR="0" wp14:anchorId="0E8763EF" wp14:editId="7B11876F">
            <wp:extent cx="6212031" cy="4776107"/>
            <wp:effectExtent l="0" t="0" r="0" b="5715"/>
            <wp:docPr id="5169" name="Picture 5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01.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6270524" cy="4821079"/>
                    </a:xfrm>
                    <a:prstGeom prst="rect">
                      <a:avLst/>
                    </a:prstGeom>
                  </pic:spPr>
                </pic:pic>
              </a:graphicData>
            </a:graphic>
          </wp:inline>
        </w:drawing>
      </w:r>
    </w:p>
    <w:p w14:paraId="65AF55B5" w14:textId="77777777" w:rsidR="00E8617E" w:rsidRPr="00CB65F3" w:rsidRDefault="00E8617E" w:rsidP="00CB65F3">
      <w:pPr>
        <w:pStyle w:val="DefaultText"/>
        <w:spacing w:after="120" w:line="300" w:lineRule="atLeast"/>
        <w:ind w:firstLine="709"/>
        <w:rPr>
          <w:szCs w:val="18"/>
          <w:lang w:val="bg-BG"/>
        </w:rPr>
      </w:pPr>
      <w:r w:rsidRPr="00CB65F3">
        <w:rPr>
          <w:szCs w:val="18"/>
          <w:lang w:val="bg-BG"/>
        </w:rPr>
        <w:t>Източник: ДФЗ.</w:t>
      </w:r>
      <w:r w:rsidR="00CB65F3" w:rsidRPr="00CB65F3">
        <w:rPr>
          <w:szCs w:val="18"/>
          <w:lang w:val="bg-BG"/>
        </w:rPr>
        <w:t xml:space="preserve"> </w:t>
      </w:r>
      <w:r w:rsidR="00922731" w:rsidRPr="00CB65F3">
        <w:rPr>
          <w:szCs w:val="18"/>
          <w:lang w:val="bg-BG"/>
        </w:rPr>
        <w:t xml:space="preserve">НУЗ – нитратно уязвими зони; </w:t>
      </w:r>
      <w:r w:rsidR="00CB65F3" w:rsidRPr="00CB65F3">
        <w:rPr>
          <w:szCs w:val="18"/>
          <w:lang w:val="bg-BG"/>
        </w:rPr>
        <w:t>Приложение 3 „</w:t>
      </w:r>
      <w:r w:rsidR="00CB65F3" w:rsidRPr="00CB65F3">
        <w:rPr>
          <w:lang w:val="bg-BG"/>
        </w:rPr>
        <w:t>Списък на общини в нитратно уязвимите зони“</w:t>
      </w:r>
      <w:r w:rsidR="00CB65F3" w:rsidRPr="00CB65F3">
        <w:rPr>
          <w:szCs w:val="18"/>
          <w:lang w:val="bg-BG"/>
        </w:rPr>
        <w:t xml:space="preserve"> и Приложение 4 „</w:t>
      </w:r>
      <w:r w:rsidR="00CB65F3" w:rsidRPr="00CB65F3">
        <w:rPr>
          <w:lang w:val="bg-BG"/>
        </w:rPr>
        <w:t>Списък на общини в предишни уязвими зони, за които ще се прилага преходна помощ“</w:t>
      </w:r>
      <w:r w:rsidR="00CB65F3" w:rsidRPr="00CB65F3">
        <w:rPr>
          <w:szCs w:val="18"/>
          <w:lang w:val="bg-BG"/>
        </w:rPr>
        <w:t xml:space="preserve"> към НАРЕДБА № 2 от 21.02.2011 г. за специалните изисквания за участие в одобрените схеми за национални доплащания и за специфично подпомагане;</w:t>
      </w:r>
    </w:p>
    <w:p w14:paraId="1277F32C" w14:textId="77777777" w:rsidR="00E8617E" w:rsidRPr="00BC513A" w:rsidRDefault="00E8617E" w:rsidP="00E8617E">
      <w:pPr>
        <w:pStyle w:val="DefaultText"/>
        <w:rPr>
          <w:sz w:val="20"/>
          <w:szCs w:val="20"/>
          <w:lang w:val="bg-BG"/>
        </w:rPr>
      </w:pPr>
    </w:p>
    <w:p w14:paraId="1EB8A079" w14:textId="77777777" w:rsidR="009E1251" w:rsidRDefault="00E8617E" w:rsidP="009E1251">
      <w:pPr>
        <w:pStyle w:val="DefaultText"/>
        <w:jc w:val="center"/>
        <w:rPr>
          <w:sz w:val="20"/>
          <w:szCs w:val="20"/>
          <w:lang w:val="bg-BG"/>
        </w:rPr>
      </w:pPr>
      <w:r w:rsidRPr="00BC513A">
        <w:rPr>
          <w:noProof/>
          <w:sz w:val="20"/>
          <w:szCs w:val="20"/>
          <w:lang w:val="en-US" w:eastAsia="en-US"/>
        </w:rPr>
        <w:drawing>
          <wp:inline distT="0" distB="0" distL="0" distR="0" wp14:anchorId="6A85B5B1" wp14:editId="2698379F">
            <wp:extent cx="7323831" cy="4874078"/>
            <wp:effectExtent l="0" t="0" r="0" b="3175"/>
            <wp:docPr id="5170" name="Picture 5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02.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7352786" cy="4893348"/>
                    </a:xfrm>
                    <a:prstGeom prst="rect">
                      <a:avLst/>
                    </a:prstGeom>
                  </pic:spPr>
                </pic:pic>
              </a:graphicData>
            </a:graphic>
          </wp:inline>
        </w:drawing>
      </w:r>
    </w:p>
    <w:p w14:paraId="2BF1125B" w14:textId="77777777" w:rsidR="00922731" w:rsidRDefault="00CB65F3" w:rsidP="00CB65F3">
      <w:pPr>
        <w:pStyle w:val="DefaultText"/>
        <w:spacing w:after="120" w:line="300" w:lineRule="atLeast"/>
        <w:ind w:firstLine="709"/>
        <w:rPr>
          <w:szCs w:val="18"/>
          <w:lang w:val="bg-BG"/>
        </w:rPr>
      </w:pPr>
      <w:r w:rsidRPr="00CB65F3">
        <w:rPr>
          <w:szCs w:val="18"/>
          <w:lang w:val="bg-BG"/>
        </w:rPr>
        <w:t>Източник: ДФЗ. НУЗ – нитратно уязвими зони; Приложение 3 „</w:t>
      </w:r>
      <w:r w:rsidRPr="00CB65F3">
        <w:rPr>
          <w:lang w:val="bg-BG"/>
        </w:rPr>
        <w:t>Списък на общини в нитратно уязвимите зони“</w:t>
      </w:r>
      <w:r w:rsidRPr="00CB65F3">
        <w:rPr>
          <w:szCs w:val="18"/>
          <w:lang w:val="bg-BG"/>
        </w:rPr>
        <w:t xml:space="preserve"> и Приложение 4 „</w:t>
      </w:r>
      <w:r w:rsidRPr="00CB65F3">
        <w:rPr>
          <w:lang w:val="bg-BG"/>
        </w:rPr>
        <w:t>Списък на общини в предишни уязвими зони, за които ще се прилага преходна помощ“</w:t>
      </w:r>
      <w:r w:rsidRPr="00CB65F3">
        <w:rPr>
          <w:szCs w:val="18"/>
          <w:lang w:val="bg-BG"/>
        </w:rPr>
        <w:t xml:space="preserve"> към НАРЕДБА № 2 от 21.02.2011 г. за специалните изисквания за участие в одобрените схеми за национални доплащания и за специфично подпомагане</w:t>
      </w:r>
      <w:r w:rsidR="00320533" w:rsidRPr="0049526E">
        <w:rPr>
          <w:szCs w:val="18"/>
          <w:lang w:val="bg-BG"/>
        </w:rPr>
        <w:t xml:space="preserve">; ЗЗ – защитена зона </w:t>
      </w:r>
    </w:p>
    <w:p w14:paraId="6EE9CF0D" w14:textId="77777777" w:rsidR="00FB7B3F" w:rsidRPr="0049526E" w:rsidRDefault="00FB7B3F" w:rsidP="00CB65F3">
      <w:pPr>
        <w:pStyle w:val="DefaultText"/>
        <w:spacing w:after="120" w:line="300" w:lineRule="atLeast"/>
        <w:ind w:firstLine="709"/>
        <w:rPr>
          <w:szCs w:val="18"/>
          <w:lang w:val="bg-BG"/>
        </w:rPr>
        <w:sectPr w:rsidR="00FB7B3F" w:rsidRPr="0049526E" w:rsidSect="003D01D8">
          <w:footerReference w:type="default" r:id="rId77"/>
          <w:pgSz w:w="16838" w:h="11906" w:orient="landscape"/>
          <w:pgMar w:top="1417" w:right="1417" w:bottom="1417" w:left="1417" w:header="708" w:footer="708" w:gutter="0"/>
          <w:cols w:space="708"/>
          <w:docGrid w:linePitch="360"/>
        </w:sectPr>
      </w:pPr>
    </w:p>
    <w:p w14:paraId="5A5A0313" w14:textId="77777777" w:rsidR="00922731" w:rsidRPr="00BC513A" w:rsidRDefault="00922731" w:rsidP="00922731">
      <w:pPr>
        <w:pStyle w:val="Heading2"/>
        <w:numPr>
          <w:ilvl w:val="0"/>
          <w:numId w:val="0"/>
        </w:numPr>
      </w:pPr>
      <w:bookmarkStart w:id="219" w:name="_Toc504136172"/>
      <w:r w:rsidRPr="00BC513A">
        <w:t xml:space="preserve">Приложение </w:t>
      </w:r>
      <w:r>
        <w:t>5</w:t>
      </w:r>
      <w:r w:rsidRPr="00BC513A">
        <w:t xml:space="preserve">. </w:t>
      </w:r>
      <w:r>
        <w:t>Онлайн проучване сред общини, бенефициенти по ПРСР 2007-2013</w:t>
      </w:r>
      <w:bookmarkEnd w:id="219"/>
    </w:p>
    <w:tbl>
      <w:tblPr>
        <w:tblStyle w:val="TableGrid"/>
        <w:tblW w:w="9639" w:type="dxa"/>
        <w:jc w:val="center"/>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none" w:sz="0" w:space="0" w:color="auto"/>
        </w:tblBorders>
        <w:tblLook w:val="01E0" w:firstRow="1" w:lastRow="1" w:firstColumn="1" w:lastColumn="1" w:noHBand="0" w:noVBand="0"/>
      </w:tblPr>
      <w:tblGrid>
        <w:gridCol w:w="2835"/>
        <w:gridCol w:w="1701"/>
        <w:gridCol w:w="567"/>
        <w:gridCol w:w="2835"/>
        <w:gridCol w:w="1701"/>
      </w:tblGrid>
      <w:tr w:rsidR="00922731" w:rsidRPr="00D0327A" w14:paraId="6ACB550B" w14:textId="77777777" w:rsidTr="00922731">
        <w:trPr>
          <w:jc w:val="center"/>
        </w:trPr>
        <w:tc>
          <w:tcPr>
            <w:tcW w:w="2835" w:type="dxa"/>
          </w:tcPr>
          <w:p w14:paraId="4A34DDD2" w14:textId="77777777" w:rsidR="00922731" w:rsidRPr="0049526E" w:rsidRDefault="00922731" w:rsidP="00922731">
            <w:pPr>
              <w:pStyle w:val="Filter"/>
              <w:framePr w:wrap="around"/>
              <w:rPr>
                <w:noProof/>
                <w:lang w:val="bg-BG"/>
              </w:rPr>
            </w:pPr>
            <w:r>
              <w:rPr>
                <w:noProof/>
                <w:lang w:val="bg-BG"/>
              </w:rPr>
              <w:t>Статус</w:t>
            </w:r>
            <w:r w:rsidRPr="0049526E">
              <w:rPr>
                <w:noProof/>
                <w:lang w:val="bg-BG"/>
              </w:rPr>
              <w:t>:</w:t>
            </w:r>
          </w:p>
          <w:p w14:paraId="692EAD09" w14:textId="77777777" w:rsidR="00922731" w:rsidRPr="0049526E" w:rsidRDefault="00922731" w:rsidP="00922731">
            <w:pPr>
              <w:pStyle w:val="Filter"/>
              <w:framePr w:wrap="around"/>
              <w:rPr>
                <w:noProof/>
                <w:lang w:val="bg-BG"/>
              </w:rPr>
            </w:pPr>
            <w:r>
              <w:rPr>
                <w:noProof/>
                <w:lang w:val="bg-BG"/>
              </w:rPr>
              <w:t>Начална дата</w:t>
            </w:r>
            <w:r w:rsidRPr="0049526E">
              <w:rPr>
                <w:noProof/>
                <w:lang w:val="bg-BG"/>
              </w:rPr>
              <w:t>:</w:t>
            </w:r>
          </w:p>
          <w:p w14:paraId="3EB113C0" w14:textId="77777777" w:rsidR="00922731" w:rsidRPr="0049526E" w:rsidRDefault="00922731" w:rsidP="00922731">
            <w:pPr>
              <w:pStyle w:val="Filter"/>
              <w:framePr w:wrap="around"/>
              <w:rPr>
                <w:noProof/>
                <w:lang w:val="bg-BG"/>
              </w:rPr>
            </w:pPr>
            <w:r>
              <w:rPr>
                <w:noProof/>
                <w:lang w:val="bg-BG"/>
              </w:rPr>
              <w:t>Крайна дата</w:t>
            </w:r>
            <w:r w:rsidRPr="0049526E">
              <w:rPr>
                <w:noProof/>
                <w:lang w:val="bg-BG"/>
              </w:rPr>
              <w:t>:</w:t>
            </w:r>
          </w:p>
          <w:p w14:paraId="2A4F92A7" w14:textId="77777777" w:rsidR="00922731" w:rsidRPr="00D0327A" w:rsidRDefault="00922731" w:rsidP="00922731">
            <w:pPr>
              <w:pStyle w:val="Filter"/>
              <w:framePr w:wrap="around"/>
              <w:rPr>
                <w:noProof/>
                <w:lang w:val="en-GB"/>
              </w:rPr>
            </w:pPr>
            <w:r>
              <w:rPr>
                <w:noProof/>
                <w:lang w:val="bg-BG"/>
              </w:rPr>
              <w:t>Период</w:t>
            </w:r>
            <w:r w:rsidRPr="00D0327A">
              <w:rPr>
                <w:noProof/>
                <w:lang w:val="en-GB"/>
              </w:rPr>
              <w:t>:</w:t>
            </w:r>
          </w:p>
          <w:p w14:paraId="49B9EBB5" w14:textId="77777777" w:rsidR="00922731" w:rsidRPr="00D0327A" w:rsidRDefault="00922731" w:rsidP="00922731">
            <w:pPr>
              <w:pStyle w:val="Filter"/>
              <w:framePr w:wrap="around"/>
              <w:rPr>
                <w:noProof/>
                <w:lang w:val="en-GB"/>
              </w:rPr>
            </w:pPr>
            <w:r>
              <w:rPr>
                <w:noProof/>
                <w:lang w:val="bg-BG"/>
              </w:rPr>
              <w:t>Въпроси</w:t>
            </w:r>
            <w:r w:rsidRPr="00D0327A">
              <w:rPr>
                <w:noProof/>
                <w:lang w:val="en-GB"/>
              </w:rPr>
              <w:t>:</w:t>
            </w:r>
          </w:p>
          <w:p w14:paraId="7C944CD3" w14:textId="77777777" w:rsidR="00922731" w:rsidRPr="00D0327A" w:rsidRDefault="00922731" w:rsidP="00922731">
            <w:pPr>
              <w:pStyle w:val="Filter"/>
              <w:framePr w:wrap="around"/>
              <w:rPr>
                <w:noProof/>
                <w:lang w:val="en-GB"/>
              </w:rPr>
            </w:pPr>
            <w:r>
              <w:rPr>
                <w:noProof/>
                <w:lang w:val="bg-BG"/>
              </w:rPr>
              <w:t>Език</w:t>
            </w:r>
            <w:r w:rsidRPr="00D0327A">
              <w:rPr>
                <w:noProof/>
                <w:lang w:val="en-GB"/>
              </w:rPr>
              <w:t>:</w:t>
            </w:r>
          </w:p>
          <w:p w14:paraId="60544531" w14:textId="77777777" w:rsidR="00922731" w:rsidRPr="00D0327A" w:rsidRDefault="00922731" w:rsidP="00922731">
            <w:pPr>
              <w:pStyle w:val="Filter"/>
              <w:framePr w:wrap="around"/>
              <w:rPr>
                <w:noProof/>
                <w:lang w:val="en-GB"/>
              </w:rPr>
            </w:pPr>
          </w:p>
        </w:tc>
        <w:tc>
          <w:tcPr>
            <w:tcW w:w="1701" w:type="dxa"/>
          </w:tcPr>
          <w:p w14:paraId="1BEF6376" w14:textId="77777777" w:rsidR="00922731" w:rsidRPr="00922731" w:rsidRDefault="00922731" w:rsidP="00922731">
            <w:pPr>
              <w:pStyle w:val="Filter"/>
              <w:framePr w:wrap="around"/>
              <w:rPr>
                <w:noProof/>
                <w:lang w:val="bg-BG"/>
              </w:rPr>
            </w:pPr>
            <w:r>
              <w:rPr>
                <w:noProof/>
                <w:lang w:val="bg-BG"/>
              </w:rPr>
              <w:t>Приключено</w:t>
            </w:r>
          </w:p>
          <w:p w14:paraId="49C7669B" w14:textId="77777777" w:rsidR="00922731" w:rsidRPr="00D0327A" w:rsidRDefault="00922731" w:rsidP="00922731">
            <w:pPr>
              <w:pStyle w:val="Filter"/>
              <w:framePr w:wrap="around"/>
              <w:rPr>
                <w:noProof/>
                <w:lang w:val="en-GB"/>
              </w:rPr>
            </w:pPr>
            <w:r w:rsidRPr="00D0327A">
              <w:rPr>
                <w:noProof/>
                <w:lang w:val="en-GB"/>
              </w:rPr>
              <w:t>15-11-2017</w:t>
            </w:r>
          </w:p>
          <w:p w14:paraId="01B81FC1" w14:textId="77777777" w:rsidR="00922731" w:rsidRPr="00D0327A" w:rsidRDefault="00922731" w:rsidP="00922731">
            <w:pPr>
              <w:pStyle w:val="Filter"/>
              <w:framePr w:wrap="around"/>
              <w:rPr>
                <w:noProof/>
                <w:lang w:val="en-GB"/>
              </w:rPr>
            </w:pPr>
            <w:r w:rsidRPr="00D0327A">
              <w:rPr>
                <w:noProof/>
                <w:lang w:val="en-GB"/>
              </w:rPr>
              <w:t>08-12-2017</w:t>
            </w:r>
          </w:p>
          <w:p w14:paraId="0FA6E19E" w14:textId="77777777" w:rsidR="00922731" w:rsidRPr="00D0327A" w:rsidRDefault="00922731" w:rsidP="00922731">
            <w:pPr>
              <w:pStyle w:val="Filter"/>
              <w:framePr w:wrap="around"/>
              <w:rPr>
                <w:noProof/>
                <w:lang w:val="en-GB"/>
              </w:rPr>
            </w:pPr>
            <w:r>
              <w:rPr>
                <w:noProof/>
                <w:lang w:val="en-GB"/>
              </w:rPr>
              <w:t>24 дни</w:t>
            </w:r>
          </w:p>
          <w:p w14:paraId="102A2E37" w14:textId="77777777" w:rsidR="00922731" w:rsidRPr="00D0327A" w:rsidRDefault="00922731" w:rsidP="00922731">
            <w:pPr>
              <w:pStyle w:val="Filter"/>
              <w:framePr w:wrap="around"/>
              <w:rPr>
                <w:noProof/>
                <w:lang w:val="en-GB"/>
              </w:rPr>
            </w:pPr>
            <w:r w:rsidRPr="00D0327A">
              <w:rPr>
                <w:noProof/>
                <w:lang w:val="en-GB"/>
              </w:rPr>
              <w:t>20</w:t>
            </w:r>
          </w:p>
          <w:p w14:paraId="3D3BA6DB" w14:textId="77777777" w:rsidR="00922731" w:rsidRPr="00922731" w:rsidRDefault="00922731" w:rsidP="00922731">
            <w:pPr>
              <w:pStyle w:val="Filter"/>
              <w:framePr w:wrap="around"/>
              <w:rPr>
                <w:noProof/>
                <w:lang w:val="bg-BG"/>
              </w:rPr>
            </w:pPr>
            <w:r>
              <w:rPr>
                <w:noProof/>
                <w:lang w:val="bg-BG"/>
              </w:rPr>
              <w:t>Български</w:t>
            </w:r>
          </w:p>
          <w:p w14:paraId="347D0636" w14:textId="77777777" w:rsidR="00922731" w:rsidRPr="00D0327A" w:rsidRDefault="00922731" w:rsidP="00922731">
            <w:pPr>
              <w:pStyle w:val="Filter"/>
              <w:framePr w:wrap="around"/>
              <w:rPr>
                <w:noProof/>
                <w:lang w:val="en-GB"/>
              </w:rPr>
            </w:pPr>
          </w:p>
        </w:tc>
        <w:tc>
          <w:tcPr>
            <w:tcW w:w="567" w:type="dxa"/>
          </w:tcPr>
          <w:p w14:paraId="3B64199D" w14:textId="77777777" w:rsidR="00922731" w:rsidRPr="00D0327A" w:rsidRDefault="00922731" w:rsidP="00922731">
            <w:pPr>
              <w:pStyle w:val="Filter"/>
              <w:framePr w:wrap="around"/>
              <w:rPr>
                <w:noProof/>
                <w:lang w:val="en-GB"/>
              </w:rPr>
            </w:pPr>
          </w:p>
        </w:tc>
        <w:tc>
          <w:tcPr>
            <w:tcW w:w="2835" w:type="dxa"/>
          </w:tcPr>
          <w:p w14:paraId="0A376744" w14:textId="77777777" w:rsidR="00922731" w:rsidRPr="00D0327A" w:rsidRDefault="00922731" w:rsidP="00922731">
            <w:pPr>
              <w:pStyle w:val="Filter"/>
              <w:framePr w:wrap="around"/>
              <w:rPr>
                <w:noProof/>
                <w:lang w:val="en-GB"/>
              </w:rPr>
            </w:pPr>
            <w:r>
              <w:rPr>
                <w:noProof/>
                <w:lang w:val="bg-BG"/>
              </w:rPr>
              <w:t>респонденти</w:t>
            </w:r>
            <w:r w:rsidRPr="00D0327A">
              <w:rPr>
                <w:noProof/>
                <w:lang w:val="en-GB"/>
              </w:rPr>
              <w:t>:</w:t>
            </w:r>
          </w:p>
          <w:p w14:paraId="0A815D45" w14:textId="77777777" w:rsidR="00922731" w:rsidRPr="00D0327A" w:rsidRDefault="00922731" w:rsidP="00922731">
            <w:pPr>
              <w:pStyle w:val="Filter"/>
              <w:framePr w:wrap="around"/>
              <w:rPr>
                <w:noProof/>
                <w:lang w:val="en-GB"/>
              </w:rPr>
            </w:pPr>
            <w:r>
              <w:rPr>
                <w:noProof/>
                <w:lang w:val="bg-BG"/>
              </w:rPr>
              <w:t>Отхвърлени</w:t>
            </w:r>
            <w:r w:rsidRPr="00D0327A">
              <w:rPr>
                <w:noProof/>
                <w:lang w:val="en-GB"/>
              </w:rPr>
              <w:t>:</w:t>
            </w:r>
          </w:p>
          <w:p w14:paraId="1FE3D112" w14:textId="77777777" w:rsidR="00922731" w:rsidRPr="00D0327A" w:rsidRDefault="00922731" w:rsidP="00922731">
            <w:pPr>
              <w:pStyle w:val="Filter"/>
              <w:framePr w:wrap="around"/>
              <w:rPr>
                <w:noProof/>
                <w:lang w:val="en-GB"/>
              </w:rPr>
            </w:pPr>
            <w:r>
              <w:rPr>
                <w:noProof/>
                <w:lang w:val="bg-BG"/>
              </w:rPr>
              <w:t>Отказали</w:t>
            </w:r>
            <w:r w:rsidRPr="00D0327A">
              <w:rPr>
                <w:noProof/>
                <w:lang w:val="en-GB"/>
              </w:rPr>
              <w:t>:</w:t>
            </w:r>
          </w:p>
          <w:p w14:paraId="01D87171" w14:textId="77777777" w:rsidR="00922731" w:rsidRPr="00D0327A" w:rsidRDefault="00922731" w:rsidP="00922731">
            <w:pPr>
              <w:pStyle w:val="Filter"/>
              <w:framePr w:wrap="around"/>
              <w:rPr>
                <w:noProof/>
                <w:lang w:val="en-GB"/>
              </w:rPr>
            </w:pPr>
            <w:r>
              <w:rPr>
                <w:noProof/>
                <w:lang w:val="bg-BG"/>
              </w:rPr>
              <w:t>Частично отговорили</w:t>
            </w:r>
            <w:r w:rsidRPr="00D0327A">
              <w:rPr>
                <w:noProof/>
                <w:lang w:val="en-GB"/>
              </w:rPr>
              <w:t>:</w:t>
            </w:r>
          </w:p>
          <w:p w14:paraId="67849D9E" w14:textId="77777777" w:rsidR="00922731" w:rsidRPr="00D0327A" w:rsidRDefault="00922731" w:rsidP="00922731">
            <w:pPr>
              <w:pStyle w:val="Filter"/>
              <w:framePr w:wrap="around"/>
              <w:rPr>
                <w:noProof/>
                <w:lang w:val="en-GB"/>
              </w:rPr>
            </w:pPr>
            <w:r>
              <w:rPr>
                <w:noProof/>
                <w:lang w:val="bg-BG"/>
              </w:rPr>
              <w:t>Прегледали</w:t>
            </w:r>
            <w:r w:rsidRPr="00D0327A">
              <w:rPr>
                <w:noProof/>
                <w:lang w:val="en-GB"/>
              </w:rPr>
              <w:t>:</w:t>
            </w:r>
          </w:p>
          <w:p w14:paraId="659F9EA0" w14:textId="77777777" w:rsidR="00922731" w:rsidRPr="00D0327A" w:rsidRDefault="00922731" w:rsidP="00922731">
            <w:pPr>
              <w:pStyle w:val="Filter"/>
              <w:framePr w:wrap="around"/>
              <w:rPr>
                <w:noProof/>
                <w:lang w:val="en-GB"/>
              </w:rPr>
            </w:pPr>
            <w:r>
              <w:rPr>
                <w:noProof/>
                <w:lang w:val="bg-BG"/>
              </w:rPr>
              <w:t>Напълно отговорили</w:t>
            </w:r>
            <w:r w:rsidRPr="00D0327A">
              <w:rPr>
                <w:noProof/>
                <w:lang w:val="en-GB"/>
              </w:rPr>
              <w:t>:</w:t>
            </w:r>
          </w:p>
          <w:p w14:paraId="37954401" w14:textId="77777777" w:rsidR="00922731" w:rsidRPr="00D0327A" w:rsidRDefault="00922731" w:rsidP="00922731">
            <w:pPr>
              <w:pStyle w:val="Filter"/>
              <w:framePr w:wrap="around"/>
              <w:rPr>
                <w:noProof/>
                <w:lang w:val="en-GB"/>
              </w:rPr>
            </w:pPr>
            <w:r>
              <w:rPr>
                <w:noProof/>
                <w:lang w:val="bg-BG"/>
              </w:rPr>
              <w:t>Общ брой на респондентите</w:t>
            </w:r>
            <w:r w:rsidRPr="00D0327A">
              <w:rPr>
                <w:noProof/>
                <w:lang w:val="en-GB"/>
              </w:rPr>
              <w:t>:</w:t>
            </w:r>
          </w:p>
          <w:p w14:paraId="745EB912" w14:textId="77777777" w:rsidR="00922731" w:rsidRPr="00D0327A" w:rsidRDefault="00922731" w:rsidP="00922731">
            <w:pPr>
              <w:pStyle w:val="Filter"/>
              <w:framePr w:wrap="around"/>
              <w:rPr>
                <w:noProof/>
                <w:lang w:val="en-GB"/>
              </w:rPr>
            </w:pPr>
          </w:p>
        </w:tc>
        <w:tc>
          <w:tcPr>
            <w:tcW w:w="1701" w:type="dxa"/>
          </w:tcPr>
          <w:p w14:paraId="70EED827" w14:textId="77777777" w:rsidR="00922731" w:rsidRPr="00D0327A" w:rsidRDefault="00922731" w:rsidP="00922731">
            <w:pPr>
              <w:pStyle w:val="Filter"/>
              <w:framePr w:wrap="around"/>
              <w:rPr>
                <w:noProof/>
                <w:lang w:val="en-GB"/>
              </w:rPr>
            </w:pPr>
            <w:r w:rsidRPr="00D0327A">
              <w:rPr>
                <w:noProof/>
                <w:lang w:val="en-GB"/>
              </w:rPr>
              <w:t>2</w:t>
            </w:r>
            <w:r>
              <w:rPr>
                <w:noProof/>
                <w:lang w:val="en-GB"/>
              </w:rPr>
              <w:t>31</w:t>
            </w:r>
          </w:p>
          <w:p w14:paraId="15E750AC" w14:textId="77777777" w:rsidR="00922731" w:rsidRPr="00D0327A" w:rsidRDefault="00922731" w:rsidP="00922731">
            <w:pPr>
              <w:pStyle w:val="Filter"/>
              <w:framePr w:wrap="around"/>
              <w:rPr>
                <w:noProof/>
                <w:lang w:val="en-GB"/>
              </w:rPr>
            </w:pPr>
            <w:r w:rsidRPr="00D0327A">
              <w:rPr>
                <w:noProof/>
                <w:lang w:val="en-GB"/>
              </w:rPr>
              <w:t>6 (2,</w:t>
            </w:r>
            <w:r>
              <w:rPr>
                <w:noProof/>
                <w:lang w:val="bg-BG"/>
              </w:rPr>
              <w:t>6</w:t>
            </w:r>
            <w:r w:rsidRPr="00D0327A">
              <w:rPr>
                <w:noProof/>
                <w:lang w:val="en-GB"/>
              </w:rPr>
              <w:t>%)</w:t>
            </w:r>
          </w:p>
          <w:p w14:paraId="660E9DBD" w14:textId="77777777" w:rsidR="00922731" w:rsidRPr="00D0327A" w:rsidRDefault="00922731" w:rsidP="00922731">
            <w:pPr>
              <w:pStyle w:val="Filter"/>
              <w:framePr w:wrap="around"/>
              <w:rPr>
                <w:noProof/>
                <w:lang w:val="en-GB"/>
              </w:rPr>
            </w:pPr>
            <w:r w:rsidRPr="00D0327A">
              <w:rPr>
                <w:noProof/>
                <w:lang w:val="en-GB"/>
              </w:rPr>
              <w:t>0 (0%)</w:t>
            </w:r>
          </w:p>
          <w:p w14:paraId="59C651E5" w14:textId="77777777" w:rsidR="00922731" w:rsidRPr="00D0327A" w:rsidRDefault="00922731" w:rsidP="00922731">
            <w:pPr>
              <w:pStyle w:val="Filter"/>
              <w:framePr w:wrap="around"/>
              <w:rPr>
                <w:noProof/>
                <w:lang w:val="en-GB"/>
              </w:rPr>
            </w:pPr>
            <w:r w:rsidRPr="00D0327A">
              <w:rPr>
                <w:noProof/>
                <w:lang w:val="en-GB"/>
              </w:rPr>
              <w:t>6 (12,8%)</w:t>
            </w:r>
          </w:p>
          <w:p w14:paraId="2840B029" w14:textId="77777777" w:rsidR="00922731" w:rsidRPr="00D0327A" w:rsidRDefault="00922731" w:rsidP="00922731">
            <w:pPr>
              <w:pStyle w:val="Filter"/>
              <w:framePr w:wrap="around"/>
              <w:rPr>
                <w:noProof/>
                <w:lang w:val="en-GB"/>
              </w:rPr>
            </w:pPr>
            <w:r w:rsidRPr="00D0327A">
              <w:rPr>
                <w:noProof/>
                <w:lang w:val="en-GB"/>
              </w:rPr>
              <w:t>0 (0%)</w:t>
            </w:r>
          </w:p>
          <w:p w14:paraId="54B2D2EF" w14:textId="77777777" w:rsidR="00922731" w:rsidRPr="00D0327A" w:rsidRDefault="00922731" w:rsidP="00922731">
            <w:pPr>
              <w:pStyle w:val="Filter"/>
              <w:framePr w:wrap="around"/>
              <w:rPr>
                <w:noProof/>
                <w:lang w:val="en-GB"/>
              </w:rPr>
            </w:pPr>
            <w:r w:rsidRPr="00D0327A">
              <w:rPr>
                <w:noProof/>
                <w:lang w:val="en-GB"/>
              </w:rPr>
              <w:t>41 (87,2%)</w:t>
            </w:r>
          </w:p>
          <w:p w14:paraId="6B5303F2" w14:textId="77777777" w:rsidR="00922731" w:rsidRPr="00D0327A" w:rsidRDefault="00922731" w:rsidP="00725F2E">
            <w:pPr>
              <w:pStyle w:val="Filter"/>
              <w:framePr w:wrap="around"/>
              <w:rPr>
                <w:noProof/>
                <w:lang w:val="en-GB"/>
              </w:rPr>
            </w:pPr>
            <w:r w:rsidRPr="00D0327A">
              <w:rPr>
                <w:noProof/>
                <w:lang w:val="en-GB"/>
              </w:rPr>
              <w:t>47 (</w:t>
            </w:r>
            <w:r>
              <w:rPr>
                <w:noProof/>
                <w:lang w:val="bg-BG"/>
              </w:rPr>
              <w:t>20</w:t>
            </w:r>
            <w:r w:rsidRPr="00D0327A">
              <w:rPr>
                <w:noProof/>
                <w:lang w:val="en-GB"/>
              </w:rPr>
              <w:t>,</w:t>
            </w:r>
            <w:r>
              <w:rPr>
                <w:noProof/>
                <w:lang w:val="bg-BG"/>
              </w:rPr>
              <w:t>3</w:t>
            </w:r>
            <w:r w:rsidRPr="00D0327A">
              <w:rPr>
                <w:noProof/>
                <w:lang w:val="en-GB"/>
              </w:rPr>
              <w:t>%)</w:t>
            </w:r>
          </w:p>
        </w:tc>
      </w:tr>
    </w:tbl>
    <w:p w14:paraId="158A8A33" w14:textId="77777777" w:rsidR="00922731" w:rsidRPr="0049526E" w:rsidRDefault="00922731" w:rsidP="0049526E">
      <w:pPr>
        <w:pStyle w:val="QuestionString"/>
      </w:pPr>
      <w:r w:rsidRPr="0049526E">
        <w:t>1. Моля, отбележете размера на Вашата община:</w:t>
      </w:r>
    </w:p>
    <w:p w14:paraId="7EE47C19" w14:textId="77777777" w:rsidR="00922731" w:rsidRPr="00D0327A" w:rsidRDefault="00922731" w:rsidP="00922731">
      <w:pPr>
        <w:pStyle w:val="ExplanationParagrah"/>
      </w:pPr>
      <w:r w:rsidRPr="00D0327A">
        <w:t>(Each respondent could choose only ONE of the following responses.)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3FEF95B7"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1E79C66B"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40BDA9BF" w14:textId="77777777" w:rsidR="00922731" w:rsidRPr="00323417" w:rsidRDefault="00323417" w:rsidP="00922731">
            <w:pPr>
              <w:pStyle w:val="ChartTableHeader"/>
              <w:keepNext/>
              <w:jc w:val="right"/>
              <w:rPr>
                <w:lang w:val="bg-BG"/>
              </w:rPr>
            </w:pPr>
            <w:r>
              <w:rPr>
                <w:lang w:val="bg-BG"/>
              </w:rPr>
              <w:t>Общо</w:t>
            </w:r>
          </w:p>
        </w:tc>
        <w:tc>
          <w:tcPr>
            <w:tcW w:w="3175" w:type="dxa"/>
            <w:tcBorders>
              <w:top w:val="nil"/>
              <w:left w:val="nil"/>
              <w:bottom w:val="nil"/>
              <w:right w:val="nil"/>
            </w:tcBorders>
            <w:shd w:val="clear" w:color="auto" w:fill="E0E0E0"/>
            <w:vAlign w:val="center"/>
          </w:tcPr>
          <w:p w14:paraId="4725EB0A" w14:textId="77777777" w:rsidR="00922731" w:rsidRPr="00323417" w:rsidRDefault="00922731" w:rsidP="00323417">
            <w:pPr>
              <w:pStyle w:val="ChartTableHeader"/>
              <w:keepNext/>
              <w:rPr>
                <w:lang w:val="bg-BG"/>
              </w:rPr>
            </w:pPr>
            <w:r w:rsidRPr="00D0327A">
              <w:rPr>
                <w:lang w:val="en-GB"/>
              </w:rPr>
              <w:t xml:space="preserve">% </w:t>
            </w:r>
            <w:r w:rsidR="00323417">
              <w:rPr>
                <w:lang w:val="bg-BG"/>
              </w:rPr>
              <w:t>от отговорилите</w:t>
            </w:r>
          </w:p>
        </w:tc>
        <w:tc>
          <w:tcPr>
            <w:tcW w:w="907" w:type="dxa"/>
            <w:tcBorders>
              <w:top w:val="nil"/>
              <w:left w:val="nil"/>
              <w:bottom w:val="nil"/>
              <w:right w:val="nil"/>
            </w:tcBorders>
            <w:shd w:val="clear" w:color="auto" w:fill="E0E0E0"/>
            <w:vAlign w:val="center"/>
          </w:tcPr>
          <w:p w14:paraId="14B6B2A1"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6A17D003"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54F7567" w14:textId="77777777" w:rsidR="00922731" w:rsidRPr="00D0327A" w:rsidRDefault="00922731" w:rsidP="00922731">
            <w:pPr>
              <w:pStyle w:val="ParagrahAnswer"/>
              <w:keepNext/>
              <w:rPr>
                <w:lang w:val="en-GB"/>
              </w:rPr>
            </w:pPr>
            <w:r w:rsidRPr="00D0327A">
              <w:rPr>
                <w:lang w:val="en-GB"/>
              </w:rPr>
              <w:t>Под 500 души</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3457EE26" w14:textId="77777777" w:rsidR="00922731" w:rsidRPr="00D0327A" w:rsidRDefault="00922731" w:rsidP="00922731">
            <w:pPr>
              <w:pStyle w:val="ParagrahAnswer"/>
              <w:keepNext/>
              <w:jc w:val="right"/>
              <w:rPr>
                <w:lang w:val="en-GB"/>
              </w:rPr>
            </w:pPr>
            <w:r w:rsidRPr="00D0327A">
              <w:rPr>
                <w:lang w:val="en-GB"/>
              </w:rPr>
              <w:t>1</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2C57F9B4" w14:textId="77777777" w:rsidR="00922731" w:rsidRPr="00D0327A" w:rsidRDefault="00922731" w:rsidP="00922731">
            <w:pPr>
              <w:pStyle w:val="ParagrahAnswer"/>
              <w:keepNext/>
              <w:rPr>
                <w:lang w:val="en-GB"/>
              </w:rPr>
            </w:pPr>
            <w:r w:rsidRPr="00D0327A">
              <mc:AlternateContent>
                <mc:Choice Requires="wps">
                  <w:drawing>
                    <wp:inline distT="0" distB="0" distL="0" distR="0" wp14:anchorId="389A8CF4" wp14:editId="1C1E3D57">
                      <wp:extent cx="36766" cy="171450"/>
                      <wp:effectExtent l="0" t="0" r="1905" b="0"/>
                      <wp:docPr id="5171" name="Rounded Rectangle 5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766"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1C4067B6" id="Rounded Rectangle 5171" o:spid="_x0000_s1026" style="width:2.9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46133652" w14:textId="77777777" w:rsidR="00922731" w:rsidRPr="00D0327A" w:rsidRDefault="00922731" w:rsidP="00922731">
            <w:pPr>
              <w:pStyle w:val="ParagrahAnswer"/>
              <w:keepNext/>
              <w:jc w:val="right"/>
              <w:rPr>
                <w:lang w:val="en-GB"/>
              </w:rPr>
            </w:pPr>
            <w:r w:rsidRPr="00D0327A">
              <w:rPr>
                <w:lang w:val="en-GB"/>
              </w:rPr>
              <w:t>2</w:t>
            </w:r>
          </w:p>
        </w:tc>
      </w:tr>
      <w:tr w:rsidR="00922731" w:rsidRPr="00D0327A" w14:paraId="50ACA117"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2E93F655" w14:textId="77777777" w:rsidR="00922731" w:rsidRPr="00D0327A" w:rsidRDefault="00922731" w:rsidP="00922731">
            <w:pPr>
              <w:pStyle w:val="ParagrahAnswer"/>
              <w:keepNext/>
              <w:rPr>
                <w:lang w:val="en-GB"/>
              </w:rPr>
            </w:pPr>
            <w:r w:rsidRPr="00D0327A">
              <w:rPr>
                <w:lang w:val="en-GB"/>
              </w:rPr>
              <w:t>От 500 до 1000 души</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7D5DDC4A" w14:textId="77777777" w:rsidR="00922731" w:rsidRPr="00D0327A" w:rsidRDefault="00922731" w:rsidP="00922731">
            <w:pPr>
              <w:pStyle w:val="ParagrahAnswer"/>
              <w:keepNext/>
              <w:jc w:val="right"/>
              <w:rPr>
                <w:lang w:val="en-GB"/>
              </w:rPr>
            </w:pPr>
            <w:r w:rsidRPr="00D0327A">
              <w:rPr>
                <w:lang w:val="en-GB"/>
              </w:rPr>
              <w:t>0</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14D8F2AE" w14:textId="77777777" w:rsidR="00922731" w:rsidRPr="00D0327A" w:rsidRDefault="00922731" w:rsidP="00922731">
            <w:pPr>
              <w:pStyle w:val="ParagrahAnswer"/>
              <w:keepNext/>
              <w:rPr>
                <w:lang w:val="en-GB"/>
              </w:rPr>
            </w:pPr>
            <w:r w:rsidRPr="00D0327A">
              <mc:AlternateContent>
                <mc:Choice Requires="wps">
                  <w:drawing>
                    <wp:inline distT="0" distB="0" distL="0" distR="0" wp14:anchorId="4F23FE22" wp14:editId="32D93BCA">
                      <wp:extent cx="1838325" cy="171450"/>
                      <wp:effectExtent l="0" t="0" r="9525" b="0"/>
                      <wp:docPr id="5172" name="Rounded Rectangle 5172"/>
                      <wp:cNvGraphicFramePr/>
                      <a:graphic xmlns:a="http://schemas.openxmlformats.org/drawingml/2006/main">
                        <a:graphicData uri="http://schemas.microsoft.com/office/word/2010/wordprocessingShape">
                          <wps:wsp>
                            <wps:cNvSpPr/>
                            <wps:spPr>
                              <a:xfrm>
                                <a:off x="0" y="0"/>
                                <a:ext cx="1838325" cy="171450"/>
                              </a:xfrm>
                              <a:prstGeom prst="roundRect">
                                <a:avLst/>
                              </a:prstGeom>
                              <a:solidFill>
                                <a:srgbClr val="FFFFF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2B7BFEA1" id="Rounded Rectangle 5172" o:spid="_x0000_s1026" style="width:144.7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" stroked="f" strokeweight="1pt">
                      <v:stroke joinstyle="miter"/>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61E2B0FC" w14:textId="77777777" w:rsidR="00922731" w:rsidRPr="00D0327A" w:rsidRDefault="00922731" w:rsidP="00922731">
            <w:pPr>
              <w:pStyle w:val="ParagrahAnswer"/>
              <w:keepNext/>
              <w:jc w:val="right"/>
              <w:rPr>
                <w:lang w:val="en-GB"/>
              </w:rPr>
            </w:pPr>
            <w:r w:rsidRPr="00D0327A">
              <w:rPr>
                <w:lang w:val="en-GB"/>
              </w:rPr>
              <w:t>0</w:t>
            </w:r>
          </w:p>
        </w:tc>
      </w:tr>
      <w:tr w:rsidR="00922731" w:rsidRPr="00D0327A" w14:paraId="62484A0D"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09ACDEA1" w14:textId="77777777" w:rsidR="00922731" w:rsidRPr="00D0327A" w:rsidRDefault="00922731" w:rsidP="00922731">
            <w:pPr>
              <w:pStyle w:val="ParagrahAnswer"/>
              <w:keepNext/>
              <w:rPr>
                <w:lang w:val="en-GB"/>
              </w:rPr>
            </w:pPr>
            <w:r w:rsidRPr="00D0327A">
              <w:rPr>
                <w:lang w:val="en-GB"/>
              </w:rPr>
              <w:t>От 1000 до 2000 души</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47E56FD9" w14:textId="77777777" w:rsidR="00922731" w:rsidRPr="00D0327A" w:rsidRDefault="00922731" w:rsidP="00922731">
            <w:pPr>
              <w:pStyle w:val="ParagrahAnswer"/>
              <w:keepNext/>
              <w:jc w:val="right"/>
              <w:rPr>
                <w:lang w:val="en-GB"/>
              </w:rPr>
            </w:pPr>
            <w:r w:rsidRPr="00D0327A">
              <w:rPr>
                <w:lang w:val="en-GB"/>
              </w:rPr>
              <w:t>3</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4800BBDC" w14:textId="77777777" w:rsidR="00922731" w:rsidRPr="00D0327A" w:rsidRDefault="00922731" w:rsidP="00922731">
            <w:pPr>
              <w:pStyle w:val="ParagrahAnswer"/>
              <w:keepNext/>
              <w:rPr>
                <w:lang w:val="en-GB"/>
              </w:rPr>
            </w:pPr>
            <w:r w:rsidRPr="00D0327A">
              <mc:AlternateContent>
                <mc:Choice Requires="wps">
                  <w:drawing>
                    <wp:inline distT="0" distB="0" distL="0" distR="0" wp14:anchorId="52D77B44" wp14:editId="2FA0B31A">
                      <wp:extent cx="110299" cy="171450"/>
                      <wp:effectExtent l="0" t="0" r="4445" b="0"/>
                      <wp:docPr id="5173" name="Rounded Rectangle 51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0299"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5EFD38B1" id="Rounded Rectangle 5173" o:spid="_x0000_s1026" style="width:8.7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5F33D391" w14:textId="77777777" w:rsidR="00922731" w:rsidRPr="00D0327A" w:rsidRDefault="00922731" w:rsidP="00922731">
            <w:pPr>
              <w:pStyle w:val="ParagrahAnswer"/>
              <w:keepNext/>
              <w:jc w:val="right"/>
              <w:rPr>
                <w:lang w:val="en-GB"/>
              </w:rPr>
            </w:pPr>
            <w:r w:rsidRPr="00D0327A">
              <w:rPr>
                <w:lang w:val="en-GB"/>
              </w:rPr>
              <w:t>6</w:t>
            </w:r>
          </w:p>
        </w:tc>
      </w:tr>
      <w:tr w:rsidR="00922731" w:rsidRPr="00D0327A" w14:paraId="3B26B222"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0A4DAF8A" w14:textId="77777777" w:rsidR="00922731" w:rsidRPr="00D0327A" w:rsidRDefault="00922731" w:rsidP="00922731">
            <w:pPr>
              <w:pStyle w:val="ParagrahAnswer"/>
              <w:keepNext/>
              <w:rPr>
                <w:lang w:val="en-GB"/>
              </w:rPr>
            </w:pPr>
            <w:r w:rsidRPr="00D0327A">
              <w:rPr>
                <w:lang w:val="en-GB"/>
              </w:rPr>
              <w:t>От 2000 до 5000 души</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6153FA4D" w14:textId="77777777" w:rsidR="00922731" w:rsidRPr="00D0327A" w:rsidRDefault="00922731" w:rsidP="00922731">
            <w:pPr>
              <w:pStyle w:val="ParagrahAnswer"/>
              <w:keepNext/>
              <w:jc w:val="right"/>
              <w:rPr>
                <w:lang w:val="en-GB"/>
              </w:rPr>
            </w:pPr>
            <w:r w:rsidRPr="00D0327A">
              <w:rPr>
                <w:lang w:val="en-GB"/>
              </w:rPr>
              <w:t>7</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6DB64C83" w14:textId="77777777" w:rsidR="00922731" w:rsidRPr="00D0327A" w:rsidRDefault="00922731" w:rsidP="00922731">
            <w:pPr>
              <w:pStyle w:val="ParagrahAnswer"/>
              <w:keepNext/>
              <w:rPr>
                <w:lang w:val="en-GB"/>
              </w:rPr>
            </w:pPr>
            <w:r w:rsidRPr="00D0327A">
              <mc:AlternateContent>
                <mc:Choice Requires="wps">
                  <w:drawing>
                    <wp:inline distT="0" distB="0" distL="0" distR="0" wp14:anchorId="4303A64A" wp14:editId="7E0F4769">
                      <wp:extent cx="275749" cy="171450"/>
                      <wp:effectExtent l="0" t="0" r="0" b="0"/>
                      <wp:docPr id="5174" name="Rounded Rectangle 5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5749"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1C3133AF" id="Rounded Rectangle 5174" o:spid="_x0000_s1026" style="width:21.7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05A2370D" w14:textId="77777777" w:rsidR="00922731" w:rsidRPr="00D0327A" w:rsidRDefault="00922731" w:rsidP="00922731">
            <w:pPr>
              <w:pStyle w:val="ParagrahAnswer"/>
              <w:keepNext/>
              <w:jc w:val="right"/>
              <w:rPr>
                <w:lang w:val="en-GB"/>
              </w:rPr>
            </w:pPr>
            <w:r w:rsidRPr="00D0327A">
              <w:rPr>
                <w:lang w:val="en-GB"/>
              </w:rPr>
              <w:t>15</w:t>
            </w:r>
          </w:p>
        </w:tc>
      </w:tr>
      <w:tr w:rsidR="00922731" w:rsidRPr="00D0327A" w14:paraId="6C71B613"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568C95F8" w14:textId="77777777" w:rsidR="00922731" w:rsidRPr="00D0327A" w:rsidRDefault="00922731" w:rsidP="00922731">
            <w:pPr>
              <w:pStyle w:val="ParagrahAnswer"/>
              <w:keepNext/>
              <w:rPr>
                <w:lang w:val="en-GB"/>
              </w:rPr>
            </w:pPr>
            <w:r w:rsidRPr="00D0327A">
              <w:rPr>
                <w:lang w:val="en-GB"/>
              </w:rPr>
              <w:t>над 5000 души</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6A624034" w14:textId="77777777" w:rsidR="00922731" w:rsidRPr="00D0327A" w:rsidRDefault="00922731" w:rsidP="00922731">
            <w:pPr>
              <w:pStyle w:val="ParagrahAnswer"/>
              <w:keepNext/>
              <w:jc w:val="right"/>
              <w:rPr>
                <w:lang w:val="en-GB"/>
              </w:rPr>
            </w:pPr>
            <w:r w:rsidRPr="00D0327A">
              <w:rPr>
                <w:lang w:val="en-GB"/>
              </w:rPr>
              <w:t>36</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5646076C" w14:textId="77777777" w:rsidR="00922731" w:rsidRPr="00D0327A" w:rsidRDefault="00922731" w:rsidP="00922731">
            <w:pPr>
              <w:pStyle w:val="ParagrahAnswer"/>
              <w:keepNext/>
              <w:rPr>
                <w:lang w:val="en-GB"/>
              </w:rPr>
            </w:pPr>
            <w:r w:rsidRPr="00D0327A">
              <mc:AlternateContent>
                <mc:Choice Requires="wps">
                  <w:drawing>
                    <wp:inline distT="0" distB="0" distL="0" distR="0" wp14:anchorId="2B3381E1" wp14:editId="720A5C97">
                      <wp:extent cx="1415510" cy="171450"/>
                      <wp:effectExtent l="0" t="0" r="0" b="0"/>
                      <wp:docPr id="5175" name="Rounded Rectangle 5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15510"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604C4E73" id="Rounded Rectangle 5175" o:spid="_x0000_s1026" style="width:111.4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57978FBA" w14:textId="77777777" w:rsidR="00922731" w:rsidRPr="00D0327A" w:rsidRDefault="00922731" w:rsidP="00922731">
            <w:pPr>
              <w:pStyle w:val="ParagrahAnswer"/>
              <w:keepNext/>
              <w:jc w:val="right"/>
              <w:rPr>
                <w:lang w:val="en-GB"/>
              </w:rPr>
            </w:pPr>
            <w:r w:rsidRPr="00D0327A">
              <w:rPr>
                <w:lang w:val="en-GB"/>
              </w:rPr>
              <w:t>77</w:t>
            </w:r>
          </w:p>
        </w:tc>
      </w:tr>
      <w:tr w:rsidR="00922731" w:rsidRPr="00D0327A" w14:paraId="4CE5AF79"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6162D922" w14:textId="77777777" w:rsidR="00922731" w:rsidRPr="00D0327A" w:rsidRDefault="00323417" w:rsidP="00323417">
            <w:pPr>
              <w:pStyle w:val="ChartTableFooter"/>
              <w:keepNext/>
              <w:rPr>
                <w:lang w:val="en-GB"/>
              </w:rPr>
            </w:pPr>
            <w:r>
              <w:rPr>
                <w:lang w:val="bg-BG"/>
              </w:rPr>
              <w:t>Респонденти</w:t>
            </w:r>
            <w:r w:rsidR="00922731" w:rsidRPr="00D0327A">
              <w:rPr>
                <w:lang w:val="en-GB"/>
              </w:rPr>
              <w:t>: 47</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628A88E5" w14:textId="77777777" w:rsidTr="00922731">
              <w:tc>
                <w:tcPr>
                  <w:tcW w:w="1094" w:type="pct"/>
                  <w:shd w:val="clear" w:color="auto" w:fill="F3F3F3"/>
                  <w:tcMar>
                    <w:left w:w="57" w:type="dxa"/>
                    <w:right w:w="28" w:type="dxa"/>
                  </w:tcMar>
                  <w:vAlign w:val="center"/>
                </w:tcPr>
                <w:p w14:paraId="2830CC4A"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7319EBAD"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44733FE9"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1467B56C"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69A7B9A9"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77B2A6BC"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1BB36991" w14:textId="77777777" w:rsidR="00922731" w:rsidRPr="00D0327A" w:rsidRDefault="00922731" w:rsidP="00922731">
            <w:pPr>
              <w:pStyle w:val="ChartTableFooter"/>
              <w:keepNext/>
              <w:rPr>
                <w:lang w:val="en-GB"/>
              </w:rPr>
            </w:pPr>
          </w:p>
        </w:tc>
      </w:tr>
    </w:tbl>
    <w:p w14:paraId="22899FF5" w14:textId="77777777" w:rsidR="00922731" w:rsidRDefault="00922731" w:rsidP="0049526E">
      <w:pPr>
        <w:pStyle w:val="QuestionString"/>
      </w:pPr>
    </w:p>
    <w:p w14:paraId="14CA3C2B" w14:textId="77777777" w:rsidR="00922731" w:rsidRPr="00D0327A" w:rsidRDefault="00922731" w:rsidP="0049526E">
      <w:pPr>
        <w:pStyle w:val="QuestionString"/>
      </w:pPr>
      <w:r w:rsidRPr="00D0327A">
        <w:t>2. Моля, отбележете района за планиране, където е разположена Вашата община:</w:t>
      </w:r>
    </w:p>
    <w:p w14:paraId="2D730002" w14:textId="77777777" w:rsidR="00922731" w:rsidRPr="00D0327A" w:rsidRDefault="00922731" w:rsidP="00922731">
      <w:pPr>
        <w:pStyle w:val="ExplanationParagrah"/>
      </w:pPr>
      <w:r w:rsidRPr="00D0327A">
        <w:t>(Each respondent could choose only ONE of the following responses.)</w:t>
      </w:r>
    </w:p>
    <w:tbl>
      <w:tblPr>
        <w:tblStyle w:val="TableGrid"/>
        <w:tblW w:w="9639" w:type="dxa"/>
        <w:jc w:val="center"/>
        <w:tblLook w:val="01E0" w:firstRow="1" w:lastRow="1" w:firstColumn="1" w:lastColumn="1" w:noHBand="0" w:noVBand="0"/>
      </w:tblPr>
      <w:tblGrid>
        <w:gridCol w:w="4536"/>
        <w:gridCol w:w="1021"/>
        <w:gridCol w:w="3175"/>
        <w:gridCol w:w="907"/>
      </w:tblGrid>
      <w:tr w:rsidR="00323417" w:rsidRPr="00D0327A" w14:paraId="5952677A"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2FD42405" w14:textId="77777777" w:rsidR="00323417" w:rsidRPr="00D0327A" w:rsidRDefault="00323417" w:rsidP="00323417">
            <w:pPr>
              <w:pStyle w:val="ChartTableHeader"/>
              <w:keepNext/>
              <w:rPr>
                <w:lang w:val="en-GB"/>
              </w:rPr>
            </w:pPr>
            <w:r>
              <w:rPr>
                <w:lang w:val="bg-BG"/>
              </w:rPr>
              <w:t>Отговор</w:t>
            </w:r>
          </w:p>
        </w:tc>
        <w:tc>
          <w:tcPr>
            <w:tcW w:w="1021" w:type="dxa"/>
            <w:tcBorders>
              <w:top w:val="nil"/>
              <w:left w:val="nil"/>
              <w:bottom w:val="nil"/>
              <w:right w:val="nil"/>
            </w:tcBorders>
            <w:shd w:val="clear" w:color="auto" w:fill="E0E0E0"/>
            <w:vAlign w:val="center"/>
          </w:tcPr>
          <w:p w14:paraId="78769EBE" w14:textId="77777777" w:rsidR="00323417" w:rsidRPr="00323417" w:rsidRDefault="00323417" w:rsidP="00323417">
            <w:pPr>
              <w:pStyle w:val="ChartTableHeader"/>
              <w:keepNext/>
              <w:jc w:val="right"/>
              <w:rPr>
                <w:lang w:val="bg-BG"/>
              </w:rPr>
            </w:pPr>
            <w:r>
              <w:rPr>
                <w:lang w:val="bg-BG"/>
              </w:rPr>
              <w:t>Общо</w:t>
            </w:r>
          </w:p>
        </w:tc>
        <w:tc>
          <w:tcPr>
            <w:tcW w:w="3175" w:type="dxa"/>
            <w:tcBorders>
              <w:top w:val="nil"/>
              <w:left w:val="nil"/>
              <w:bottom w:val="nil"/>
              <w:right w:val="nil"/>
            </w:tcBorders>
            <w:shd w:val="clear" w:color="auto" w:fill="E0E0E0"/>
            <w:vAlign w:val="center"/>
          </w:tcPr>
          <w:p w14:paraId="79B4D170" w14:textId="77777777" w:rsidR="00323417" w:rsidRPr="00323417" w:rsidRDefault="00323417" w:rsidP="00323417">
            <w:pPr>
              <w:pStyle w:val="ChartTableHeader"/>
              <w:keepNext/>
              <w:rPr>
                <w:lang w:val="bg-BG"/>
              </w:rPr>
            </w:pPr>
            <w:r w:rsidRPr="00D0327A">
              <w:rPr>
                <w:lang w:val="en-GB"/>
              </w:rPr>
              <w:t xml:space="preserve">% </w:t>
            </w:r>
            <w:r>
              <w:rPr>
                <w:lang w:val="bg-BG"/>
              </w:rPr>
              <w:t>от отговорилите</w:t>
            </w:r>
          </w:p>
        </w:tc>
        <w:tc>
          <w:tcPr>
            <w:tcW w:w="907" w:type="dxa"/>
            <w:tcBorders>
              <w:top w:val="nil"/>
              <w:left w:val="nil"/>
              <w:bottom w:val="nil"/>
              <w:right w:val="nil"/>
            </w:tcBorders>
            <w:shd w:val="clear" w:color="auto" w:fill="E0E0E0"/>
            <w:vAlign w:val="center"/>
          </w:tcPr>
          <w:p w14:paraId="28D39D9D" w14:textId="77777777" w:rsidR="00323417" w:rsidRPr="00D0327A" w:rsidRDefault="00323417" w:rsidP="00323417">
            <w:pPr>
              <w:pStyle w:val="ChartTableHeader"/>
              <w:keepNext/>
              <w:jc w:val="right"/>
              <w:rPr>
                <w:lang w:val="en-GB"/>
              </w:rPr>
            </w:pPr>
            <w:r w:rsidRPr="00D0327A">
              <w:rPr>
                <w:lang w:val="en-GB"/>
              </w:rPr>
              <w:t>%</w:t>
            </w:r>
          </w:p>
        </w:tc>
      </w:tr>
      <w:tr w:rsidR="00922731" w:rsidRPr="00D0327A" w14:paraId="5DE01C5F"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49588C2F" w14:textId="77777777" w:rsidR="00922731" w:rsidRPr="00D0327A" w:rsidRDefault="00922731" w:rsidP="00922731">
            <w:pPr>
              <w:pStyle w:val="ParagrahAnswer"/>
              <w:keepNext/>
              <w:rPr>
                <w:lang w:val="en-GB"/>
              </w:rPr>
            </w:pPr>
            <w:r w:rsidRPr="00D0327A">
              <w:rPr>
                <w:lang w:val="en-GB"/>
              </w:rPr>
              <w:t>Северозападен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6506D13F" w14:textId="77777777" w:rsidR="00922731" w:rsidRPr="00D0327A" w:rsidRDefault="00922731" w:rsidP="00922731">
            <w:pPr>
              <w:pStyle w:val="ParagrahAnswer"/>
              <w:keepNext/>
              <w:jc w:val="right"/>
              <w:rPr>
                <w:lang w:val="en-GB"/>
              </w:rPr>
            </w:pPr>
            <w:r w:rsidRPr="00D0327A">
              <w:rPr>
                <w:lang w:val="en-GB"/>
              </w:rPr>
              <w:t>13</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5196467C" w14:textId="77777777" w:rsidR="00922731" w:rsidRPr="00D0327A" w:rsidRDefault="00922731" w:rsidP="00922731">
            <w:pPr>
              <w:pStyle w:val="ParagrahAnswer"/>
              <w:keepNext/>
              <w:rPr>
                <w:lang w:val="en-GB"/>
              </w:rPr>
            </w:pPr>
            <w:r w:rsidRPr="00D0327A">
              <mc:AlternateContent>
                <mc:Choice Requires="wps">
                  <w:drawing>
                    <wp:inline distT="0" distB="0" distL="0" distR="0" wp14:anchorId="128F147B" wp14:editId="16115D78">
                      <wp:extent cx="514731" cy="171450"/>
                      <wp:effectExtent l="0" t="0" r="0" b="0"/>
                      <wp:docPr id="5176" name="Rounded Rectangle 51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4731"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24B8F22F" id="Rounded Rectangle 5176" o:spid="_x0000_s1026" style="width:40.5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0D1AF2C5" w14:textId="77777777" w:rsidR="00922731" w:rsidRPr="00D0327A" w:rsidRDefault="00922731" w:rsidP="00922731">
            <w:pPr>
              <w:pStyle w:val="ParagrahAnswer"/>
              <w:keepNext/>
              <w:jc w:val="right"/>
              <w:rPr>
                <w:lang w:val="en-GB"/>
              </w:rPr>
            </w:pPr>
            <w:r w:rsidRPr="00D0327A">
              <w:rPr>
                <w:lang w:val="en-GB"/>
              </w:rPr>
              <w:t>28</w:t>
            </w:r>
          </w:p>
        </w:tc>
      </w:tr>
      <w:tr w:rsidR="00922731" w:rsidRPr="00D0327A" w14:paraId="50853784"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79AD5A2D" w14:textId="77777777" w:rsidR="00922731" w:rsidRPr="00D0327A" w:rsidRDefault="00922731" w:rsidP="00922731">
            <w:pPr>
              <w:pStyle w:val="ParagrahAnswer"/>
              <w:keepNext/>
              <w:rPr>
                <w:lang w:val="en-GB"/>
              </w:rPr>
            </w:pPr>
            <w:r w:rsidRPr="00D0327A">
              <w:rPr>
                <w:lang w:val="en-GB"/>
              </w:rPr>
              <w:t>Северен централен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0A695F3F" w14:textId="77777777" w:rsidR="00922731" w:rsidRPr="00D0327A" w:rsidRDefault="00922731" w:rsidP="00922731">
            <w:pPr>
              <w:pStyle w:val="ParagrahAnswer"/>
              <w:keepNext/>
              <w:jc w:val="right"/>
              <w:rPr>
                <w:lang w:val="en-GB"/>
              </w:rPr>
            </w:pPr>
            <w:r w:rsidRPr="00D0327A">
              <w:rPr>
                <w:lang w:val="en-GB"/>
              </w:rPr>
              <w:t>7</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0777A0C6" w14:textId="77777777" w:rsidR="00922731" w:rsidRPr="00D0327A" w:rsidRDefault="00922731" w:rsidP="00922731">
            <w:pPr>
              <w:pStyle w:val="ParagrahAnswer"/>
              <w:keepNext/>
              <w:rPr>
                <w:lang w:val="en-GB"/>
              </w:rPr>
            </w:pPr>
            <w:r w:rsidRPr="00D0327A">
              <mc:AlternateContent>
                <mc:Choice Requires="wps">
                  <w:drawing>
                    <wp:inline distT="0" distB="0" distL="0" distR="0" wp14:anchorId="333B9392" wp14:editId="0F990CC0">
                      <wp:extent cx="275749" cy="171450"/>
                      <wp:effectExtent l="0" t="0" r="0" b="0"/>
                      <wp:docPr id="5177" name="Rounded Rectangle 51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5749"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366FFB22" id="Rounded Rectangle 5177" o:spid="_x0000_s1026" style="width:21.7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135F77D7" w14:textId="77777777" w:rsidR="00922731" w:rsidRPr="00D0327A" w:rsidRDefault="00922731" w:rsidP="00922731">
            <w:pPr>
              <w:pStyle w:val="ParagrahAnswer"/>
              <w:keepNext/>
              <w:jc w:val="right"/>
              <w:rPr>
                <w:lang w:val="en-GB"/>
              </w:rPr>
            </w:pPr>
            <w:r w:rsidRPr="00D0327A">
              <w:rPr>
                <w:lang w:val="en-GB"/>
              </w:rPr>
              <w:t>15</w:t>
            </w:r>
          </w:p>
        </w:tc>
      </w:tr>
      <w:tr w:rsidR="00922731" w:rsidRPr="00D0327A" w14:paraId="298329CE"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21AF9693" w14:textId="77777777" w:rsidR="00922731" w:rsidRPr="00D0327A" w:rsidRDefault="00922731" w:rsidP="00922731">
            <w:pPr>
              <w:pStyle w:val="ParagrahAnswer"/>
              <w:keepNext/>
              <w:rPr>
                <w:lang w:val="en-GB"/>
              </w:rPr>
            </w:pPr>
            <w:r w:rsidRPr="00D0327A">
              <w:rPr>
                <w:lang w:val="en-GB"/>
              </w:rPr>
              <w:t>Североизточен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68305426" w14:textId="77777777" w:rsidR="00922731" w:rsidRPr="00D0327A" w:rsidRDefault="00922731" w:rsidP="00922731">
            <w:pPr>
              <w:pStyle w:val="ParagrahAnswer"/>
              <w:keepNext/>
              <w:jc w:val="right"/>
              <w:rPr>
                <w:lang w:val="en-GB"/>
              </w:rPr>
            </w:pPr>
            <w:r w:rsidRPr="00D0327A">
              <w:rPr>
                <w:lang w:val="en-GB"/>
              </w:rPr>
              <w:t>9</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21193256" w14:textId="77777777" w:rsidR="00922731" w:rsidRPr="00D0327A" w:rsidRDefault="00922731" w:rsidP="00922731">
            <w:pPr>
              <w:pStyle w:val="ParagrahAnswer"/>
              <w:keepNext/>
              <w:rPr>
                <w:lang w:val="en-GB"/>
              </w:rPr>
            </w:pPr>
            <w:r w:rsidRPr="00D0327A">
              <mc:AlternateContent>
                <mc:Choice Requires="wps">
                  <w:drawing>
                    <wp:inline distT="0" distB="0" distL="0" distR="0" wp14:anchorId="7D8AEAE0" wp14:editId="55619E5E">
                      <wp:extent cx="349282" cy="171450"/>
                      <wp:effectExtent l="0" t="0" r="0" b="0"/>
                      <wp:docPr id="5178" name="Rounded Rectangle 5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9282"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475282C9" id="Rounded Rectangle 5178" o:spid="_x0000_s1026" style="width:27.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5EACE2BC" w14:textId="77777777" w:rsidR="00922731" w:rsidRPr="00D0327A" w:rsidRDefault="00922731" w:rsidP="00922731">
            <w:pPr>
              <w:pStyle w:val="ParagrahAnswer"/>
              <w:keepNext/>
              <w:jc w:val="right"/>
              <w:rPr>
                <w:lang w:val="en-GB"/>
              </w:rPr>
            </w:pPr>
            <w:r w:rsidRPr="00D0327A">
              <w:rPr>
                <w:lang w:val="en-GB"/>
              </w:rPr>
              <w:t>19</w:t>
            </w:r>
          </w:p>
        </w:tc>
      </w:tr>
      <w:tr w:rsidR="00922731" w:rsidRPr="00D0327A" w14:paraId="4DAF0035"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27E77FB5" w14:textId="77777777" w:rsidR="00922731" w:rsidRPr="00D0327A" w:rsidRDefault="00922731" w:rsidP="00922731">
            <w:pPr>
              <w:pStyle w:val="ParagrahAnswer"/>
              <w:keepNext/>
              <w:rPr>
                <w:lang w:val="en-GB"/>
              </w:rPr>
            </w:pPr>
            <w:r w:rsidRPr="00D0327A">
              <w:rPr>
                <w:lang w:val="en-GB"/>
              </w:rPr>
              <w:t>Югозападен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771AFB3F" w14:textId="77777777" w:rsidR="00922731" w:rsidRPr="00D0327A" w:rsidRDefault="00922731" w:rsidP="00922731">
            <w:pPr>
              <w:pStyle w:val="ParagrahAnswer"/>
              <w:keepNext/>
              <w:jc w:val="right"/>
              <w:rPr>
                <w:lang w:val="en-GB"/>
              </w:rPr>
            </w:pPr>
            <w:r w:rsidRPr="00D0327A">
              <w:rPr>
                <w:lang w:val="en-GB"/>
              </w:rPr>
              <w:t>6</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61259E70" w14:textId="77777777" w:rsidR="00922731" w:rsidRPr="00D0327A" w:rsidRDefault="00922731" w:rsidP="00922731">
            <w:pPr>
              <w:pStyle w:val="ParagrahAnswer"/>
              <w:keepNext/>
              <w:rPr>
                <w:lang w:val="en-GB"/>
              </w:rPr>
            </w:pPr>
            <w:r w:rsidRPr="00D0327A">
              <mc:AlternateContent>
                <mc:Choice Requires="wps">
                  <w:drawing>
                    <wp:inline distT="0" distB="0" distL="0" distR="0" wp14:anchorId="1D0553E4" wp14:editId="70702033">
                      <wp:extent cx="238982" cy="171450"/>
                      <wp:effectExtent l="0" t="0" r="8890" b="0"/>
                      <wp:docPr id="5179" name="Rounded Rectangle 517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982"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73D7F985" id="Rounded Rectangle 5179" o:spid="_x0000_s1026" style="width:18.8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7B3C26F2" w14:textId="77777777" w:rsidR="00922731" w:rsidRPr="00D0327A" w:rsidRDefault="00922731" w:rsidP="00922731">
            <w:pPr>
              <w:pStyle w:val="ParagrahAnswer"/>
              <w:keepNext/>
              <w:jc w:val="right"/>
              <w:rPr>
                <w:lang w:val="en-GB"/>
              </w:rPr>
            </w:pPr>
            <w:r w:rsidRPr="00D0327A">
              <w:rPr>
                <w:lang w:val="en-GB"/>
              </w:rPr>
              <w:t>13</w:t>
            </w:r>
          </w:p>
        </w:tc>
      </w:tr>
      <w:tr w:rsidR="00922731" w:rsidRPr="00D0327A" w14:paraId="30A94C24"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4DA7D97B" w14:textId="77777777" w:rsidR="00922731" w:rsidRPr="00D0327A" w:rsidRDefault="00922731" w:rsidP="00922731">
            <w:pPr>
              <w:pStyle w:val="ParagrahAnswer"/>
              <w:keepNext/>
              <w:rPr>
                <w:lang w:val="en-GB"/>
              </w:rPr>
            </w:pPr>
            <w:r w:rsidRPr="00D0327A">
              <w:rPr>
                <w:lang w:val="en-GB"/>
              </w:rPr>
              <w:t>Южен централен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3B4F1090" w14:textId="77777777" w:rsidR="00922731" w:rsidRPr="00D0327A" w:rsidRDefault="00922731" w:rsidP="00922731">
            <w:pPr>
              <w:pStyle w:val="ParagrahAnswer"/>
              <w:keepNext/>
              <w:jc w:val="right"/>
              <w:rPr>
                <w:lang w:val="en-GB"/>
              </w:rPr>
            </w:pPr>
            <w:r w:rsidRPr="00D0327A">
              <w:rPr>
                <w:lang w:val="en-GB"/>
              </w:rPr>
              <w:t>8</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633B25B9" w14:textId="77777777" w:rsidR="00922731" w:rsidRPr="00D0327A" w:rsidRDefault="00922731" w:rsidP="00922731">
            <w:pPr>
              <w:pStyle w:val="ParagrahAnswer"/>
              <w:keepNext/>
              <w:rPr>
                <w:lang w:val="en-GB"/>
              </w:rPr>
            </w:pPr>
            <w:r w:rsidRPr="00D0327A">
              <mc:AlternateContent>
                <mc:Choice Requires="wps">
                  <w:drawing>
                    <wp:inline distT="0" distB="0" distL="0" distR="0" wp14:anchorId="18904495" wp14:editId="71A3CBF0">
                      <wp:extent cx="312515" cy="171450"/>
                      <wp:effectExtent l="0" t="0" r="0" b="0"/>
                      <wp:docPr id="5180" name="Rounded Rectangle 5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515"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1A87696A" id="Rounded Rectangle 5180" o:spid="_x0000_s1026" style="width:24.6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6F2319FF" w14:textId="77777777" w:rsidR="00922731" w:rsidRPr="00D0327A" w:rsidRDefault="00922731" w:rsidP="00922731">
            <w:pPr>
              <w:pStyle w:val="ParagrahAnswer"/>
              <w:keepNext/>
              <w:jc w:val="right"/>
              <w:rPr>
                <w:lang w:val="en-GB"/>
              </w:rPr>
            </w:pPr>
            <w:r w:rsidRPr="00D0327A">
              <w:rPr>
                <w:lang w:val="en-GB"/>
              </w:rPr>
              <w:t>17</w:t>
            </w:r>
          </w:p>
        </w:tc>
      </w:tr>
      <w:tr w:rsidR="00922731" w:rsidRPr="00D0327A" w14:paraId="0924F20C"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9DAC855" w14:textId="77777777" w:rsidR="00922731" w:rsidRPr="00D0327A" w:rsidRDefault="00922731" w:rsidP="00922731">
            <w:pPr>
              <w:pStyle w:val="ParagrahAnswer"/>
              <w:keepNext/>
              <w:rPr>
                <w:lang w:val="en-GB"/>
              </w:rPr>
            </w:pPr>
            <w:r w:rsidRPr="00D0327A">
              <w:rPr>
                <w:lang w:val="en-GB"/>
              </w:rPr>
              <w:t>Югоизточен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09445B1F" w14:textId="77777777" w:rsidR="00922731" w:rsidRPr="00D0327A" w:rsidRDefault="00922731" w:rsidP="00922731">
            <w:pPr>
              <w:pStyle w:val="ParagrahAnswer"/>
              <w:keepNext/>
              <w:jc w:val="right"/>
              <w:rPr>
                <w:lang w:val="en-GB"/>
              </w:rPr>
            </w:pPr>
            <w:r w:rsidRPr="00D0327A">
              <w:rPr>
                <w:lang w:val="en-GB"/>
              </w:rPr>
              <w:t>4</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1E685981" w14:textId="77777777" w:rsidR="00922731" w:rsidRPr="00D0327A" w:rsidRDefault="00922731" w:rsidP="00922731">
            <w:pPr>
              <w:pStyle w:val="ParagrahAnswer"/>
              <w:keepNext/>
              <w:rPr>
                <w:lang w:val="en-GB"/>
              </w:rPr>
            </w:pPr>
            <w:r w:rsidRPr="00D0327A">
              <mc:AlternateContent>
                <mc:Choice Requires="wps">
                  <w:drawing>
                    <wp:inline distT="0" distB="0" distL="0" distR="0" wp14:anchorId="33D39ECA" wp14:editId="587F74BD">
                      <wp:extent cx="165449" cy="171450"/>
                      <wp:effectExtent l="0" t="0" r="6350" b="0"/>
                      <wp:docPr id="5181" name="Rounded Rectangle 51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5449"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2F8D7897" id="Rounded Rectangle 5181" o:spid="_x0000_s1026" style="width:13.0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243E67E8" w14:textId="77777777" w:rsidR="00922731" w:rsidRPr="00D0327A" w:rsidRDefault="00922731" w:rsidP="00922731">
            <w:pPr>
              <w:pStyle w:val="ParagrahAnswer"/>
              <w:keepNext/>
              <w:jc w:val="right"/>
              <w:rPr>
                <w:lang w:val="en-GB"/>
              </w:rPr>
            </w:pPr>
            <w:r w:rsidRPr="00D0327A">
              <w:rPr>
                <w:lang w:val="en-GB"/>
              </w:rPr>
              <w:t>9</w:t>
            </w:r>
          </w:p>
        </w:tc>
      </w:tr>
      <w:tr w:rsidR="00922731" w:rsidRPr="00D0327A" w14:paraId="7D1C42F8"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696663C4" w14:textId="77777777" w:rsidR="00922731" w:rsidRPr="00D0327A" w:rsidRDefault="00323417" w:rsidP="00323417">
            <w:pPr>
              <w:pStyle w:val="ChartTableFooter"/>
              <w:keepNext/>
              <w:rPr>
                <w:lang w:val="en-GB"/>
              </w:rPr>
            </w:pPr>
            <w:r>
              <w:rPr>
                <w:lang w:val="bg-BG"/>
              </w:rPr>
              <w:t>Респонденти</w:t>
            </w:r>
            <w:r w:rsidRPr="00D0327A">
              <w:rPr>
                <w:lang w:val="en-GB"/>
              </w:rPr>
              <w:t>:</w:t>
            </w:r>
            <w:r w:rsidR="00922731" w:rsidRPr="00D0327A">
              <w:rPr>
                <w:lang w:val="en-GB"/>
              </w:rPr>
              <w:t xml:space="preserve"> 47</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2DB4DBAD" w14:textId="77777777" w:rsidTr="00922731">
              <w:tc>
                <w:tcPr>
                  <w:tcW w:w="1094" w:type="pct"/>
                  <w:shd w:val="clear" w:color="auto" w:fill="F3F3F3"/>
                  <w:tcMar>
                    <w:left w:w="57" w:type="dxa"/>
                    <w:right w:w="28" w:type="dxa"/>
                  </w:tcMar>
                  <w:vAlign w:val="center"/>
                </w:tcPr>
                <w:p w14:paraId="180E32E4"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73C322C0"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20191C5C"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7E61AB97"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0400CC93"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0E5C3F23"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03EED98A" w14:textId="77777777" w:rsidR="00922731" w:rsidRPr="00D0327A" w:rsidRDefault="00922731" w:rsidP="00922731">
            <w:pPr>
              <w:pStyle w:val="ChartTableFooter"/>
              <w:keepNext/>
              <w:rPr>
                <w:lang w:val="en-GB"/>
              </w:rPr>
            </w:pPr>
          </w:p>
        </w:tc>
      </w:tr>
    </w:tbl>
    <w:p w14:paraId="40421B01" w14:textId="77777777" w:rsidR="00922731" w:rsidRPr="00D0327A" w:rsidRDefault="00922731" w:rsidP="00922731">
      <w:pPr>
        <w:spacing w:before="160"/>
        <w:rPr>
          <w:lang w:val="en-GB"/>
        </w:rPr>
      </w:pPr>
    </w:p>
    <w:p w14:paraId="4312D965" w14:textId="77777777" w:rsidR="00922731" w:rsidRPr="00D0327A" w:rsidRDefault="00922731" w:rsidP="0049526E">
      <w:pPr>
        <w:pStyle w:val="QuestionString"/>
      </w:pPr>
      <w:r w:rsidRPr="00D0327A">
        <w:t>3. Моля, от долуизброените мерки на ПРСР 2007-2013, посочете тази/тези, по които Вашата община е била бенефициент ? (възможно е да посочите повече от един отговор).Моля, имайте предвид, че в зависимост от посочения отговор ще отговаряте на последващи въпроси, които са релевантни към посочената(те) мярка(и):</w:t>
      </w:r>
    </w:p>
    <w:p w14:paraId="452ABDF9" w14:textId="77777777" w:rsidR="00922731" w:rsidRPr="00D0327A" w:rsidRDefault="00922731" w:rsidP="00922731">
      <w:pPr>
        <w:pStyle w:val="ExplanationParagrah"/>
      </w:pPr>
      <w:r w:rsidRPr="00D0327A">
        <w:t>(Each respondent could choose MULTIPLE responses.)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7A0D9954"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13C6E1D6" w14:textId="77777777" w:rsidR="00922731" w:rsidRPr="00D0327A" w:rsidRDefault="00922731" w:rsidP="00922731">
            <w:pPr>
              <w:pStyle w:val="ChartTableHeader"/>
              <w:keepNext/>
              <w:rPr>
                <w:lang w:val="en-GB"/>
              </w:rPr>
            </w:pPr>
            <w:r>
              <w:rPr>
                <w:lang w:val="bg-BG"/>
              </w:rPr>
              <w:t>Отговор</w:t>
            </w:r>
          </w:p>
        </w:tc>
        <w:tc>
          <w:tcPr>
            <w:tcW w:w="1021" w:type="dxa"/>
            <w:tcBorders>
              <w:top w:val="nil"/>
              <w:left w:val="nil"/>
              <w:bottom w:val="nil"/>
              <w:right w:val="nil"/>
            </w:tcBorders>
            <w:shd w:val="clear" w:color="auto" w:fill="E0E0E0"/>
            <w:vAlign w:val="center"/>
          </w:tcPr>
          <w:p w14:paraId="4FD28331" w14:textId="77777777" w:rsidR="00922731" w:rsidRPr="009B3384" w:rsidRDefault="00922731" w:rsidP="00922731">
            <w:pPr>
              <w:pStyle w:val="ChartTableHeader"/>
              <w:keepNext/>
              <w:jc w:val="right"/>
              <w:rPr>
                <w:lang w:val="bg-BG"/>
              </w:rPr>
            </w:pPr>
            <w:r>
              <w:rPr>
                <w:lang w:val="bg-BG"/>
              </w:rPr>
              <w:t>Общо</w:t>
            </w:r>
          </w:p>
        </w:tc>
        <w:tc>
          <w:tcPr>
            <w:tcW w:w="3175" w:type="dxa"/>
            <w:tcBorders>
              <w:top w:val="nil"/>
              <w:left w:val="nil"/>
              <w:bottom w:val="nil"/>
              <w:right w:val="nil"/>
            </w:tcBorders>
            <w:shd w:val="clear" w:color="auto" w:fill="E0E0E0"/>
            <w:vAlign w:val="center"/>
          </w:tcPr>
          <w:p w14:paraId="59FFCE55"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459B836C"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77C3FEE7"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76C01636" w14:textId="77777777" w:rsidR="00922731" w:rsidRPr="0049526E" w:rsidRDefault="00922731" w:rsidP="00922731">
            <w:pPr>
              <w:pStyle w:val="ParagrahAnswer"/>
              <w:keepNext/>
              <w:rPr>
                <w:lang w:val="bg-BG"/>
              </w:rPr>
            </w:pPr>
            <w:r w:rsidRPr="0049526E">
              <w:rPr>
                <w:lang w:val="bg-BG"/>
              </w:rPr>
              <w:t>Мярка 313 'Насърчаване на туристическите дейности'</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422108A2" w14:textId="77777777" w:rsidR="00922731" w:rsidRPr="00D0327A" w:rsidRDefault="00922731" w:rsidP="00922731">
            <w:pPr>
              <w:pStyle w:val="ParagrahAnswer"/>
              <w:keepNext/>
              <w:jc w:val="right"/>
              <w:rPr>
                <w:lang w:val="en-GB"/>
              </w:rPr>
            </w:pPr>
            <w:r w:rsidRPr="00D0327A">
              <w:rPr>
                <w:lang w:val="en-GB"/>
              </w:rPr>
              <w:t>17</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085501CD" w14:textId="77777777" w:rsidR="00922731" w:rsidRPr="00D0327A" w:rsidRDefault="00922731" w:rsidP="00922731">
            <w:pPr>
              <w:pStyle w:val="ParagrahAnswer"/>
              <w:keepNext/>
              <w:rPr>
                <w:lang w:val="en-GB"/>
              </w:rPr>
            </w:pPr>
            <w:r w:rsidRPr="00D0327A">
              <mc:AlternateContent>
                <mc:Choice Requires="wps">
                  <w:drawing>
                    <wp:inline distT="0" distB="0" distL="0" distR="0" wp14:anchorId="2CAE49D5" wp14:editId="35533BAF">
                      <wp:extent cx="716947" cy="171450"/>
                      <wp:effectExtent l="0" t="0" r="6985" b="0"/>
                      <wp:docPr id="5182" name="Rounded Rectangle 5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16947"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2841FD85" id="Rounded Rectangle 5182" o:spid="_x0000_s1026" style="width:56.4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4032CBDF" w14:textId="77777777" w:rsidR="00922731" w:rsidRPr="00D0327A" w:rsidRDefault="00922731" w:rsidP="00922731">
            <w:pPr>
              <w:pStyle w:val="ParagrahAnswer"/>
              <w:keepNext/>
              <w:jc w:val="right"/>
              <w:rPr>
                <w:lang w:val="en-GB"/>
              </w:rPr>
            </w:pPr>
            <w:r w:rsidRPr="00D0327A">
              <w:rPr>
                <w:lang w:val="en-GB"/>
              </w:rPr>
              <w:t>39</w:t>
            </w:r>
          </w:p>
        </w:tc>
      </w:tr>
      <w:tr w:rsidR="00922731" w:rsidRPr="00D0327A" w14:paraId="7E765DFF"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3516DC67" w14:textId="77777777" w:rsidR="00922731" w:rsidRPr="0049526E" w:rsidRDefault="00922731" w:rsidP="00922731">
            <w:pPr>
              <w:pStyle w:val="ParagrahAnswer"/>
              <w:keepNext/>
              <w:rPr>
                <w:lang w:val="bg-BG"/>
              </w:rPr>
            </w:pPr>
            <w:r w:rsidRPr="0049526E">
              <w:rPr>
                <w:lang w:val="bg-BG"/>
              </w:rPr>
              <w:t>Мярка 321 'Основни услуги за населението и икономиката в селските райони'</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49123841" w14:textId="77777777" w:rsidR="00922731" w:rsidRPr="00D0327A" w:rsidRDefault="00922731" w:rsidP="00922731">
            <w:pPr>
              <w:pStyle w:val="ParagrahAnswer"/>
              <w:keepNext/>
              <w:jc w:val="right"/>
              <w:rPr>
                <w:lang w:val="en-GB"/>
              </w:rPr>
            </w:pPr>
            <w:r w:rsidRPr="00D0327A">
              <w:rPr>
                <w:lang w:val="en-GB"/>
              </w:rPr>
              <w:t>42</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5B04F179" w14:textId="77777777" w:rsidR="00922731" w:rsidRPr="00D0327A" w:rsidRDefault="00922731" w:rsidP="00922731">
            <w:pPr>
              <w:pStyle w:val="ParagrahAnswer"/>
              <w:keepNext/>
              <w:rPr>
                <w:lang w:val="en-GB"/>
              </w:rPr>
            </w:pPr>
            <w:r w:rsidRPr="00D0327A">
              <mc:AlternateContent>
                <mc:Choice Requires="wps">
                  <w:drawing>
                    <wp:inline distT="0" distB="0" distL="0" distR="0" wp14:anchorId="5525711B" wp14:editId="1870EC0F">
                      <wp:extent cx="1746409" cy="171450"/>
                      <wp:effectExtent l="0" t="0" r="6350" b="0"/>
                      <wp:docPr id="5183" name="Rounded Rectangle 5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746409"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6E109AD5" id="Rounded Rectangle 5183" o:spid="_x0000_s1026" style="width:137.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67B0A352" w14:textId="77777777" w:rsidR="00922731" w:rsidRPr="00D0327A" w:rsidRDefault="00922731" w:rsidP="00922731">
            <w:pPr>
              <w:pStyle w:val="ParagrahAnswer"/>
              <w:keepNext/>
              <w:jc w:val="right"/>
              <w:rPr>
                <w:lang w:val="en-GB"/>
              </w:rPr>
            </w:pPr>
            <w:r w:rsidRPr="00D0327A">
              <w:rPr>
                <w:lang w:val="en-GB"/>
              </w:rPr>
              <w:t>95</w:t>
            </w:r>
          </w:p>
        </w:tc>
      </w:tr>
      <w:tr w:rsidR="00922731" w:rsidRPr="00D0327A" w14:paraId="13302B0D"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1E00FE58" w14:textId="77777777" w:rsidR="00922731" w:rsidRPr="0049526E" w:rsidRDefault="00922731" w:rsidP="00922731">
            <w:pPr>
              <w:pStyle w:val="ParagrahAnswer"/>
              <w:keepNext/>
              <w:rPr>
                <w:lang w:val="bg-BG"/>
              </w:rPr>
            </w:pPr>
            <w:r w:rsidRPr="0049526E">
              <w:rPr>
                <w:lang w:val="bg-BG"/>
              </w:rPr>
              <w:t>Мярка 322 'Обновяване и развитие на населените места'</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72A2F71" w14:textId="77777777" w:rsidR="00922731" w:rsidRPr="00D0327A" w:rsidRDefault="00922731" w:rsidP="00922731">
            <w:pPr>
              <w:pStyle w:val="ParagrahAnswer"/>
              <w:keepNext/>
              <w:jc w:val="right"/>
              <w:rPr>
                <w:lang w:val="en-GB"/>
              </w:rPr>
            </w:pPr>
            <w:r w:rsidRPr="00D0327A">
              <w:rPr>
                <w:lang w:val="en-GB"/>
              </w:rPr>
              <w:t>34</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186AC1BE" w14:textId="77777777" w:rsidR="00922731" w:rsidRPr="00D0327A" w:rsidRDefault="00922731" w:rsidP="00922731">
            <w:pPr>
              <w:pStyle w:val="ParagrahAnswer"/>
              <w:keepNext/>
              <w:rPr>
                <w:lang w:val="en-GB"/>
              </w:rPr>
            </w:pPr>
            <w:r w:rsidRPr="00D0327A">
              <mc:AlternateContent>
                <mc:Choice Requires="wps">
                  <w:drawing>
                    <wp:inline distT="0" distB="0" distL="0" distR="0" wp14:anchorId="3F1CA75C" wp14:editId="494D38D5">
                      <wp:extent cx="1415510" cy="171450"/>
                      <wp:effectExtent l="0" t="0" r="0" b="0"/>
                      <wp:docPr id="3264" name="Rounded Rectangle 3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15510"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7A932DA5" id="Rounded Rectangle 3264" o:spid="_x0000_s1026" style="width:111.4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529758A2" w14:textId="77777777" w:rsidR="00922731" w:rsidRPr="00D0327A" w:rsidRDefault="00922731" w:rsidP="00922731">
            <w:pPr>
              <w:pStyle w:val="ParagrahAnswer"/>
              <w:keepNext/>
              <w:jc w:val="right"/>
              <w:rPr>
                <w:lang w:val="en-GB"/>
              </w:rPr>
            </w:pPr>
            <w:r w:rsidRPr="00D0327A">
              <w:rPr>
                <w:lang w:val="en-GB"/>
              </w:rPr>
              <w:t>77</w:t>
            </w:r>
          </w:p>
        </w:tc>
      </w:tr>
      <w:tr w:rsidR="00922731" w:rsidRPr="00D0327A" w14:paraId="0EDA1B78"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39F0504A" w14:textId="77777777" w:rsidR="00922731" w:rsidRPr="00D0327A" w:rsidRDefault="00323417" w:rsidP="00323417">
            <w:pPr>
              <w:pStyle w:val="ChartTableFooter"/>
              <w:keepNext/>
              <w:rPr>
                <w:lang w:val="en-GB"/>
              </w:rPr>
            </w:pPr>
            <w:r>
              <w:rPr>
                <w:lang w:val="bg-BG"/>
              </w:rPr>
              <w:t>Респонденти</w:t>
            </w:r>
            <w:r w:rsidR="00922731" w:rsidRPr="00D0327A">
              <w:rPr>
                <w:lang w:val="en-GB"/>
              </w:rPr>
              <w:t>: 44</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4C01682A" w14:textId="77777777" w:rsidTr="00922731">
              <w:tc>
                <w:tcPr>
                  <w:tcW w:w="1094" w:type="pct"/>
                  <w:shd w:val="clear" w:color="auto" w:fill="F3F3F3"/>
                  <w:tcMar>
                    <w:left w:w="57" w:type="dxa"/>
                    <w:right w:w="28" w:type="dxa"/>
                  </w:tcMar>
                  <w:vAlign w:val="center"/>
                </w:tcPr>
                <w:p w14:paraId="5344F40F"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1753C0BD"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0315CB9C"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7630D4F1"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4A662760"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6D05E860"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16B091E7" w14:textId="77777777" w:rsidR="00922731" w:rsidRPr="00D0327A" w:rsidRDefault="00922731" w:rsidP="00922731">
            <w:pPr>
              <w:pStyle w:val="ChartTableFooter"/>
              <w:keepNext/>
              <w:rPr>
                <w:lang w:val="en-GB"/>
              </w:rPr>
            </w:pPr>
          </w:p>
        </w:tc>
      </w:tr>
    </w:tbl>
    <w:p w14:paraId="605C882F" w14:textId="77777777" w:rsidR="00922731" w:rsidRDefault="00922731" w:rsidP="00922731">
      <w:pPr>
        <w:spacing w:before="160"/>
        <w:rPr>
          <w:lang w:val="en-GB"/>
        </w:rPr>
      </w:pPr>
    </w:p>
    <w:p w14:paraId="58E158C0" w14:textId="77777777" w:rsidR="00725F2E" w:rsidRDefault="00725F2E" w:rsidP="00922731">
      <w:pPr>
        <w:spacing w:before="160"/>
        <w:rPr>
          <w:lang w:val="en-GB"/>
        </w:rPr>
      </w:pPr>
    </w:p>
    <w:p w14:paraId="5816AA3F" w14:textId="77777777" w:rsidR="00725F2E" w:rsidRPr="00D0327A" w:rsidRDefault="00725F2E" w:rsidP="00922731">
      <w:pPr>
        <w:spacing w:before="160"/>
        <w:rPr>
          <w:lang w:val="en-GB"/>
        </w:rPr>
      </w:pPr>
    </w:p>
    <w:p w14:paraId="788E0D52" w14:textId="77777777" w:rsidR="00922731" w:rsidRPr="00D0327A" w:rsidRDefault="00922731" w:rsidP="0049526E">
      <w:pPr>
        <w:pStyle w:val="QuestionString"/>
      </w:pPr>
      <w:r w:rsidRPr="00D0327A">
        <w:t>4. Моля, посочете броя на проектите, които сте изпълнили по :</w:t>
      </w:r>
    </w:p>
    <w:p w14:paraId="7CA20C34" w14:textId="77777777" w:rsidR="00922731" w:rsidRPr="00D0327A" w:rsidRDefault="00922731" w:rsidP="00922731">
      <w:pPr>
        <w:pStyle w:val="ExplanationParagrah"/>
      </w:pPr>
      <w:r w:rsidRPr="00D0327A">
        <w:t>(Each respondent could write multiple open-ended responses of maximum 255 characters.)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0828B05A"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6FBB2C2F"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7A9B0CAB" w14:textId="77777777" w:rsidR="00922731" w:rsidRPr="009B3384" w:rsidRDefault="00922731" w:rsidP="00922731">
            <w:pPr>
              <w:pStyle w:val="ChartTableHeader"/>
              <w:keepNext/>
              <w:jc w:val="right"/>
              <w:rPr>
                <w:lang w:val="bg-BG"/>
              </w:rPr>
            </w:pPr>
            <w:r>
              <w:rPr>
                <w:lang w:val="bg-BG"/>
              </w:rPr>
              <w:t>Общо</w:t>
            </w:r>
          </w:p>
        </w:tc>
        <w:tc>
          <w:tcPr>
            <w:tcW w:w="3175" w:type="dxa"/>
            <w:tcBorders>
              <w:top w:val="nil"/>
              <w:left w:val="nil"/>
              <w:bottom w:val="nil"/>
              <w:right w:val="nil"/>
            </w:tcBorders>
            <w:shd w:val="clear" w:color="auto" w:fill="E0E0E0"/>
            <w:vAlign w:val="center"/>
          </w:tcPr>
          <w:p w14:paraId="2941F73B"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62B656B1"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18A24E9A"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1C021D54" w14:textId="77777777" w:rsidR="00922731" w:rsidRPr="0049526E" w:rsidRDefault="00922731" w:rsidP="00922731">
            <w:pPr>
              <w:pStyle w:val="ParagrahAnswer"/>
              <w:keepNext/>
              <w:rPr>
                <w:lang w:val="bg-BG"/>
              </w:rPr>
            </w:pPr>
            <w:r w:rsidRPr="0049526E">
              <w:rPr>
                <w:lang w:val="bg-BG"/>
              </w:rPr>
              <w:t>Мярка 313 'Насърчаване на туристическите дейности'</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182BCE93" w14:textId="77777777" w:rsidR="00922731" w:rsidRPr="00D0327A" w:rsidRDefault="00922731" w:rsidP="00922731">
            <w:pPr>
              <w:pStyle w:val="ParagrahAnswer"/>
              <w:keepNext/>
              <w:jc w:val="right"/>
              <w:rPr>
                <w:lang w:val="en-GB"/>
              </w:rPr>
            </w:pPr>
            <w:r w:rsidRPr="00D0327A">
              <w:rPr>
                <w:lang w:val="en-GB"/>
              </w:rPr>
              <w:t>11</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63A09393" w14:textId="77777777" w:rsidR="00922731" w:rsidRPr="00D0327A" w:rsidRDefault="00922731" w:rsidP="00922731">
            <w:pPr>
              <w:pStyle w:val="ParagrahAnswer"/>
              <w:keepNext/>
              <w:rPr>
                <w:lang w:val="en-GB"/>
              </w:rPr>
            </w:pPr>
            <w:r w:rsidRPr="00D0327A">
              <mc:AlternateContent>
                <mc:Choice Requires="wps">
                  <w:drawing>
                    <wp:inline distT="0" distB="0" distL="0" distR="0" wp14:anchorId="328A1700" wp14:editId="76A129BF">
                      <wp:extent cx="481693" cy="171450"/>
                      <wp:effectExtent l="0" t="0" r="0" b="0"/>
                      <wp:docPr id="3265" name="Rounded Rectangle 32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1693"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192CA3B7" id="Rounded Rectangle 3265" o:spid="_x0000_s1026" style="width:37.9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224A54C2" w14:textId="77777777" w:rsidR="00922731" w:rsidRPr="007A5A2F" w:rsidRDefault="00922731" w:rsidP="00922731">
            <w:pPr>
              <w:pStyle w:val="ParagrahAnswer"/>
              <w:keepNext/>
              <w:jc w:val="right"/>
              <w:rPr>
                <w:lang w:val="bg-BG"/>
              </w:rPr>
            </w:pPr>
            <w:r>
              <w:rPr>
                <w:lang w:val="bg-BG"/>
              </w:rPr>
              <w:t>18</w:t>
            </w:r>
          </w:p>
        </w:tc>
      </w:tr>
      <w:tr w:rsidR="00922731" w:rsidRPr="00D0327A" w14:paraId="1A85D019"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25AE1F4C" w14:textId="77777777" w:rsidR="00922731" w:rsidRPr="0049526E" w:rsidRDefault="00922731" w:rsidP="00922731">
            <w:pPr>
              <w:pStyle w:val="ParagrahAnswer"/>
              <w:keepNext/>
              <w:rPr>
                <w:lang w:val="bg-BG"/>
              </w:rPr>
            </w:pPr>
            <w:r w:rsidRPr="0049526E">
              <w:rPr>
                <w:lang w:val="bg-BG"/>
              </w:rPr>
              <w:t>Мярка 321  'Основни услуги за населението и икономиката в селските райони'</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3F366AD" w14:textId="77777777" w:rsidR="00922731" w:rsidRPr="000E7FC0" w:rsidRDefault="00922731" w:rsidP="00922731">
            <w:pPr>
              <w:pStyle w:val="ParagrahAnswer"/>
              <w:keepNext/>
              <w:jc w:val="right"/>
              <w:rPr>
                <w:lang w:val="bg-BG"/>
              </w:rPr>
            </w:pPr>
            <w:r>
              <w:rPr>
                <w:lang w:val="bg-BG"/>
              </w:rPr>
              <w:t>28</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4BB6B9F0" w14:textId="77777777" w:rsidR="00922731" w:rsidRPr="00D0327A" w:rsidRDefault="00922731" w:rsidP="00922731">
            <w:pPr>
              <w:pStyle w:val="ParagrahAnswer"/>
              <w:keepNext/>
              <w:rPr>
                <w:lang w:val="bg-BG" w:eastAsia="bg-BG"/>
              </w:rPr>
            </w:pPr>
            <w:r w:rsidRPr="00D0327A">
              <mc:AlternateContent>
                <mc:Choice Requires="wps">
                  <w:drawing>
                    <wp:inline distT="0" distB="0" distL="0" distR="0" wp14:anchorId="1FCB80EB" wp14:editId="5D1D8D03">
                      <wp:extent cx="963386" cy="171269"/>
                      <wp:effectExtent l="0" t="0" r="8255" b="635"/>
                      <wp:docPr id="3266" name="Rounded Rectangle 3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63386" cy="171269"/>
                              </a:xfrm>
                              <a:prstGeom prst="roundRect">
                                <a:avLst/>
                              </a:prstGeom>
                              <a:solidFill>
                                <a:srgbClr val="5B9AD2"/>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04C52F82" id="Rounded Rectangle 3266" o:spid="_x0000_s1026" style="width:75.8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3C0803C7" w14:textId="77777777" w:rsidR="00922731" w:rsidRPr="007A5A2F" w:rsidRDefault="00922731" w:rsidP="00922731">
            <w:pPr>
              <w:pStyle w:val="ParagrahAnswer"/>
              <w:keepNext/>
              <w:jc w:val="right"/>
              <w:rPr>
                <w:lang w:val="bg-BG"/>
              </w:rPr>
            </w:pPr>
            <w:r>
              <w:rPr>
                <w:lang w:val="bg-BG"/>
              </w:rPr>
              <w:t>46</w:t>
            </w:r>
          </w:p>
        </w:tc>
      </w:tr>
      <w:tr w:rsidR="00922731" w:rsidRPr="00D0327A" w14:paraId="56B5CA4C"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1A8D0AA7" w14:textId="77777777" w:rsidR="00922731" w:rsidRPr="0049526E" w:rsidRDefault="00922731" w:rsidP="00922731">
            <w:pPr>
              <w:pStyle w:val="ParagrahAnswer"/>
              <w:keepNext/>
              <w:rPr>
                <w:lang w:val="bg-BG"/>
              </w:rPr>
            </w:pPr>
            <w:r w:rsidRPr="0049526E">
              <w:rPr>
                <w:lang w:val="bg-BG"/>
              </w:rPr>
              <w:t>Мярка 322  'Обновяване и развитие на населените места'</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FDE6BA8" w14:textId="77777777" w:rsidR="00922731" w:rsidRDefault="00922731" w:rsidP="00922731">
            <w:pPr>
              <w:pStyle w:val="ParagrahAnswer"/>
              <w:keepNext/>
              <w:jc w:val="right"/>
              <w:rPr>
                <w:lang w:val="bg-BG"/>
              </w:rPr>
            </w:pPr>
            <w:r>
              <w:rPr>
                <w:lang w:val="bg-BG"/>
              </w:rPr>
              <w:t>22</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02D4CE59" w14:textId="77777777" w:rsidR="00922731" w:rsidRPr="00D0327A" w:rsidRDefault="00922731" w:rsidP="00922731">
            <w:pPr>
              <w:pStyle w:val="ParagrahAnswer"/>
              <w:keepNext/>
              <w:rPr>
                <w:lang w:val="bg-BG" w:eastAsia="bg-BG"/>
              </w:rPr>
            </w:pPr>
            <w:r w:rsidRPr="00D0327A">
              <mc:AlternateContent>
                <mc:Choice Requires="wps">
                  <w:drawing>
                    <wp:inline distT="0" distB="0" distL="0" distR="0" wp14:anchorId="51B79D88" wp14:editId="0C234466">
                      <wp:extent cx="775607" cy="171269"/>
                      <wp:effectExtent l="0" t="0" r="5715" b="635"/>
                      <wp:docPr id="83" name="Rounded 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75607" cy="171269"/>
                              </a:xfrm>
                              <a:prstGeom prst="roundRect">
                                <a:avLst/>
                              </a:prstGeom>
                              <a:solidFill>
                                <a:srgbClr val="5B9AD2"/>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06C5CAF5" id="Rounded Rectangle 83" o:spid="_x0000_s1026" style="width:61.0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38FCD64B" w14:textId="77777777" w:rsidR="00922731" w:rsidRPr="007A5A2F" w:rsidRDefault="00922731" w:rsidP="00922731">
            <w:pPr>
              <w:pStyle w:val="ParagrahAnswer"/>
              <w:keepNext/>
              <w:jc w:val="right"/>
              <w:rPr>
                <w:lang w:val="bg-BG"/>
              </w:rPr>
            </w:pPr>
            <w:r>
              <w:rPr>
                <w:lang w:val="bg-BG"/>
              </w:rPr>
              <w:t>36</w:t>
            </w:r>
          </w:p>
        </w:tc>
      </w:tr>
      <w:tr w:rsidR="00922731" w:rsidRPr="00D0327A" w14:paraId="393FB801"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171EA84B" w14:textId="77777777" w:rsidR="00922731" w:rsidRPr="00D0327A" w:rsidRDefault="00323417" w:rsidP="00323417">
            <w:pPr>
              <w:pStyle w:val="ChartTableFooter"/>
              <w:keepNext/>
              <w:rPr>
                <w:lang w:val="en-GB"/>
              </w:rPr>
            </w:pPr>
            <w:r>
              <w:rPr>
                <w:lang w:val="bg-BG"/>
              </w:rPr>
              <w:t>Респонденти</w:t>
            </w:r>
            <w:r w:rsidR="00922731" w:rsidRPr="00D0327A">
              <w:rPr>
                <w:lang w:val="en-GB"/>
              </w:rPr>
              <w:t xml:space="preserve">: </w:t>
            </w:r>
            <w:r w:rsidR="00922731">
              <w:rPr>
                <w:lang w:val="bg-BG"/>
              </w:rPr>
              <w:t>44</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05AD9CB5" w14:textId="77777777" w:rsidTr="00922731">
              <w:tc>
                <w:tcPr>
                  <w:tcW w:w="1094" w:type="pct"/>
                  <w:shd w:val="clear" w:color="auto" w:fill="F3F3F3"/>
                  <w:tcMar>
                    <w:left w:w="57" w:type="dxa"/>
                    <w:right w:w="28" w:type="dxa"/>
                  </w:tcMar>
                  <w:vAlign w:val="center"/>
                </w:tcPr>
                <w:p w14:paraId="0E2B0131"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22D97444"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0B4E28C7"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507F0620"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341ADD6E"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706173C3"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65A2FFE4" w14:textId="77777777" w:rsidR="00922731" w:rsidRPr="00D0327A" w:rsidRDefault="00922731" w:rsidP="00922731">
            <w:pPr>
              <w:pStyle w:val="ChartTableFooter"/>
              <w:keepNext/>
              <w:rPr>
                <w:lang w:val="en-GB"/>
              </w:rPr>
            </w:pPr>
          </w:p>
        </w:tc>
      </w:tr>
    </w:tbl>
    <w:p w14:paraId="5C82C099" w14:textId="77777777" w:rsidR="00922731" w:rsidRPr="00D0327A" w:rsidRDefault="00922731" w:rsidP="00922731">
      <w:pPr>
        <w:spacing w:before="160"/>
        <w:rPr>
          <w:lang w:val="en-GB"/>
        </w:rPr>
      </w:pPr>
    </w:p>
    <w:p w14:paraId="1F239D4D" w14:textId="77777777" w:rsidR="00922731" w:rsidRPr="00D0327A" w:rsidRDefault="00922731" w:rsidP="0049526E">
      <w:pPr>
        <w:pStyle w:val="QuestionString"/>
      </w:pPr>
      <w:r w:rsidRPr="00D0327A">
        <w:t>5. Моля, отбележете основните ползи от проектите, изпълнени по мярка 313 'Насърчаване на туристическите дейности'</w:t>
      </w:r>
    </w:p>
    <w:p w14:paraId="34566625" w14:textId="77777777" w:rsidR="00922731" w:rsidRPr="00D0327A" w:rsidRDefault="00922731" w:rsidP="00922731">
      <w:pPr>
        <w:pStyle w:val="ExplanationParagrah"/>
      </w:pPr>
      <w:r w:rsidRPr="00D0327A">
        <w:t xml:space="preserve"> (Each respondent could choose MULTIPLE responses.)</w:t>
      </w:r>
    </w:p>
    <w:tbl>
      <w:tblPr>
        <w:tblStyle w:val="TableGrid"/>
        <w:tblW w:w="7939" w:type="dxa"/>
        <w:jc w:val="center"/>
        <w:tblLayout w:type="fixed"/>
        <w:tblLook w:val="01E0" w:firstRow="1" w:lastRow="1" w:firstColumn="1" w:lastColumn="1" w:noHBand="0" w:noVBand="0"/>
      </w:tblPr>
      <w:tblGrid>
        <w:gridCol w:w="3261"/>
        <w:gridCol w:w="992"/>
        <w:gridCol w:w="3686"/>
      </w:tblGrid>
      <w:tr w:rsidR="00922731" w:rsidRPr="00D0327A" w14:paraId="54BFF4AB" w14:textId="77777777" w:rsidTr="00922731">
        <w:trPr>
          <w:cantSplit/>
          <w:trHeight w:val="397"/>
          <w:tblHeader/>
          <w:jc w:val="center"/>
        </w:trPr>
        <w:tc>
          <w:tcPr>
            <w:tcW w:w="3261" w:type="dxa"/>
            <w:tcBorders>
              <w:top w:val="nil"/>
              <w:left w:val="nil"/>
              <w:bottom w:val="nil"/>
              <w:right w:val="nil"/>
            </w:tcBorders>
            <w:shd w:val="clear" w:color="auto" w:fill="E0E0E0"/>
            <w:vAlign w:val="center"/>
          </w:tcPr>
          <w:p w14:paraId="719964BE" w14:textId="77777777" w:rsidR="00922731" w:rsidRPr="009B3384" w:rsidRDefault="00922731" w:rsidP="00922731">
            <w:pPr>
              <w:pStyle w:val="ChartTableHeader"/>
              <w:keepNext/>
              <w:ind w:left="34"/>
              <w:rPr>
                <w:lang w:val="bg-BG"/>
              </w:rPr>
            </w:pPr>
            <w:r>
              <w:rPr>
                <w:lang w:val="bg-BG"/>
              </w:rPr>
              <w:t>Отговор</w:t>
            </w:r>
          </w:p>
        </w:tc>
        <w:tc>
          <w:tcPr>
            <w:tcW w:w="992" w:type="dxa"/>
            <w:tcBorders>
              <w:top w:val="nil"/>
              <w:left w:val="nil"/>
              <w:bottom w:val="nil"/>
              <w:right w:val="nil"/>
            </w:tcBorders>
            <w:shd w:val="clear" w:color="auto" w:fill="E0E0E0"/>
            <w:vAlign w:val="center"/>
          </w:tcPr>
          <w:p w14:paraId="24BABBEB" w14:textId="77777777" w:rsidR="00922731" w:rsidRPr="004F2B62" w:rsidRDefault="00922731" w:rsidP="00922731">
            <w:pPr>
              <w:pStyle w:val="ChartTableHeader"/>
              <w:keepNext/>
              <w:jc w:val="right"/>
              <w:rPr>
                <w:lang w:val="bg-BG"/>
              </w:rPr>
            </w:pPr>
            <w:r>
              <w:rPr>
                <w:lang w:val="bg-BG"/>
              </w:rPr>
              <w:t>Брой проекти</w:t>
            </w:r>
          </w:p>
        </w:tc>
        <w:tc>
          <w:tcPr>
            <w:tcW w:w="3686" w:type="dxa"/>
            <w:tcBorders>
              <w:top w:val="nil"/>
              <w:left w:val="nil"/>
              <w:bottom w:val="nil"/>
              <w:right w:val="nil"/>
            </w:tcBorders>
            <w:shd w:val="clear" w:color="auto" w:fill="E0E0E0"/>
            <w:vAlign w:val="center"/>
          </w:tcPr>
          <w:p w14:paraId="2AC7F99E" w14:textId="77777777" w:rsidR="00922731" w:rsidRPr="004F2B62" w:rsidRDefault="00922731" w:rsidP="00922731">
            <w:pPr>
              <w:pStyle w:val="ChartTableHeader"/>
              <w:keepNext/>
              <w:rPr>
                <w:lang w:val="bg-BG"/>
              </w:rPr>
            </w:pPr>
            <w:r>
              <w:rPr>
                <w:lang w:val="bg-BG"/>
              </w:rPr>
              <w:t>Общо за проектите</w:t>
            </w:r>
          </w:p>
        </w:tc>
      </w:tr>
      <w:tr w:rsidR="00922731" w:rsidRPr="00D0327A" w14:paraId="5038CF4E" w14:textId="77777777" w:rsidTr="00922731">
        <w:trPr>
          <w:trHeight w:val="397"/>
          <w:jc w:val="center"/>
        </w:trPr>
        <w:tc>
          <w:tcPr>
            <w:tcW w:w="3261" w:type="dxa"/>
            <w:tcBorders>
              <w:top w:val="nil"/>
              <w:left w:val="nil"/>
              <w:bottom w:val="single" w:sz="4" w:space="0" w:color="BFBFBF" w:themeColor="background1" w:themeShade="BF"/>
              <w:right w:val="nil"/>
            </w:tcBorders>
            <w:tcMar>
              <w:top w:w="28" w:type="dxa"/>
              <w:bottom w:w="28" w:type="dxa"/>
            </w:tcMar>
            <w:vAlign w:val="center"/>
          </w:tcPr>
          <w:p w14:paraId="631A2EE4" w14:textId="77777777" w:rsidR="00922731" w:rsidRPr="00D0327A" w:rsidRDefault="00922731" w:rsidP="00922731">
            <w:pPr>
              <w:pStyle w:val="SubQuestionString"/>
              <w:keepNext/>
              <w:keepLines/>
              <w:rPr>
                <w:lang w:val="en-GB"/>
              </w:rPr>
            </w:pPr>
            <w:r w:rsidRPr="00D0327A">
              <w:rPr>
                <w:lang w:val="en-GB"/>
              </w:rPr>
              <w:t>Новосъздадени работни места</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7E85DACF" w14:textId="77777777" w:rsidR="00922731" w:rsidRPr="004F2B62" w:rsidRDefault="00922731" w:rsidP="00922731">
            <w:pPr>
              <w:pStyle w:val="ParagrahAnswer"/>
              <w:keepNext/>
              <w:jc w:val="right"/>
              <w:rPr>
                <w:lang w:val="bg-BG"/>
              </w:rPr>
            </w:pPr>
            <w:r w:rsidRPr="00D0327A">
              <w:rPr>
                <w:lang w:val="en-GB"/>
              </w:rPr>
              <w:t>9</w:t>
            </w:r>
            <w:r>
              <w:rPr>
                <w:lang w:val="bg-BG"/>
              </w:rPr>
              <w:t xml:space="preserve"> </w:t>
            </w:r>
          </w:p>
        </w:tc>
        <w:tc>
          <w:tcPr>
            <w:tcW w:w="3686" w:type="dxa"/>
            <w:tcBorders>
              <w:top w:val="nil"/>
              <w:left w:val="nil"/>
              <w:bottom w:val="single" w:sz="4" w:space="0" w:color="BFBFBF" w:themeColor="background1" w:themeShade="BF"/>
              <w:right w:val="nil"/>
            </w:tcBorders>
            <w:tcMar>
              <w:top w:w="28" w:type="dxa"/>
              <w:bottom w:w="28" w:type="dxa"/>
            </w:tcMar>
            <w:vAlign w:val="center"/>
          </w:tcPr>
          <w:p w14:paraId="70282C4F" w14:textId="77777777" w:rsidR="00922731" w:rsidRPr="004F2B62" w:rsidRDefault="00922731" w:rsidP="00922731">
            <w:pPr>
              <w:pStyle w:val="ParagrahAnswer"/>
              <w:keepNext/>
              <w:rPr>
                <w:lang w:val="bg-BG"/>
              </w:rPr>
            </w:pPr>
            <w:r>
              <w:rPr>
                <w:lang w:val="bg-BG"/>
              </w:rPr>
              <w:t>42</w:t>
            </w:r>
          </w:p>
        </w:tc>
      </w:tr>
      <w:tr w:rsidR="00922731" w:rsidRPr="00D0327A" w14:paraId="39175CDB" w14:textId="77777777" w:rsidTr="00922731">
        <w:trPr>
          <w:trHeight w:val="397"/>
          <w:jc w:val="center"/>
        </w:trPr>
        <w:tc>
          <w:tcPr>
            <w:tcW w:w="3261" w:type="dxa"/>
            <w:tcBorders>
              <w:top w:val="nil"/>
              <w:left w:val="nil"/>
              <w:bottom w:val="single" w:sz="4" w:space="0" w:color="BFBFBF" w:themeColor="background1" w:themeShade="BF"/>
              <w:right w:val="nil"/>
            </w:tcBorders>
            <w:tcMar>
              <w:top w:w="28" w:type="dxa"/>
              <w:bottom w:w="28" w:type="dxa"/>
            </w:tcMar>
            <w:vAlign w:val="center"/>
          </w:tcPr>
          <w:p w14:paraId="2E75BFE0" w14:textId="77777777" w:rsidR="00922731" w:rsidRPr="00D0327A" w:rsidRDefault="00922731" w:rsidP="00922731">
            <w:pPr>
              <w:pStyle w:val="SubQuestionString"/>
              <w:keepNext/>
              <w:keepLines/>
              <w:rPr>
                <w:lang w:val="en-GB"/>
              </w:rPr>
            </w:pPr>
            <w:r w:rsidRPr="00D0327A">
              <w:rPr>
                <w:lang w:val="en-GB"/>
              </w:rPr>
              <w:t>Увеличен брой посетители</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764EB45C" w14:textId="77777777" w:rsidR="00922731" w:rsidRPr="007A5A2F" w:rsidRDefault="00922731" w:rsidP="00922731">
            <w:pPr>
              <w:pStyle w:val="ParagrahAnswer"/>
              <w:keepNext/>
              <w:jc w:val="right"/>
              <w:rPr>
                <w:lang w:val="bg-BG"/>
              </w:rPr>
            </w:pPr>
            <w:r>
              <w:rPr>
                <w:lang w:val="bg-BG"/>
              </w:rPr>
              <w:t>9</w:t>
            </w:r>
          </w:p>
        </w:tc>
        <w:tc>
          <w:tcPr>
            <w:tcW w:w="3686" w:type="dxa"/>
            <w:tcBorders>
              <w:top w:val="nil"/>
              <w:left w:val="nil"/>
              <w:bottom w:val="single" w:sz="4" w:space="0" w:color="BFBFBF" w:themeColor="background1" w:themeShade="BF"/>
              <w:right w:val="nil"/>
            </w:tcBorders>
            <w:tcMar>
              <w:top w:w="28" w:type="dxa"/>
              <w:bottom w:w="28" w:type="dxa"/>
            </w:tcMar>
            <w:vAlign w:val="center"/>
          </w:tcPr>
          <w:p w14:paraId="446A3245" w14:textId="77777777" w:rsidR="00922731" w:rsidRPr="00D0327A" w:rsidRDefault="00922731" w:rsidP="00922731">
            <w:pPr>
              <w:pStyle w:val="ParagrahAnswer"/>
              <w:keepNext/>
              <w:rPr>
                <w:lang w:val="bg-BG" w:eastAsia="bg-BG"/>
              </w:rPr>
            </w:pPr>
            <w:r>
              <w:rPr>
                <w:lang w:val="bg-BG" w:eastAsia="bg-BG"/>
              </w:rPr>
              <w:t>12 220 годишно</w:t>
            </w:r>
          </w:p>
        </w:tc>
      </w:tr>
      <w:tr w:rsidR="00922731" w:rsidRPr="00D0327A" w14:paraId="5F4EBDD9" w14:textId="77777777" w:rsidTr="00922731">
        <w:trPr>
          <w:trHeight w:val="397"/>
          <w:jc w:val="center"/>
        </w:trPr>
        <w:tc>
          <w:tcPr>
            <w:tcW w:w="3261" w:type="dxa"/>
            <w:tcBorders>
              <w:top w:val="nil"/>
              <w:left w:val="nil"/>
              <w:bottom w:val="single" w:sz="4" w:space="0" w:color="BFBFBF" w:themeColor="background1" w:themeShade="BF"/>
              <w:right w:val="nil"/>
            </w:tcBorders>
            <w:tcMar>
              <w:top w:w="28" w:type="dxa"/>
              <w:bottom w:w="28" w:type="dxa"/>
            </w:tcMar>
            <w:vAlign w:val="center"/>
          </w:tcPr>
          <w:p w14:paraId="50520497" w14:textId="77777777" w:rsidR="00922731" w:rsidRPr="00D0327A" w:rsidRDefault="00922731" w:rsidP="00922731">
            <w:pPr>
              <w:pStyle w:val="SubQuestionString"/>
              <w:keepNext/>
              <w:keepLines/>
              <w:rPr>
                <w:lang w:val="en-GB"/>
              </w:rPr>
            </w:pPr>
            <w:r w:rsidRPr="00D0327A">
              <w:rPr>
                <w:lang w:val="en-GB"/>
              </w:rPr>
              <w:t>Увеличен брой нощувки</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7586F62F" w14:textId="77777777" w:rsidR="00922731" w:rsidRPr="007A5A2F" w:rsidRDefault="00922731" w:rsidP="00922731">
            <w:pPr>
              <w:pStyle w:val="ParagrahAnswer"/>
              <w:keepNext/>
              <w:jc w:val="right"/>
              <w:rPr>
                <w:lang w:val="bg-BG"/>
              </w:rPr>
            </w:pPr>
            <w:r>
              <w:rPr>
                <w:lang w:val="bg-BG"/>
              </w:rPr>
              <w:t>5</w:t>
            </w:r>
          </w:p>
        </w:tc>
        <w:tc>
          <w:tcPr>
            <w:tcW w:w="3686" w:type="dxa"/>
            <w:tcBorders>
              <w:top w:val="nil"/>
              <w:left w:val="nil"/>
              <w:bottom w:val="single" w:sz="4" w:space="0" w:color="BFBFBF" w:themeColor="background1" w:themeShade="BF"/>
              <w:right w:val="nil"/>
            </w:tcBorders>
            <w:tcMar>
              <w:top w:w="28" w:type="dxa"/>
              <w:bottom w:w="28" w:type="dxa"/>
            </w:tcMar>
            <w:vAlign w:val="center"/>
          </w:tcPr>
          <w:p w14:paraId="559F6767" w14:textId="77777777" w:rsidR="00922731" w:rsidRPr="00D0327A" w:rsidRDefault="00922731" w:rsidP="00922731">
            <w:pPr>
              <w:pStyle w:val="ParagrahAnswer"/>
              <w:keepNext/>
              <w:rPr>
                <w:lang w:val="bg-BG" w:eastAsia="bg-BG"/>
              </w:rPr>
            </w:pPr>
            <w:r>
              <w:rPr>
                <w:lang w:val="bg-BG" w:eastAsia="bg-BG"/>
              </w:rPr>
              <w:t>300 ежегодно</w:t>
            </w:r>
          </w:p>
        </w:tc>
      </w:tr>
      <w:tr w:rsidR="00922731" w:rsidRPr="00D0327A" w14:paraId="43CA95AF" w14:textId="77777777" w:rsidTr="00922731">
        <w:trPr>
          <w:trHeight w:val="397"/>
          <w:jc w:val="center"/>
        </w:trPr>
        <w:tc>
          <w:tcPr>
            <w:tcW w:w="3261" w:type="dxa"/>
            <w:tcBorders>
              <w:top w:val="nil"/>
              <w:left w:val="nil"/>
              <w:bottom w:val="single" w:sz="4" w:space="0" w:color="BFBFBF" w:themeColor="background1" w:themeShade="BF"/>
              <w:right w:val="nil"/>
            </w:tcBorders>
            <w:tcMar>
              <w:top w:w="28" w:type="dxa"/>
              <w:bottom w:w="28" w:type="dxa"/>
            </w:tcMar>
            <w:vAlign w:val="center"/>
          </w:tcPr>
          <w:p w14:paraId="6AD60918" w14:textId="77777777" w:rsidR="00922731" w:rsidRPr="00D0327A" w:rsidRDefault="00922731" w:rsidP="00922731">
            <w:pPr>
              <w:pStyle w:val="SubQuestionString"/>
              <w:keepNext/>
              <w:keepLines/>
              <w:rPr>
                <w:lang w:val="en-GB"/>
              </w:rPr>
            </w:pPr>
            <w:r w:rsidRPr="00D0327A">
              <w:rPr>
                <w:lang w:val="en-GB"/>
              </w:rPr>
              <w:t>Предоставяне на нови услуги</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3027C0B3" w14:textId="77777777" w:rsidR="00922731" w:rsidRDefault="00922731" w:rsidP="00922731">
            <w:pPr>
              <w:pStyle w:val="ParagrahAnswer"/>
              <w:keepNext/>
              <w:jc w:val="right"/>
              <w:rPr>
                <w:lang w:val="bg-BG"/>
              </w:rPr>
            </w:pPr>
            <w:r>
              <w:rPr>
                <w:lang w:val="bg-BG"/>
              </w:rPr>
              <w:t>11</w:t>
            </w:r>
          </w:p>
        </w:tc>
        <w:tc>
          <w:tcPr>
            <w:tcW w:w="3686" w:type="dxa"/>
            <w:tcBorders>
              <w:top w:val="nil"/>
              <w:left w:val="nil"/>
              <w:bottom w:val="single" w:sz="4" w:space="0" w:color="BFBFBF" w:themeColor="background1" w:themeShade="BF"/>
              <w:right w:val="nil"/>
            </w:tcBorders>
            <w:tcMar>
              <w:top w:w="28" w:type="dxa"/>
              <w:bottom w:w="28" w:type="dxa"/>
            </w:tcMar>
            <w:vAlign w:val="center"/>
          </w:tcPr>
          <w:p w14:paraId="00186AEC" w14:textId="77777777" w:rsidR="00922731" w:rsidRPr="004F2B62" w:rsidRDefault="00922731" w:rsidP="00922731">
            <w:pPr>
              <w:pStyle w:val="ParagrahAnswer"/>
              <w:keepNext/>
              <w:rPr>
                <w:lang w:val="bg-BG" w:eastAsia="bg-BG"/>
              </w:rPr>
            </w:pPr>
            <w:r>
              <w:rPr>
                <w:lang w:val="bg-BG" w:eastAsia="bg-BG"/>
              </w:rPr>
              <w:t>О</w:t>
            </w:r>
            <w:r w:rsidRPr="004F2B62">
              <w:rPr>
                <w:lang w:val="bg-BG" w:eastAsia="bg-BG"/>
              </w:rPr>
              <w:t>рганизират се фестивали в местността, посещава се от ученици и туристи; Изграден Общински туристически център с изложбена колекция от антични народни носии и предмети от бита и местните занаяти. Изградени съоръжения и места за спорт и отдих, съоръжения за обществена инфраструктура, туристическа екопътека, инфраструктура и съоръжения за пешеходен туризъм; организиране на културни мероприятия, парк за отдих и рекреация</w:t>
            </w:r>
          </w:p>
        </w:tc>
      </w:tr>
      <w:tr w:rsidR="00922731" w:rsidRPr="00D0327A" w14:paraId="4C7C4310" w14:textId="77777777" w:rsidTr="00922731">
        <w:trPr>
          <w:trHeight w:val="397"/>
          <w:jc w:val="center"/>
        </w:trPr>
        <w:tc>
          <w:tcPr>
            <w:tcW w:w="3261" w:type="dxa"/>
            <w:tcBorders>
              <w:top w:val="nil"/>
              <w:left w:val="nil"/>
              <w:bottom w:val="single" w:sz="4" w:space="0" w:color="BFBFBF" w:themeColor="background1" w:themeShade="BF"/>
              <w:right w:val="nil"/>
            </w:tcBorders>
            <w:tcMar>
              <w:top w:w="28" w:type="dxa"/>
              <w:bottom w:w="28" w:type="dxa"/>
            </w:tcMar>
            <w:vAlign w:val="center"/>
          </w:tcPr>
          <w:p w14:paraId="4DDD2C06" w14:textId="77777777" w:rsidR="00922731" w:rsidRPr="0049526E" w:rsidRDefault="00922731" w:rsidP="00922731">
            <w:pPr>
              <w:pStyle w:val="SubQuestionString"/>
              <w:keepNext/>
              <w:keepLines/>
              <w:rPr>
                <w:lang w:val="bg-BG"/>
              </w:rPr>
            </w:pPr>
            <w:r w:rsidRPr="0049526E">
              <w:rPr>
                <w:lang w:val="bg-BG"/>
              </w:rPr>
              <w:t>Други (моля, посочете в полето вдясно)</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38EEB44D" w14:textId="77777777" w:rsidR="00922731" w:rsidRDefault="00922731" w:rsidP="00922731">
            <w:pPr>
              <w:pStyle w:val="ParagrahAnswer"/>
              <w:keepNext/>
              <w:jc w:val="right"/>
              <w:rPr>
                <w:lang w:val="bg-BG"/>
              </w:rPr>
            </w:pPr>
            <w:r>
              <w:rPr>
                <w:lang w:val="bg-BG"/>
              </w:rPr>
              <w:t>2</w:t>
            </w:r>
          </w:p>
        </w:tc>
        <w:tc>
          <w:tcPr>
            <w:tcW w:w="3686" w:type="dxa"/>
            <w:tcBorders>
              <w:top w:val="nil"/>
              <w:left w:val="nil"/>
              <w:bottom w:val="single" w:sz="4" w:space="0" w:color="BFBFBF" w:themeColor="background1" w:themeShade="BF"/>
              <w:right w:val="nil"/>
            </w:tcBorders>
            <w:tcMar>
              <w:top w:w="28" w:type="dxa"/>
              <w:bottom w:w="28" w:type="dxa"/>
            </w:tcMar>
            <w:vAlign w:val="center"/>
          </w:tcPr>
          <w:p w14:paraId="3887CACF" w14:textId="77777777" w:rsidR="00922731" w:rsidRPr="00D0327A" w:rsidRDefault="00922731" w:rsidP="00922731">
            <w:pPr>
              <w:pStyle w:val="ParagrahAnswer"/>
              <w:keepNext/>
              <w:rPr>
                <w:lang w:val="bg-BG" w:eastAsia="bg-BG"/>
              </w:rPr>
            </w:pPr>
            <w:r w:rsidRPr="004F2B62">
              <w:rPr>
                <w:lang w:val="bg-BG" w:eastAsia="bg-BG"/>
              </w:rPr>
              <w:t>подобряване на туризма</w:t>
            </w:r>
          </w:p>
        </w:tc>
      </w:tr>
      <w:tr w:rsidR="00922731" w:rsidRPr="00D0327A" w14:paraId="53B4C645" w14:textId="77777777" w:rsidTr="00922731">
        <w:trPr>
          <w:cantSplit/>
          <w:trHeight w:val="397"/>
          <w:jc w:val="center"/>
        </w:trPr>
        <w:tc>
          <w:tcPr>
            <w:tcW w:w="4253"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56258AD0" w14:textId="77777777" w:rsidR="00922731" w:rsidRPr="004F2B62" w:rsidRDefault="00323417" w:rsidP="00323417">
            <w:pPr>
              <w:pStyle w:val="ChartTableFooter"/>
              <w:keepNext/>
              <w:rPr>
                <w:lang w:val="bg-BG"/>
              </w:rPr>
            </w:pPr>
            <w:r>
              <w:rPr>
                <w:lang w:val="bg-BG"/>
              </w:rPr>
              <w:t>Респонденти</w:t>
            </w:r>
            <w:r w:rsidR="00922731" w:rsidRPr="00D0327A">
              <w:rPr>
                <w:lang w:val="en-GB"/>
              </w:rPr>
              <w:t xml:space="preserve">: </w:t>
            </w:r>
            <w:r w:rsidR="00922731">
              <w:rPr>
                <w:lang w:val="bg-BG"/>
              </w:rPr>
              <w:t>11</w:t>
            </w:r>
          </w:p>
        </w:tc>
        <w:tc>
          <w:tcPr>
            <w:tcW w:w="3686"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794B2AC5" w14:textId="77777777" w:rsidR="00922731" w:rsidRPr="00D0327A" w:rsidRDefault="00922731" w:rsidP="00922731">
            <w:pPr>
              <w:pStyle w:val="ChartTableFooter"/>
              <w:keepNext/>
              <w:rPr>
                <w:lang w:val="en-GB"/>
              </w:rPr>
            </w:pPr>
          </w:p>
        </w:tc>
      </w:tr>
    </w:tbl>
    <w:p w14:paraId="592724E6" w14:textId="77777777" w:rsidR="00922731" w:rsidRPr="00D0327A" w:rsidRDefault="00922731" w:rsidP="00922731">
      <w:pPr>
        <w:spacing w:before="160"/>
        <w:rPr>
          <w:lang w:val="en-GB"/>
        </w:rPr>
      </w:pPr>
    </w:p>
    <w:p w14:paraId="4DBF719B" w14:textId="77777777" w:rsidR="00922731" w:rsidRDefault="00922731" w:rsidP="0049526E">
      <w:pPr>
        <w:pStyle w:val="QuestionString"/>
      </w:pPr>
      <w:r>
        <w:rPr>
          <w:lang w:val="bg-BG"/>
        </w:rPr>
        <w:t>6</w:t>
      </w:r>
      <w:r w:rsidRPr="00D0327A">
        <w:t>. Моля, отбележете основните ползи от проектите, изпълнени по Мярка 321 'Основни услуги за населението и икономиката в селските райони'</w:t>
      </w:r>
    </w:p>
    <w:tbl>
      <w:tblPr>
        <w:tblStyle w:val="TableGrid"/>
        <w:tblW w:w="8505" w:type="dxa"/>
        <w:jc w:val="center"/>
        <w:tblLayout w:type="fixed"/>
        <w:tblLook w:val="01E0" w:firstRow="1" w:lastRow="1" w:firstColumn="1" w:lastColumn="1" w:noHBand="0" w:noVBand="0"/>
      </w:tblPr>
      <w:tblGrid>
        <w:gridCol w:w="4962"/>
        <w:gridCol w:w="992"/>
        <w:gridCol w:w="2551"/>
      </w:tblGrid>
      <w:tr w:rsidR="00922731" w:rsidRPr="00D0327A" w14:paraId="2AEADA4E" w14:textId="77777777" w:rsidTr="009D0C37">
        <w:trPr>
          <w:cantSplit/>
          <w:trHeight w:val="397"/>
          <w:tblHeader/>
          <w:jc w:val="center"/>
        </w:trPr>
        <w:tc>
          <w:tcPr>
            <w:tcW w:w="4962" w:type="dxa"/>
            <w:tcBorders>
              <w:top w:val="nil"/>
              <w:left w:val="nil"/>
              <w:bottom w:val="nil"/>
              <w:right w:val="nil"/>
            </w:tcBorders>
            <w:shd w:val="clear" w:color="auto" w:fill="E0E0E0"/>
            <w:vAlign w:val="center"/>
          </w:tcPr>
          <w:p w14:paraId="44763048" w14:textId="77777777" w:rsidR="00922731" w:rsidRPr="009B3384" w:rsidRDefault="00922731" w:rsidP="00922731">
            <w:pPr>
              <w:pStyle w:val="ChartTableHeader"/>
              <w:keepNext/>
              <w:ind w:left="34"/>
              <w:rPr>
                <w:lang w:val="bg-BG"/>
              </w:rPr>
            </w:pPr>
            <w:r>
              <w:rPr>
                <w:lang w:val="bg-BG"/>
              </w:rPr>
              <w:t>Отговор</w:t>
            </w:r>
          </w:p>
        </w:tc>
        <w:tc>
          <w:tcPr>
            <w:tcW w:w="992" w:type="dxa"/>
            <w:tcBorders>
              <w:top w:val="nil"/>
              <w:left w:val="nil"/>
              <w:bottom w:val="nil"/>
              <w:right w:val="nil"/>
            </w:tcBorders>
            <w:shd w:val="clear" w:color="auto" w:fill="E0E0E0"/>
            <w:vAlign w:val="center"/>
          </w:tcPr>
          <w:p w14:paraId="0527265B" w14:textId="77777777" w:rsidR="00922731" w:rsidRPr="004F2B62" w:rsidRDefault="00922731" w:rsidP="00922731">
            <w:pPr>
              <w:pStyle w:val="ChartTableHeader"/>
              <w:keepNext/>
              <w:jc w:val="right"/>
              <w:rPr>
                <w:lang w:val="bg-BG"/>
              </w:rPr>
            </w:pPr>
            <w:r>
              <w:rPr>
                <w:lang w:val="bg-BG"/>
              </w:rPr>
              <w:t>Брой проекти</w:t>
            </w:r>
          </w:p>
        </w:tc>
        <w:tc>
          <w:tcPr>
            <w:tcW w:w="2551" w:type="dxa"/>
            <w:tcBorders>
              <w:top w:val="nil"/>
              <w:left w:val="nil"/>
              <w:bottom w:val="nil"/>
              <w:right w:val="nil"/>
            </w:tcBorders>
            <w:shd w:val="clear" w:color="auto" w:fill="E0E0E0"/>
            <w:vAlign w:val="center"/>
          </w:tcPr>
          <w:p w14:paraId="49F72FA0" w14:textId="77777777" w:rsidR="00922731" w:rsidRPr="004F2B62" w:rsidRDefault="00922731" w:rsidP="00922731">
            <w:pPr>
              <w:pStyle w:val="ChartTableHeader"/>
              <w:keepNext/>
              <w:rPr>
                <w:lang w:val="bg-BG"/>
              </w:rPr>
            </w:pPr>
            <w:r>
              <w:rPr>
                <w:lang w:val="bg-BG"/>
              </w:rPr>
              <w:t>Общо за проектите</w:t>
            </w:r>
          </w:p>
        </w:tc>
      </w:tr>
      <w:tr w:rsidR="00922731" w:rsidRPr="00D0327A" w14:paraId="4F3A11FD"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0EC59943" w14:textId="77777777" w:rsidR="00922731" w:rsidRPr="0049526E" w:rsidRDefault="00922731" w:rsidP="00922731">
            <w:pPr>
              <w:pStyle w:val="SubQuestionString"/>
              <w:keepNext/>
              <w:keepLines/>
              <w:rPr>
                <w:lang w:val="bg-BG"/>
              </w:rPr>
            </w:pPr>
            <w:r w:rsidRPr="0049526E">
              <w:rPr>
                <w:lang w:val="bg-BG"/>
              </w:rPr>
              <w:t>Реконструирана/рехабилитирана общинска пътна инфраструктура</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4D955849" w14:textId="77777777" w:rsidR="00922731" w:rsidRPr="004F2B62" w:rsidRDefault="00922731" w:rsidP="00922731">
            <w:pPr>
              <w:pStyle w:val="ParagrahAnswer"/>
              <w:keepNext/>
              <w:jc w:val="right"/>
              <w:rPr>
                <w:lang w:val="bg-BG"/>
              </w:rPr>
            </w:pPr>
            <w:r>
              <w:rPr>
                <w:lang w:val="bg-BG"/>
              </w:rPr>
              <w:t xml:space="preserve">18 </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7568C427" w14:textId="77777777" w:rsidR="00922731" w:rsidRPr="004F2B62" w:rsidRDefault="00922731" w:rsidP="00922731">
            <w:pPr>
              <w:pStyle w:val="ParagrahAnswer"/>
              <w:keepNext/>
              <w:rPr>
                <w:lang w:val="bg-BG"/>
              </w:rPr>
            </w:pPr>
            <w:r>
              <w:rPr>
                <w:lang w:val="bg-BG"/>
              </w:rPr>
              <w:t>120 км общо</w:t>
            </w:r>
          </w:p>
        </w:tc>
      </w:tr>
      <w:tr w:rsidR="00922731" w:rsidRPr="00D0327A" w14:paraId="44CA7157"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01D100A3" w14:textId="77777777" w:rsidR="00922731" w:rsidRPr="00D0327A" w:rsidRDefault="00922731" w:rsidP="00922731">
            <w:pPr>
              <w:pStyle w:val="SubQuestionString"/>
              <w:keepNext/>
              <w:keepLines/>
              <w:rPr>
                <w:lang w:val="en-GB"/>
              </w:rPr>
            </w:pPr>
            <w:r w:rsidRPr="00D0327A">
              <w:rPr>
                <w:lang w:val="en-GB"/>
              </w:rPr>
              <w:t>Новоизградена общинска пътна инфраструктура</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4A122C01" w14:textId="77777777" w:rsidR="00922731" w:rsidRPr="007A5A2F" w:rsidRDefault="00922731" w:rsidP="00922731">
            <w:pPr>
              <w:pStyle w:val="ParagrahAnswer"/>
              <w:keepNext/>
              <w:jc w:val="right"/>
              <w:rPr>
                <w:lang w:val="bg-BG"/>
              </w:rPr>
            </w:pPr>
            <w:r>
              <w:rPr>
                <w:lang w:val="bg-BG"/>
              </w:rPr>
              <w:t>0</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362F0473" w14:textId="77777777" w:rsidR="00922731" w:rsidRPr="00D0327A" w:rsidRDefault="00922731" w:rsidP="00922731">
            <w:pPr>
              <w:pStyle w:val="ParagrahAnswer"/>
              <w:keepNext/>
              <w:rPr>
                <w:lang w:val="bg-BG" w:eastAsia="bg-BG"/>
              </w:rPr>
            </w:pPr>
          </w:p>
        </w:tc>
      </w:tr>
      <w:tr w:rsidR="00922731" w:rsidRPr="00D0327A" w14:paraId="363CA723"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256AEDF9" w14:textId="77777777" w:rsidR="00922731" w:rsidRPr="0049526E" w:rsidRDefault="00922731" w:rsidP="00922731">
            <w:pPr>
              <w:pStyle w:val="SubQuestionString"/>
              <w:keepNext/>
              <w:keepLines/>
              <w:rPr>
                <w:lang w:val="bg-BG"/>
              </w:rPr>
            </w:pPr>
            <w:r w:rsidRPr="0049526E">
              <w:rPr>
                <w:lang w:val="bg-BG"/>
              </w:rPr>
              <w:t>Реконструирана/рехабилитирана водоснабдителна и канализационна мрежа</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12383B5B" w14:textId="77777777" w:rsidR="00922731" w:rsidRPr="007A5A2F" w:rsidRDefault="00922731" w:rsidP="00922731">
            <w:pPr>
              <w:pStyle w:val="ParagrahAnswer"/>
              <w:keepNext/>
              <w:jc w:val="right"/>
              <w:rPr>
                <w:lang w:val="bg-BG"/>
              </w:rPr>
            </w:pPr>
            <w:r>
              <w:rPr>
                <w:lang w:val="bg-BG"/>
              </w:rPr>
              <w:t>13</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1249D9FE" w14:textId="77777777" w:rsidR="00922731" w:rsidRPr="00D0327A" w:rsidRDefault="00922731" w:rsidP="00922731">
            <w:pPr>
              <w:pStyle w:val="ParagrahAnswer"/>
              <w:keepNext/>
              <w:rPr>
                <w:lang w:val="bg-BG" w:eastAsia="bg-BG"/>
              </w:rPr>
            </w:pPr>
            <w:r>
              <w:rPr>
                <w:lang w:val="bg-BG" w:eastAsia="bg-BG"/>
              </w:rPr>
              <w:t>47 км общо</w:t>
            </w:r>
          </w:p>
        </w:tc>
      </w:tr>
      <w:tr w:rsidR="00922731" w:rsidRPr="00D0327A" w14:paraId="39E3CA4C"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4FE4B697" w14:textId="77777777" w:rsidR="00922731" w:rsidRPr="0049526E" w:rsidRDefault="00922731" w:rsidP="00922731">
            <w:pPr>
              <w:pStyle w:val="SubQuestionString"/>
              <w:keepNext/>
              <w:keepLines/>
              <w:rPr>
                <w:lang w:val="bg-BG"/>
              </w:rPr>
            </w:pPr>
            <w:r w:rsidRPr="0049526E">
              <w:rPr>
                <w:lang w:val="bg-BG"/>
              </w:rPr>
              <w:t>Новоизградена водоснабдителна и канализационна мрежа</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143DA6A2" w14:textId="77777777" w:rsidR="00922731" w:rsidRDefault="00922731" w:rsidP="00922731">
            <w:pPr>
              <w:pStyle w:val="ParagrahAnswer"/>
              <w:keepNext/>
              <w:jc w:val="right"/>
              <w:rPr>
                <w:lang w:val="bg-BG"/>
              </w:rPr>
            </w:pPr>
            <w:r>
              <w:rPr>
                <w:lang w:val="bg-BG"/>
              </w:rPr>
              <w:t>7</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1C2E5E49" w14:textId="77777777" w:rsidR="00922731" w:rsidRPr="00F97432" w:rsidRDefault="00922731" w:rsidP="00922731">
            <w:pPr>
              <w:pStyle w:val="ParagrahAnswer"/>
              <w:keepNext/>
              <w:rPr>
                <w:lang w:val="bg-BG" w:eastAsia="bg-BG"/>
              </w:rPr>
            </w:pPr>
            <w:r>
              <w:rPr>
                <w:lang w:val="bg-BG" w:eastAsia="bg-BG"/>
              </w:rPr>
              <w:t>И</w:t>
            </w:r>
            <w:r w:rsidRPr="00F97432">
              <w:rPr>
                <w:lang w:val="bg-BG" w:eastAsia="bg-BG"/>
              </w:rPr>
              <w:t>зграден водоем 150 м3 и ремонтирана 4100 м. водопроводна мрежа; Изграден довеждащ водопровод 11 км</w:t>
            </w:r>
            <w:r>
              <w:rPr>
                <w:lang w:val="bg-BG" w:eastAsia="bg-BG"/>
              </w:rPr>
              <w:t xml:space="preserve">; 3 км </w:t>
            </w:r>
            <w:r w:rsidRPr="00F97432">
              <w:rPr>
                <w:lang w:val="bg-BG" w:eastAsia="bg-BG"/>
              </w:rPr>
              <w:t>мрежа</w:t>
            </w:r>
          </w:p>
        </w:tc>
      </w:tr>
      <w:tr w:rsidR="00922731" w:rsidRPr="00D0327A" w14:paraId="4B780E3A"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72D48CCA" w14:textId="77777777" w:rsidR="00922731" w:rsidRPr="0049526E" w:rsidRDefault="00922731" w:rsidP="00922731">
            <w:pPr>
              <w:pStyle w:val="SubQuestionString"/>
              <w:keepNext/>
              <w:keepLines/>
              <w:rPr>
                <w:lang w:val="bg-BG"/>
              </w:rPr>
            </w:pPr>
            <w:r w:rsidRPr="0049526E">
              <w:rPr>
                <w:lang w:val="bg-BG"/>
              </w:rPr>
              <w:t>Брой изградени/рехабилитирани трупосъбирателни площадки</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5F2A10A6" w14:textId="77777777" w:rsidR="00922731" w:rsidRDefault="00922731" w:rsidP="00922731">
            <w:pPr>
              <w:pStyle w:val="ParagrahAnswer"/>
              <w:keepNext/>
              <w:jc w:val="right"/>
              <w:rPr>
                <w:lang w:val="bg-BG"/>
              </w:rPr>
            </w:pPr>
            <w:r>
              <w:rPr>
                <w:lang w:val="bg-BG"/>
              </w:rPr>
              <w:t>0</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6BCDA677" w14:textId="77777777" w:rsidR="00922731" w:rsidRPr="00D0327A" w:rsidRDefault="00922731" w:rsidP="00922731">
            <w:pPr>
              <w:pStyle w:val="ParagrahAnswer"/>
              <w:keepNext/>
              <w:rPr>
                <w:lang w:val="bg-BG" w:eastAsia="bg-BG"/>
              </w:rPr>
            </w:pPr>
          </w:p>
        </w:tc>
      </w:tr>
      <w:tr w:rsidR="00922731" w:rsidRPr="00D0327A" w14:paraId="4D3CCFF8"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57C6AF98" w14:textId="77777777" w:rsidR="00922731" w:rsidRPr="0049526E" w:rsidRDefault="00922731" w:rsidP="00922731">
            <w:pPr>
              <w:pStyle w:val="SubQuestionString"/>
              <w:keepNext/>
              <w:keepLines/>
              <w:rPr>
                <w:lang w:val="bg-BG"/>
              </w:rPr>
            </w:pPr>
            <w:r w:rsidRPr="0049526E">
              <w:rPr>
                <w:lang w:val="bg-BG"/>
              </w:rPr>
              <w:t>Брой изградени/рехабилитирани и оборудвани инсталации за производство на електрическа и/или топлинна енергия от ВЕИ за сгради общинска собственост, предоставящи обществени услуги</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7C4B42F7" w14:textId="77777777" w:rsidR="00922731" w:rsidRDefault="00922731" w:rsidP="00922731">
            <w:pPr>
              <w:pStyle w:val="ParagrahAnswer"/>
              <w:keepNext/>
              <w:jc w:val="right"/>
              <w:rPr>
                <w:lang w:val="bg-BG"/>
              </w:rPr>
            </w:pPr>
            <w:r>
              <w:rPr>
                <w:lang w:val="bg-BG"/>
              </w:rPr>
              <w:t>0</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6E54FB62" w14:textId="77777777" w:rsidR="00922731" w:rsidRPr="00D0327A" w:rsidRDefault="00922731" w:rsidP="00922731">
            <w:pPr>
              <w:pStyle w:val="ParagrahAnswer"/>
              <w:keepNext/>
              <w:rPr>
                <w:lang w:val="bg-BG" w:eastAsia="bg-BG"/>
              </w:rPr>
            </w:pPr>
          </w:p>
        </w:tc>
      </w:tr>
      <w:tr w:rsidR="00922731" w:rsidRPr="00D0327A" w14:paraId="2050D405"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31033031" w14:textId="77777777" w:rsidR="00922731" w:rsidRPr="0049526E" w:rsidRDefault="00922731" w:rsidP="00922731">
            <w:pPr>
              <w:pStyle w:val="SubQuestionString"/>
              <w:keepNext/>
              <w:keepLines/>
              <w:rPr>
                <w:lang w:val="bg-BG"/>
              </w:rPr>
            </w:pPr>
            <w:r w:rsidRPr="0049526E">
              <w:rPr>
                <w:lang w:val="bg-BG"/>
              </w:rPr>
              <w:t>Брой сгради за предоставяне на обществени услуги с въведени мерки за енергийна ефективност</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625C8C22" w14:textId="77777777" w:rsidR="00922731" w:rsidRDefault="00922731" w:rsidP="00922731">
            <w:pPr>
              <w:pStyle w:val="ParagrahAnswer"/>
              <w:keepNext/>
              <w:jc w:val="right"/>
              <w:rPr>
                <w:lang w:val="bg-BG"/>
              </w:rPr>
            </w:pPr>
            <w:r>
              <w:rPr>
                <w:lang w:val="bg-BG"/>
              </w:rPr>
              <w:t>4</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1378E75F" w14:textId="77777777" w:rsidR="00922731" w:rsidRPr="00D0327A" w:rsidRDefault="00922731" w:rsidP="00922731">
            <w:pPr>
              <w:pStyle w:val="ParagrahAnswer"/>
              <w:keepNext/>
              <w:rPr>
                <w:lang w:val="bg-BG" w:eastAsia="bg-BG"/>
              </w:rPr>
            </w:pPr>
            <w:r>
              <w:rPr>
                <w:lang w:val="bg-BG" w:eastAsia="bg-BG"/>
              </w:rPr>
              <w:t>2 сгради общо</w:t>
            </w:r>
          </w:p>
        </w:tc>
      </w:tr>
      <w:tr w:rsidR="00922731" w:rsidRPr="00D0327A" w14:paraId="3824A4EF"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57E2999C" w14:textId="77777777" w:rsidR="00922731" w:rsidRPr="0049526E" w:rsidRDefault="00922731" w:rsidP="00922731">
            <w:pPr>
              <w:pStyle w:val="SubQuestionString"/>
              <w:keepNext/>
              <w:keepLines/>
              <w:rPr>
                <w:lang w:val="bg-BG"/>
              </w:rPr>
            </w:pPr>
            <w:r w:rsidRPr="0049526E">
              <w:rPr>
                <w:lang w:val="bg-BG"/>
              </w:rPr>
              <w:t>Брой изградени/обновени сгради и съоръжения, свързани с предоставяне на културни услуги</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2B2BCEB0" w14:textId="77777777" w:rsidR="00922731" w:rsidRDefault="00922731" w:rsidP="00922731">
            <w:pPr>
              <w:pStyle w:val="ParagrahAnswer"/>
              <w:keepNext/>
              <w:jc w:val="right"/>
              <w:rPr>
                <w:lang w:val="bg-BG"/>
              </w:rPr>
            </w:pPr>
            <w:r>
              <w:rPr>
                <w:lang w:val="bg-BG"/>
              </w:rPr>
              <w:t>8</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4AA507AF" w14:textId="77777777" w:rsidR="00922731" w:rsidRPr="00D0327A" w:rsidRDefault="00922731" w:rsidP="00922731">
            <w:pPr>
              <w:pStyle w:val="ParagrahAnswer"/>
              <w:keepNext/>
              <w:rPr>
                <w:lang w:val="bg-BG" w:eastAsia="bg-BG"/>
              </w:rPr>
            </w:pPr>
            <w:r>
              <w:rPr>
                <w:lang w:val="bg-BG" w:eastAsia="bg-BG"/>
              </w:rPr>
              <w:t>13 сгради общо</w:t>
            </w:r>
          </w:p>
        </w:tc>
      </w:tr>
      <w:tr w:rsidR="00922731" w:rsidRPr="00D0327A" w14:paraId="64DF7A56"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70D82EED" w14:textId="77777777" w:rsidR="00922731" w:rsidRPr="0049526E" w:rsidRDefault="00922731" w:rsidP="00922731">
            <w:pPr>
              <w:pStyle w:val="SubQuestionString"/>
              <w:keepNext/>
              <w:keepLines/>
              <w:rPr>
                <w:lang w:val="bg-BG"/>
              </w:rPr>
            </w:pPr>
            <w:r w:rsidRPr="0049526E">
              <w:rPr>
                <w:lang w:val="bg-BG"/>
              </w:rPr>
              <w:t>Брой изградени/обновени сгради/съоръжения, свързани със спорта, отдиха и свободното време</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308D2C97" w14:textId="77777777" w:rsidR="00922731" w:rsidRDefault="00922731" w:rsidP="00922731">
            <w:pPr>
              <w:pStyle w:val="ParagrahAnswer"/>
              <w:keepNext/>
              <w:jc w:val="right"/>
              <w:rPr>
                <w:lang w:val="bg-BG"/>
              </w:rPr>
            </w:pPr>
            <w:r>
              <w:rPr>
                <w:lang w:val="bg-BG"/>
              </w:rPr>
              <w:t>18</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32F46550" w14:textId="77777777" w:rsidR="00922731" w:rsidRPr="00D0327A" w:rsidRDefault="00922731" w:rsidP="00922731">
            <w:pPr>
              <w:pStyle w:val="ParagrahAnswer"/>
              <w:keepNext/>
              <w:rPr>
                <w:lang w:val="bg-BG" w:eastAsia="bg-BG"/>
              </w:rPr>
            </w:pPr>
            <w:r>
              <w:rPr>
                <w:lang w:val="bg-BG" w:eastAsia="bg-BG"/>
              </w:rPr>
              <w:t>57 общо</w:t>
            </w:r>
          </w:p>
        </w:tc>
      </w:tr>
      <w:tr w:rsidR="00922731" w:rsidRPr="00D0327A" w14:paraId="5327ED80"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6C6531FF" w14:textId="77777777" w:rsidR="00922731" w:rsidRPr="0049526E" w:rsidRDefault="00922731" w:rsidP="00922731">
            <w:pPr>
              <w:pStyle w:val="SubQuestionString"/>
              <w:keepNext/>
              <w:keepLines/>
              <w:rPr>
                <w:lang w:val="bg-BG"/>
              </w:rPr>
            </w:pPr>
            <w:r w:rsidRPr="0049526E">
              <w:rPr>
                <w:lang w:val="bg-BG"/>
              </w:rPr>
              <w:t>Брой изградени/обновени сгради за предоставяне на социални услуги, в т.ч. грижа за деца, грижа за възрастни хора и хора с увреждания, грижа за деца и младежи, предвидени в Националната стратегия за деинституционализация</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013BEE0A" w14:textId="77777777" w:rsidR="00922731" w:rsidRDefault="00922731" w:rsidP="00922731">
            <w:pPr>
              <w:pStyle w:val="ParagrahAnswer"/>
              <w:keepNext/>
              <w:jc w:val="right"/>
              <w:rPr>
                <w:lang w:val="bg-BG"/>
              </w:rPr>
            </w:pPr>
            <w:r>
              <w:rPr>
                <w:lang w:val="bg-BG"/>
              </w:rPr>
              <w:t>3</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7327A669" w14:textId="77777777" w:rsidR="00922731" w:rsidRPr="00D0327A" w:rsidRDefault="00922731" w:rsidP="00922731">
            <w:pPr>
              <w:pStyle w:val="ParagrahAnswer"/>
              <w:keepNext/>
              <w:rPr>
                <w:lang w:val="bg-BG" w:eastAsia="bg-BG"/>
              </w:rPr>
            </w:pPr>
            <w:r>
              <w:rPr>
                <w:lang w:val="bg-BG" w:eastAsia="bg-BG"/>
              </w:rPr>
              <w:t>2 сгради общо</w:t>
            </w:r>
          </w:p>
        </w:tc>
      </w:tr>
      <w:tr w:rsidR="00922731" w:rsidRPr="00D0327A" w14:paraId="73D2EA85"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3DCF2755" w14:textId="77777777" w:rsidR="00922731" w:rsidRPr="0049526E" w:rsidRDefault="00922731" w:rsidP="00922731">
            <w:pPr>
              <w:pStyle w:val="SubQuestionString"/>
              <w:keepNext/>
              <w:keepLines/>
              <w:rPr>
                <w:lang w:val="bg-BG"/>
              </w:rPr>
            </w:pPr>
            <w:r w:rsidRPr="0049526E">
              <w:rPr>
                <w:lang w:val="bg-BG"/>
              </w:rPr>
              <w:t>Подобрен достъп до интернет и интернет услуги, в т.ч. брой проекти за развитие на ИКТ услуги и брой създадени ИКТ центрове, вкл. мобилни</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4F24CDEE" w14:textId="77777777" w:rsidR="00922731" w:rsidRDefault="00922731" w:rsidP="00922731">
            <w:pPr>
              <w:pStyle w:val="ParagrahAnswer"/>
              <w:keepNext/>
              <w:jc w:val="right"/>
              <w:rPr>
                <w:lang w:val="bg-BG"/>
              </w:rPr>
            </w:pPr>
            <w:r>
              <w:rPr>
                <w:lang w:val="bg-BG"/>
              </w:rPr>
              <w:t>2</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51FD0C6F" w14:textId="77777777" w:rsidR="00922731" w:rsidRPr="00D0327A" w:rsidRDefault="00922731" w:rsidP="00922731">
            <w:pPr>
              <w:pStyle w:val="ParagrahAnswer"/>
              <w:keepNext/>
              <w:rPr>
                <w:lang w:val="bg-BG" w:eastAsia="bg-BG"/>
              </w:rPr>
            </w:pPr>
          </w:p>
        </w:tc>
      </w:tr>
      <w:tr w:rsidR="00922731" w:rsidRPr="00D0327A" w14:paraId="54E71627"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7D7BD53E" w14:textId="77777777" w:rsidR="00922731" w:rsidRPr="00D0327A" w:rsidRDefault="00922731" w:rsidP="00922731">
            <w:pPr>
              <w:pStyle w:val="SubQuestionString"/>
              <w:keepNext/>
              <w:keepLines/>
              <w:rPr>
                <w:lang w:val="en-GB"/>
              </w:rPr>
            </w:pPr>
            <w:r w:rsidRPr="00D0327A">
              <w:rPr>
                <w:lang w:val="en-GB"/>
              </w:rPr>
              <w:t>Създадена временна заетост</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12B09F24" w14:textId="77777777" w:rsidR="00922731" w:rsidRDefault="00922731" w:rsidP="00922731">
            <w:pPr>
              <w:pStyle w:val="ParagrahAnswer"/>
              <w:keepNext/>
              <w:jc w:val="right"/>
              <w:rPr>
                <w:lang w:val="bg-BG"/>
              </w:rPr>
            </w:pPr>
            <w:r>
              <w:rPr>
                <w:lang w:val="bg-BG"/>
              </w:rPr>
              <w:t>6</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1CD5E60C" w14:textId="77777777" w:rsidR="00922731" w:rsidRPr="00D0327A" w:rsidRDefault="00922731" w:rsidP="00922731">
            <w:pPr>
              <w:pStyle w:val="ParagrahAnswer"/>
              <w:keepNext/>
              <w:rPr>
                <w:lang w:val="bg-BG" w:eastAsia="bg-BG"/>
              </w:rPr>
            </w:pPr>
            <w:r>
              <w:rPr>
                <w:lang w:val="bg-BG" w:eastAsia="bg-BG"/>
              </w:rPr>
              <w:t>35 човека</w:t>
            </w:r>
          </w:p>
        </w:tc>
      </w:tr>
      <w:tr w:rsidR="00922731" w:rsidRPr="00D0327A" w14:paraId="7D05165D"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4049AE0F" w14:textId="77777777" w:rsidR="00922731" w:rsidRPr="00D0327A" w:rsidRDefault="00922731" w:rsidP="00922731">
            <w:pPr>
              <w:pStyle w:val="SubQuestionString"/>
              <w:keepNext/>
              <w:keepLines/>
              <w:rPr>
                <w:lang w:val="en-GB"/>
              </w:rPr>
            </w:pPr>
            <w:r w:rsidRPr="00D0327A">
              <w:rPr>
                <w:lang w:val="en-GB"/>
              </w:rPr>
              <w:t>Създадена постоянна заетост</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65A751C2" w14:textId="77777777" w:rsidR="00922731" w:rsidRDefault="00922731" w:rsidP="00922731">
            <w:pPr>
              <w:pStyle w:val="ParagrahAnswer"/>
              <w:keepNext/>
              <w:jc w:val="right"/>
              <w:rPr>
                <w:lang w:val="bg-BG"/>
              </w:rPr>
            </w:pPr>
            <w:r>
              <w:rPr>
                <w:lang w:val="bg-BG"/>
              </w:rPr>
              <w:t>5</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5EF87749" w14:textId="77777777" w:rsidR="00922731" w:rsidRPr="00D0327A" w:rsidRDefault="00922731" w:rsidP="00922731">
            <w:pPr>
              <w:pStyle w:val="ParagrahAnswer"/>
              <w:keepNext/>
              <w:rPr>
                <w:lang w:val="bg-BG" w:eastAsia="bg-BG"/>
              </w:rPr>
            </w:pPr>
            <w:r>
              <w:rPr>
                <w:lang w:val="bg-BG" w:eastAsia="bg-BG"/>
              </w:rPr>
              <w:t>14 човека</w:t>
            </w:r>
          </w:p>
        </w:tc>
      </w:tr>
      <w:tr w:rsidR="00922731" w:rsidRPr="00D0327A" w14:paraId="7EFB1575" w14:textId="77777777" w:rsidTr="009D0C37">
        <w:trPr>
          <w:trHeight w:val="397"/>
          <w:jc w:val="center"/>
        </w:trPr>
        <w:tc>
          <w:tcPr>
            <w:tcW w:w="4962" w:type="dxa"/>
            <w:tcBorders>
              <w:top w:val="nil"/>
              <w:left w:val="nil"/>
              <w:bottom w:val="single" w:sz="4" w:space="0" w:color="BFBFBF" w:themeColor="background1" w:themeShade="BF"/>
              <w:right w:val="nil"/>
            </w:tcBorders>
            <w:tcMar>
              <w:top w:w="28" w:type="dxa"/>
              <w:bottom w:w="28" w:type="dxa"/>
            </w:tcMar>
            <w:vAlign w:val="center"/>
          </w:tcPr>
          <w:p w14:paraId="4737EEBD" w14:textId="77777777" w:rsidR="00922731" w:rsidRPr="0049526E" w:rsidRDefault="00922731" w:rsidP="00922731">
            <w:pPr>
              <w:pStyle w:val="SubQuestionString"/>
              <w:keepNext/>
              <w:keepLines/>
              <w:rPr>
                <w:lang w:val="bg-BG"/>
              </w:rPr>
            </w:pPr>
            <w:r w:rsidRPr="0049526E">
              <w:rPr>
                <w:lang w:val="bg-BG"/>
              </w:rPr>
              <w:t>Други (моля, посочете в полето вдясно)</w:t>
            </w:r>
          </w:p>
        </w:tc>
        <w:tc>
          <w:tcPr>
            <w:tcW w:w="992" w:type="dxa"/>
            <w:tcBorders>
              <w:top w:val="nil"/>
              <w:left w:val="nil"/>
              <w:bottom w:val="single" w:sz="4" w:space="0" w:color="BFBFBF" w:themeColor="background1" w:themeShade="BF"/>
              <w:right w:val="nil"/>
            </w:tcBorders>
            <w:tcMar>
              <w:top w:w="28" w:type="dxa"/>
              <w:bottom w:w="28" w:type="dxa"/>
            </w:tcMar>
            <w:vAlign w:val="center"/>
          </w:tcPr>
          <w:p w14:paraId="47CE935D" w14:textId="77777777" w:rsidR="00922731" w:rsidRDefault="00922731" w:rsidP="00922731">
            <w:pPr>
              <w:pStyle w:val="ParagrahAnswer"/>
              <w:keepNext/>
              <w:jc w:val="right"/>
              <w:rPr>
                <w:lang w:val="bg-BG"/>
              </w:rPr>
            </w:pPr>
            <w:r>
              <w:rPr>
                <w:lang w:val="bg-BG"/>
              </w:rPr>
              <w:t>2</w:t>
            </w:r>
          </w:p>
        </w:tc>
        <w:tc>
          <w:tcPr>
            <w:tcW w:w="2551" w:type="dxa"/>
            <w:tcBorders>
              <w:top w:val="nil"/>
              <w:left w:val="nil"/>
              <w:bottom w:val="single" w:sz="4" w:space="0" w:color="BFBFBF" w:themeColor="background1" w:themeShade="BF"/>
              <w:right w:val="nil"/>
            </w:tcBorders>
            <w:tcMar>
              <w:top w:w="28" w:type="dxa"/>
              <w:bottom w:w="28" w:type="dxa"/>
            </w:tcMar>
            <w:vAlign w:val="center"/>
          </w:tcPr>
          <w:p w14:paraId="5AF8344B" w14:textId="77777777" w:rsidR="00922731" w:rsidRPr="00D0327A" w:rsidRDefault="00922731" w:rsidP="009D0C37">
            <w:pPr>
              <w:pStyle w:val="ParagrahAnswer"/>
              <w:keepNext/>
              <w:rPr>
                <w:lang w:val="bg-BG" w:eastAsia="bg-BG"/>
              </w:rPr>
            </w:pPr>
            <w:r w:rsidRPr="00F97432">
              <w:rPr>
                <w:lang w:val="bg-BG" w:eastAsia="bg-BG"/>
              </w:rPr>
              <w:t>Изграждане на пречиствателно съоръжение за битови отпадъци</w:t>
            </w:r>
            <w:r>
              <w:rPr>
                <w:lang w:val="bg-BG" w:eastAsia="bg-BG"/>
              </w:rPr>
              <w:t xml:space="preserve">; </w:t>
            </w:r>
            <w:r w:rsidRPr="00F97432">
              <w:rPr>
                <w:lang w:val="bg-BG" w:eastAsia="bg-BG"/>
              </w:rPr>
              <w:t>Повишено качество на живот в общ. Кайнарджа</w:t>
            </w:r>
          </w:p>
        </w:tc>
      </w:tr>
      <w:tr w:rsidR="00922731" w:rsidRPr="00D0327A" w14:paraId="69535A25" w14:textId="77777777" w:rsidTr="009D0C37">
        <w:trPr>
          <w:cantSplit/>
          <w:trHeight w:val="397"/>
          <w:jc w:val="center"/>
        </w:trPr>
        <w:tc>
          <w:tcPr>
            <w:tcW w:w="5954"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01731F25" w14:textId="77777777" w:rsidR="00922731" w:rsidRPr="004F2B62" w:rsidRDefault="00323417" w:rsidP="00323417">
            <w:pPr>
              <w:pStyle w:val="ChartTableFooter"/>
              <w:keepNext/>
              <w:rPr>
                <w:lang w:val="bg-BG"/>
              </w:rPr>
            </w:pPr>
            <w:r>
              <w:rPr>
                <w:lang w:val="bg-BG"/>
              </w:rPr>
              <w:t>Респонденти</w:t>
            </w:r>
            <w:r w:rsidR="00922731" w:rsidRPr="00D0327A">
              <w:rPr>
                <w:lang w:val="en-GB"/>
              </w:rPr>
              <w:t xml:space="preserve">: </w:t>
            </w:r>
            <w:r w:rsidR="00922731">
              <w:rPr>
                <w:lang w:val="bg-BG"/>
              </w:rPr>
              <w:t>18</w:t>
            </w:r>
          </w:p>
        </w:tc>
        <w:tc>
          <w:tcPr>
            <w:tcW w:w="2551"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387E88D0" w14:textId="77777777" w:rsidR="00922731" w:rsidRPr="00D0327A" w:rsidRDefault="00922731" w:rsidP="00922731">
            <w:pPr>
              <w:pStyle w:val="ChartTableFooter"/>
              <w:keepNext/>
              <w:rPr>
                <w:lang w:val="en-GB"/>
              </w:rPr>
            </w:pPr>
          </w:p>
        </w:tc>
      </w:tr>
    </w:tbl>
    <w:p w14:paraId="3DB626CB" w14:textId="77777777" w:rsidR="00922731" w:rsidRDefault="00922731" w:rsidP="00922731">
      <w:pPr>
        <w:rPr>
          <w:lang w:val="en-GB"/>
        </w:rPr>
      </w:pPr>
    </w:p>
    <w:p w14:paraId="0FFAFC10" w14:textId="77777777" w:rsidR="00922731" w:rsidRDefault="00922731" w:rsidP="0049526E">
      <w:pPr>
        <w:pStyle w:val="QuestionString"/>
      </w:pPr>
      <w:r>
        <w:rPr>
          <w:lang w:val="bg-BG"/>
        </w:rPr>
        <w:t>7.</w:t>
      </w:r>
      <w:r w:rsidRPr="00D0327A">
        <w:t xml:space="preserve"> Моля, отбележете основните ползи от проектите, изпълнени по мярка 322 'Обновяване </w:t>
      </w:r>
      <w:r>
        <w:t>и развитие на населените места'</w:t>
      </w:r>
    </w:p>
    <w:tbl>
      <w:tblPr>
        <w:tblStyle w:val="TableGrid"/>
        <w:tblW w:w="7939" w:type="dxa"/>
        <w:jc w:val="center"/>
        <w:tblLayout w:type="fixed"/>
        <w:tblLook w:val="01E0" w:firstRow="1" w:lastRow="1" w:firstColumn="1" w:lastColumn="1" w:noHBand="0" w:noVBand="0"/>
      </w:tblPr>
      <w:tblGrid>
        <w:gridCol w:w="4678"/>
        <w:gridCol w:w="1134"/>
        <w:gridCol w:w="2127"/>
      </w:tblGrid>
      <w:tr w:rsidR="00922731" w:rsidRPr="00D0327A" w14:paraId="5DA87C4B" w14:textId="77777777" w:rsidTr="009D0C37">
        <w:trPr>
          <w:cantSplit/>
          <w:trHeight w:val="397"/>
          <w:tblHeader/>
          <w:jc w:val="center"/>
        </w:trPr>
        <w:tc>
          <w:tcPr>
            <w:tcW w:w="4678" w:type="dxa"/>
            <w:tcBorders>
              <w:top w:val="nil"/>
              <w:left w:val="nil"/>
              <w:bottom w:val="nil"/>
              <w:right w:val="nil"/>
            </w:tcBorders>
            <w:shd w:val="clear" w:color="auto" w:fill="E0E0E0"/>
            <w:vAlign w:val="center"/>
          </w:tcPr>
          <w:p w14:paraId="2AA49BC6" w14:textId="77777777" w:rsidR="00922731" w:rsidRPr="009B3384" w:rsidRDefault="00922731" w:rsidP="00922731">
            <w:pPr>
              <w:pStyle w:val="ChartTableHeader"/>
              <w:keepNext/>
              <w:ind w:left="34"/>
              <w:rPr>
                <w:lang w:val="bg-BG"/>
              </w:rPr>
            </w:pPr>
            <w:r>
              <w:rPr>
                <w:lang w:val="bg-BG"/>
              </w:rPr>
              <w:t>Отговор</w:t>
            </w:r>
          </w:p>
        </w:tc>
        <w:tc>
          <w:tcPr>
            <w:tcW w:w="1134" w:type="dxa"/>
            <w:tcBorders>
              <w:top w:val="nil"/>
              <w:left w:val="nil"/>
              <w:bottom w:val="nil"/>
              <w:right w:val="nil"/>
            </w:tcBorders>
            <w:shd w:val="clear" w:color="auto" w:fill="E0E0E0"/>
            <w:vAlign w:val="center"/>
          </w:tcPr>
          <w:p w14:paraId="07F8C9FC" w14:textId="77777777" w:rsidR="00922731" w:rsidRPr="004F2B62" w:rsidRDefault="00922731" w:rsidP="00922731">
            <w:pPr>
              <w:pStyle w:val="ChartTableHeader"/>
              <w:keepNext/>
              <w:jc w:val="right"/>
              <w:rPr>
                <w:lang w:val="bg-BG"/>
              </w:rPr>
            </w:pPr>
            <w:r>
              <w:rPr>
                <w:lang w:val="bg-BG"/>
              </w:rPr>
              <w:t>Брой проекти</w:t>
            </w:r>
          </w:p>
        </w:tc>
        <w:tc>
          <w:tcPr>
            <w:tcW w:w="2127" w:type="dxa"/>
            <w:tcBorders>
              <w:top w:val="nil"/>
              <w:left w:val="nil"/>
              <w:bottom w:val="nil"/>
              <w:right w:val="nil"/>
            </w:tcBorders>
            <w:shd w:val="clear" w:color="auto" w:fill="E0E0E0"/>
            <w:vAlign w:val="center"/>
          </w:tcPr>
          <w:p w14:paraId="6E696DDC" w14:textId="77777777" w:rsidR="00922731" w:rsidRPr="004F2B62" w:rsidRDefault="00922731" w:rsidP="00922731">
            <w:pPr>
              <w:pStyle w:val="ChartTableHeader"/>
              <w:keepNext/>
              <w:rPr>
                <w:lang w:val="bg-BG"/>
              </w:rPr>
            </w:pPr>
            <w:r>
              <w:rPr>
                <w:lang w:val="bg-BG"/>
              </w:rPr>
              <w:t>Общо за проектите</w:t>
            </w:r>
          </w:p>
        </w:tc>
      </w:tr>
      <w:tr w:rsidR="00922731" w:rsidRPr="00D0327A" w14:paraId="6DF91984" w14:textId="77777777" w:rsidTr="009D0C37">
        <w:trPr>
          <w:trHeight w:val="397"/>
          <w:jc w:val="center"/>
        </w:trPr>
        <w:tc>
          <w:tcPr>
            <w:tcW w:w="4678" w:type="dxa"/>
            <w:tcBorders>
              <w:top w:val="nil"/>
              <w:left w:val="nil"/>
              <w:bottom w:val="single" w:sz="4" w:space="0" w:color="BFBFBF" w:themeColor="background1" w:themeShade="BF"/>
              <w:right w:val="nil"/>
            </w:tcBorders>
            <w:tcMar>
              <w:top w:w="28" w:type="dxa"/>
              <w:bottom w:w="28" w:type="dxa"/>
            </w:tcMar>
            <w:vAlign w:val="center"/>
          </w:tcPr>
          <w:p w14:paraId="23B52E54" w14:textId="77777777" w:rsidR="00922731" w:rsidRPr="0049526E" w:rsidRDefault="00922731" w:rsidP="00922731">
            <w:pPr>
              <w:pStyle w:val="SubQuestionString"/>
              <w:keepNext/>
              <w:keepLines/>
              <w:rPr>
                <w:lang w:val="bg-BG"/>
              </w:rPr>
            </w:pPr>
            <w:r w:rsidRPr="0049526E">
              <w:rPr>
                <w:lang w:val="bg-BG"/>
              </w:rPr>
              <w:t>Рехабилитация на съществуващи и изграждане на нови обществени зелени площи – паркове и градини, детски площадки и съоръженията към тях</w:t>
            </w:r>
          </w:p>
        </w:tc>
        <w:tc>
          <w:tcPr>
            <w:tcW w:w="1134" w:type="dxa"/>
            <w:tcBorders>
              <w:top w:val="nil"/>
              <w:left w:val="nil"/>
              <w:bottom w:val="single" w:sz="4" w:space="0" w:color="BFBFBF" w:themeColor="background1" w:themeShade="BF"/>
              <w:right w:val="nil"/>
            </w:tcBorders>
            <w:tcMar>
              <w:top w:w="28" w:type="dxa"/>
              <w:bottom w:w="28" w:type="dxa"/>
            </w:tcMar>
            <w:vAlign w:val="center"/>
          </w:tcPr>
          <w:p w14:paraId="78BF0143" w14:textId="77777777" w:rsidR="00922731" w:rsidRPr="004F2B62" w:rsidRDefault="00922731" w:rsidP="00922731">
            <w:pPr>
              <w:pStyle w:val="ParagrahAnswer"/>
              <w:keepNext/>
              <w:jc w:val="right"/>
              <w:rPr>
                <w:lang w:val="bg-BG"/>
              </w:rPr>
            </w:pPr>
            <w:r>
              <w:rPr>
                <w:lang w:val="bg-BG"/>
              </w:rPr>
              <w:t>14</w:t>
            </w:r>
          </w:p>
        </w:tc>
        <w:tc>
          <w:tcPr>
            <w:tcW w:w="2127" w:type="dxa"/>
            <w:tcBorders>
              <w:top w:val="nil"/>
              <w:left w:val="nil"/>
              <w:bottom w:val="single" w:sz="4" w:space="0" w:color="BFBFBF" w:themeColor="background1" w:themeShade="BF"/>
              <w:right w:val="nil"/>
            </w:tcBorders>
            <w:tcMar>
              <w:top w:w="28" w:type="dxa"/>
              <w:bottom w:w="28" w:type="dxa"/>
            </w:tcMar>
            <w:vAlign w:val="center"/>
          </w:tcPr>
          <w:p w14:paraId="52A062BF" w14:textId="77777777" w:rsidR="00922731" w:rsidRPr="004F2B62" w:rsidRDefault="00922731" w:rsidP="00922731">
            <w:pPr>
              <w:pStyle w:val="ParagrahAnswer"/>
              <w:keepNext/>
              <w:rPr>
                <w:lang w:val="bg-BG"/>
              </w:rPr>
            </w:pPr>
            <w:r>
              <w:rPr>
                <w:lang w:val="bg-BG"/>
              </w:rPr>
              <w:t>46 общо</w:t>
            </w:r>
          </w:p>
        </w:tc>
      </w:tr>
      <w:tr w:rsidR="00922731" w:rsidRPr="00D0327A" w14:paraId="1CFCD5D4" w14:textId="77777777" w:rsidTr="009D0C37">
        <w:trPr>
          <w:trHeight w:val="397"/>
          <w:jc w:val="center"/>
        </w:trPr>
        <w:tc>
          <w:tcPr>
            <w:tcW w:w="4678" w:type="dxa"/>
            <w:tcBorders>
              <w:top w:val="nil"/>
              <w:left w:val="nil"/>
              <w:bottom w:val="single" w:sz="4" w:space="0" w:color="BFBFBF" w:themeColor="background1" w:themeShade="BF"/>
              <w:right w:val="nil"/>
            </w:tcBorders>
            <w:tcMar>
              <w:top w:w="28" w:type="dxa"/>
              <w:bottom w:w="28" w:type="dxa"/>
            </w:tcMar>
            <w:vAlign w:val="center"/>
          </w:tcPr>
          <w:p w14:paraId="0854DEE2" w14:textId="77777777" w:rsidR="00922731" w:rsidRPr="0049526E" w:rsidRDefault="00922731" w:rsidP="00922731">
            <w:pPr>
              <w:pStyle w:val="SubQuestionString"/>
              <w:keepNext/>
              <w:keepLines/>
              <w:rPr>
                <w:lang w:val="bg-BG"/>
              </w:rPr>
            </w:pPr>
            <w:r w:rsidRPr="0049526E">
              <w:rPr>
                <w:lang w:val="bg-BG"/>
              </w:rPr>
              <w:t>Реконструкция и ремонт на обществени сгради с историческо и културно значение и подобряване на прилежащите пространства, включително вертикална планировка</w:t>
            </w:r>
          </w:p>
        </w:tc>
        <w:tc>
          <w:tcPr>
            <w:tcW w:w="1134" w:type="dxa"/>
            <w:tcBorders>
              <w:top w:val="nil"/>
              <w:left w:val="nil"/>
              <w:bottom w:val="single" w:sz="4" w:space="0" w:color="BFBFBF" w:themeColor="background1" w:themeShade="BF"/>
              <w:right w:val="nil"/>
            </w:tcBorders>
            <w:tcMar>
              <w:top w:w="28" w:type="dxa"/>
              <w:bottom w:w="28" w:type="dxa"/>
            </w:tcMar>
            <w:vAlign w:val="center"/>
          </w:tcPr>
          <w:p w14:paraId="3AF73661" w14:textId="77777777" w:rsidR="00922731" w:rsidRPr="007A5A2F" w:rsidRDefault="00922731" w:rsidP="00922731">
            <w:pPr>
              <w:pStyle w:val="ParagrahAnswer"/>
              <w:keepNext/>
              <w:jc w:val="right"/>
              <w:rPr>
                <w:lang w:val="bg-BG"/>
              </w:rPr>
            </w:pPr>
            <w:r>
              <w:rPr>
                <w:lang w:val="bg-BG"/>
              </w:rPr>
              <w:t>1</w:t>
            </w:r>
          </w:p>
        </w:tc>
        <w:tc>
          <w:tcPr>
            <w:tcW w:w="2127" w:type="dxa"/>
            <w:tcBorders>
              <w:top w:val="nil"/>
              <w:left w:val="nil"/>
              <w:bottom w:val="single" w:sz="4" w:space="0" w:color="BFBFBF" w:themeColor="background1" w:themeShade="BF"/>
              <w:right w:val="nil"/>
            </w:tcBorders>
            <w:tcMar>
              <w:top w:w="28" w:type="dxa"/>
              <w:bottom w:w="28" w:type="dxa"/>
            </w:tcMar>
            <w:vAlign w:val="center"/>
          </w:tcPr>
          <w:p w14:paraId="38EDFC82" w14:textId="77777777" w:rsidR="00922731" w:rsidRPr="00D0327A" w:rsidRDefault="00922731" w:rsidP="00922731">
            <w:pPr>
              <w:pStyle w:val="ParagrahAnswer"/>
              <w:keepNext/>
              <w:rPr>
                <w:lang w:val="bg-BG" w:eastAsia="bg-BG"/>
              </w:rPr>
            </w:pPr>
            <w:r w:rsidRPr="00295E60">
              <w:rPr>
                <w:lang w:val="bg-BG"/>
              </w:rPr>
              <w:t>Реконструкция на общински Музей</w:t>
            </w:r>
          </w:p>
        </w:tc>
      </w:tr>
      <w:tr w:rsidR="00922731" w:rsidRPr="00D0327A" w14:paraId="69B7B360" w14:textId="77777777" w:rsidTr="009D0C37">
        <w:trPr>
          <w:trHeight w:val="397"/>
          <w:jc w:val="center"/>
        </w:trPr>
        <w:tc>
          <w:tcPr>
            <w:tcW w:w="4678" w:type="dxa"/>
            <w:tcBorders>
              <w:top w:val="nil"/>
              <w:left w:val="nil"/>
              <w:bottom w:val="single" w:sz="4" w:space="0" w:color="BFBFBF" w:themeColor="background1" w:themeShade="BF"/>
              <w:right w:val="nil"/>
            </w:tcBorders>
            <w:tcMar>
              <w:top w:w="28" w:type="dxa"/>
              <w:bottom w:w="28" w:type="dxa"/>
            </w:tcMar>
            <w:vAlign w:val="center"/>
          </w:tcPr>
          <w:p w14:paraId="2AA3EE40" w14:textId="77777777" w:rsidR="00922731" w:rsidRPr="0049526E" w:rsidRDefault="00922731" w:rsidP="00922731">
            <w:pPr>
              <w:pStyle w:val="SubQuestionString"/>
              <w:keepNext/>
              <w:keepLines/>
              <w:rPr>
                <w:lang w:val="bg-BG"/>
              </w:rPr>
            </w:pPr>
            <w:r w:rsidRPr="0049526E">
              <w:rPr>
                <w:lang w:val="bg-BG"/>
              </w:rPr>
              <w:t>Реконструкция и ремонт на сгради с местно религиозно значение и подобряване на прилежащите пространства, включително вертикална планировка</w:t>
            </w:r>
          </w:p>
        </w:tc>
        <w:tc>
          <w:tcPr>
            <w:tcW w:w="1134" w:type="dxa"/>
            <w:tcBorders>
              <w:top w:val="nil"/>
              <w:left w:val="nil"/>
              <w:bottom w:val="single" w:sz="4" w:space="0" w:color="BFBFBF" w:themeColor="background1" w:themeShade="BF"/>
              <w:right w:val="nil"/>
            </w:tcBorders>
            <w:tcMar>
              <w:top w:w="28" w:type="dxa"/>
              <w:bottom w:w="28" w:type="dxa"/>
            </w:tcMar>
            <w:vAlign w:val="center"/>
          </w:tcPr>
          <w:p w14:paraId="6DF7C49F" w14:textId="77777777" w:rsidR="00922731" w:rsidRPr="007A5A2F" w:rsidRDefault="00922731" w:rsidP="00922731">
            <w:pPr>
              <w:pStyle w:val="ParagrahAnswer"/>
              <w:keepNext/>
              <w:jc w:val="right"/>
              <w:rPr>
                <w:lang w:val="bg-BG"/>
              </w:rPr>
            </w:pPr>
            <w:r>
              <w:rPr>
                <w:lang w:val="bg-BG"/>
              </w:rPr>
              <w:t>2</w:t>
            </w:r>
          </w:p>
        </w:tc>
        <w:tc>
          <w:tcPr>
            <w:tcW w:w="2127" w:type="dxa"/>
            <w:tcBorders>
              <w:top w:val="nil"/>
              <w:left w:val="nil"/>
              <w:bottom w:val="single" w:sz="4" w:space="0" w:color="BFBFBF" w:themeColor="background1" w:themeShade="BF"/>
              <w:right w:val="nil"/>
            </w:tcBorders>
            <w:tcMar>
              <w:top w:w="28" w:type="dxa"/>
              <w:bottom w:w="28" w:type="dxa"/>
            </w:tcMar>
            <w:vAlign w:val="center"/>
          </w:tcPr>
          <w:p w14:paraId="553EEA84" w14:textId="77777777" w:rsidR="00922731" w:rsidRPr="00D0327A" w:rsidRDefault="00922731" w:rsidP="00922731">
            <w:pPr>
              <w:pStyle w:val="ParagrahAnswer"/>
              <w:keepNext/>
              <w:rPr>
                <w:lang w:val="bg-BG" w:eastAsia="bg-BG"/>
              </w:rPr>
            </w:pPr>
            <w:r>
              <w:rPr>
                <w:lang w:val="bg-BG" w:eastAsia="bg-BG"/>
              </w:rPr>
              <w:t>3 общо</w:t>
            </w:r>
          </w:p>
        </w:tc>
      </w:tr>
      <w:tr w:rsidR="00922731" w:rsidRPr="00D0327A" w14:paraId="1BB6B12F" w14:textId="77777777" w:rsidTr="009D0C37">
        <w:trPr>
          <w:trHeight w:val="397"/>
          <w:jc w:val="center"/>
        </w:trPr>
        <w:tc>
          <w:tcPr>
            <w:tcW w:w="4678" w:type="dxa"/>
            <w:tcBorders>
              <w:top w:val="nil"/>
              <w:left w:val="nil"/>
              <w:bottom w:val="single" w:sz="4" w:space="0" w:color="BFBFBF" w:themeColor="background1" w:themeShade="BF"/>
              <w:right w:val="nil"/>
            </w:tcBorders>
            <w:tcMar>
              <w:top w:w="28" w:type="dxa"/>
              <w:bottom w:w="28" w:type="dxa"/>
            </w:tcMar>
            <w:vAlign w:val="center"/>
          </w:tcPr>
          <w:p w14:paraId="47695985" w14:textId="77777777" w:rsidR="00922731" w:rsidRPr="0049526E" w:rsidRDefault="00922731" w:rsidP="00922731">
            <w:pPr>
              <w:pStyle w:val="SubQuestionString"/>
              <w:keepNext/>
              <w:keepLines/>
              <w:rPr>
                <w:lang w:val="bg-BG"/>
              </w:rPr>
            </w:pPr>
            <w:r w:rsidRPr="0049526E">
              <w:rPr>
                <w:lang w:val="bg-BG"/>
              </w:rPr>
              <w:t>Ремонт на фасади на частни сгради и прилежащи пространства, както и вертикална планировка (ако са включени в интегриран план за обновяване на населеното място)</w:t>
            </w:r>
          </w:p>
        </w:tc>
        <w:tc>
          <w:tcPr>
            <w:tcW w:w="1134" w:type="dxa"/>
            <w:tcBorders>
              <w:top w:val="nil"/>
              <w:left w:val="nil"/>
              <w:bottom w:val="single" w:sz="4" w:space="0" w:color="BFBFBF" w:themeColor="background1" w:themeShade="BF"/>
              <w:right w:val="nil"/>
            </w:tcBorders>
            <w:tcMar>
              <w:top w:w="28" w:type="dxa"/>
              <w:bottom w:w="28" w:type="dxa"/>
            </w:tcMar>
            <w:vAlign w:val="center"/>
          </w:tcPr>
          <w:p w14:paraId="2F9C0F85" w14:textId="77777777" w:rsidR="00922731" w:rsidRDefault="00922731" w:rsidP="00922731">
            <w:pPr>
              <w:pStyle w:val="ParagrahAnswer"/>
              <w:keepNext/>
              <w:jc w:val="right"/>
              <w:rPr>
                <w:lang w:val="bg-BG"/>
              </w:rPr>
            </w:pPr>
            <w:r>
              <w:rPr>
                <w:lang w:val="bg-BG"/>
              </w:rPr>
              <w:t>0</w:t>
            </w:r>
          </w:p>
        </w:tc>
        <w:tc>
          <w:tcPr>
            <w:tcW w:w="2127" w:type="dxa"/>
            <w:tcBorders>
              <w:top w:val="nil"/>
              <w:left w:val="nil"/>
              <w:bottom w:val="single" w:sz="4" w:space="0" w:color="BFBFBF" w:themeColor="background1" w:themeShade="BF"/>
              <w:right w:val="nil"/>
            </w:tcBorders>
            <w:tcMar>
              <w:top w:w="28" w:type="dxa"/>
              <w:bottom w:w="28" w:type="dxa"/>
            </w:tcMar>
            <w:vAlign w:val="center"/>
          </w:tcPr>
          <w:p w14:paraId="110C30BE" w14:textId="77777777" w:rsidR="00922731" w:rsidRPr="00F97432" w:rsidRDefault="00922731" w:rsidP="00922731">
            <w:pPr>
              <w:pStyle w:val="ParagrahAnswer"/>
              <w:keepNext/>
              <w:rPr>
                <w:lang w:val="bg-BG" w:eastAsia="bg-BG"/>
              </w:rPr>
            </w:pPr>
          </w:p>
        </w:tc>
      </w:tr>
      <w:tr w:rsidR="00922731" w:rsidRPr="00D0327A" w14:paraId="2EC9C50B" w14:textId="77777777" w:rsidTr="009D0C37">
        <w:trPr>
          <w:trHeight w:val="397"/>
          <w:jc w:val="center"/>
        </w:trPr>
        <w:tc>
          <w:tcPr>
            <w:tcW w:w="4678" w:type="dxa"/>
            <w:tcBorders>
              <w:top w:val="nil"/>
              <w:left w:val="nil"/>
              <w:bottom w:val="single" w:sz="4" w:space="0" w:color="BFBFBF" w:themeColor="background1" w:themeShade="BF"/>
              <w:right w:val="nil"/>
            </w:tcBorders>
            <w:tcMar>
              <w:top w:w="28" w:type="dxa"/>
              <w:bottom w:w="28" w:type="dxa"/>
            </w:tcMar>
            <w:vAlign w:val="center"/>
          </w:tcPr>
          <w:p w14:paraId="4AB8087A" w14:textId="77777777" w:rsidR="00922731" w:rsidRPr="0049526E" w:rsidRDefault="00922731" w:rsidP="00922731">
            <w:pPr>
              <w:pStyle w:val="SubQuestionString"/>
              <w:keepNext/>
              <w:keepLines/>
              <w:rPr>
                <w:lang w:val="bg-BG"/>
              </w:rPr>
            </w:pPr>
            <w:r w:rsidRPr="0049526E">
              <w:rPr>
                <w:lang w:val="bg-BG"/>
              </w:rPr>
              <w:t>Реконструкция на съществуващи и изграждане на нови улична мрежа, тротоари, площади, осветление на територията на населеното място)</w:t>
            </w:r>
          </w:p>
        </w:tc>
        <w:tc>
          <w:tcPr>
            <w:tcW w:w="1134" w:type="dxa"/>
            <w:tcBorders>
              <w:top w:val="nil"/>
              <w:left w:val="nil"/>
              <w:bottom w:val="single" w:sz="4" w:space="0" w:color="BFBFBF" w:themeColor="background1" w:themeShade="BF"/>
              <w:right w:val="nil"/>
            </w:tcBorders>
            <w:tcMar>
              <w:top w:w="28" w:type="dxa"/>
              <w:bottom w:w="28" w:type="dxa"/>
            </w:tcMar>
            <w:vAlign w:val="center"/>
          </w:tcPr>
          <w:p w14:paraId="112A1733" w14:textId="77777777" w:rsidR="00922731" w:rsidRDefault="00922731" w:rsidP="00922731">
            <w:pPr>
              <w:pStyle w:val="ParagrahAnswer"/>
              <w:keepNext/>
              <w:jc w:val="right"/>
              <w:rPr>
                <w:lang w:val="bg-BG"/>
              </w:rPr>
            </w:pPr>
            <w:r>
              <w:rPr>
                <w:lang w:val="bg-BG"/>
              </w:rPr>
              <w:t>20</w:t>
            </w:r>
          </w:p>
        </w:tc>
        <w:tc>
          <w:tcPr>
            <w:tcW w:w="2127" w:type="dxa"/>
            <w:tcBorders>
              <w:top w:val="nil"/>
              <w:left w:val="nil"/>
              <w:bottom w:val="single" w:sz="4" w:space="0" w:color="BFBFBF" w:themeColor="background1" w:themeShade="BF"/>
              <w:right w:val="nil"/>
            </w:tcBorders>
            <w:tcMar>
              <w:top w:w="28" w:type="dxa"/>
              <w:bottom w:w="28" w:type="dxa"/>
            </w:tcMar>
            <w:vAlign w:val="center"/>
          </w:tcPr>
          <w:p w14:paraId="16C8C211" w14:textId="77777777" w:rsidR="00922731" w:rsidRPr="00295E60" w:rsidRDefault="00922731" w:rsidP="00922731">
            <w:pPr>
              <w:pStyle w:val="ParagrahAnswer"/>
              <w:keepNext/>
              <w:rPr>
                <w:lang w:val="bg-BG" w:eastAsia="bg-BG"/>
              </w:rPr>
            </w:pPr>
            <w:r>
              <w:rPr>
                <w:lang w:val="bg-BG"/>
              </w:rPr>
              <w:t>Поставени</w:t>
            </w:r>
            <w:r w:rsidRPr="00295E60">
              <w:rPr>
                <w:lang w:val="bg-BG"/>
              </w:rPr>
              <w:t xml:space="preserve"> </w:t>
            </w:r>
            <w:r>
              <w:rPr>
                <w:lang w:val="bg-BG"/>
              </w:rPr>
              <w:t>600</w:t>
            </w:r>
            <w:r w:rsidRPr="00295E60">
              <w:rPr>
                <w:lang w:val="bg-BG"/>
              </w:rPr>
              <w:t xml:space="preserve"> осветителни тела; </w:t>
            </w:r>
            <w:r>
              <w:rPr>
                <w:lang w:val="bg-BG"/>
              </w:rPr>
              <w:t xml:space="preserve">възстановени </w:t>
            </w:r>
            <w:r w:rsidRPr="00295E60">
              <w:rPr>
                <w:lang w:val="bg-BG"/>
              </w:rPr>
              <w:t xml:space="preserve">6 км тротоари; 30 км </w:t>
            </w:r>
            <w:r>
              <w:rPr>
                <w:lang w:val="bg-BG"/>
              </w:rPr>
              <w:t xml:space="preserve">рехабилитирани </w:t>
            </w:r>
            <w:r w:rsidRPr="00295E60">
              <w:rPr>
                <w:lang w:val="bg-BG"/>
              </w:rPr>
              <w:t>улици; 2 паркинга и 177 парко места</w:t>
            </w:r>
            <w:r>
              <w:rPr>
                <w:color w:val="3D3C40"/>
                <w:sz w:val="20"/>
                <w:szCs w:val="20"/>
                <w:shd w:val="clear" w:color="auto" w:fill="F5F5F5"/>
                <w:lang w:val="bg-BG"/>
              </w:rPr>
              <w:t xml:space="preserve"> </w:t>
            </w:r>
          </w:p>
        </w:tc>
      </w:tr>
      <w:tr w:rsidR="00922731" w:rsidRPr="00D0327A" w14:paraId="1C96F121" w14:textId="77777777" w:rsidTr="009D0C37">
        <w:trPr>
          <w:trHeight w:val="397"/>
          <w:jc w:val="center"/>
        </w:trPr>
        <w:tc>
          <w:tcPr>
            <w:tcW w:w="4678" w:type="dxa"/>
            <w:tcBorders>
              <w:top w:val="nil"/>
              <w:left w:val="nil"/>
              <w:bottom w:val="single" w:sz="4" w:space="0" w:color="BFBFBF" w:themeColor="background1" w:themeShade="BF"/>
              <w:right w:val="nil"/>
            </w:tcBorders>
            <w:tcMar>
              <w:top w:w="28" w:type="dxa"/>
              <w:bottom w:w="28" w:type="dxa"/>
            </w:tcMar>
            <w:vAlign w:val="center"/>
          </w:tcPr>
          <w:p w14:paraId="0D98F9B0" w14:textId="77777777" w:rsidR="00922731" w:rsidRPr="0049526E" w:rsidRDefault="00922731" w:rsidP="00922731">
            <w:pPr>
              <w:pStyle w:val="SubQuestionString"/>
              <w:keepNext/>
              <w:keepLines/>
              <w:rPr>
                <w:lang w:val="bg-BG"/>
              </w:rPr>
            </w:pPr>
            <w:r w:rsidRPr="0049526E">
              <w:rPr>
                <w:lang w:val="bg-BG"/>
              </w:rPr>
              <w:t>Изготвяне на планове за обновяване на населеното място</w:t>
            </w:r>
          </w:p>
        </w:tc>
        <w:tc>
          <w:tcPr>
            <w:tcW w:w="1134" w:type="dxa"/>
            <w:tcBorders>
              <w:top w:val="nil"/>
              <w:left w:val="nil"/>
              <w:bottom w:val="single" w:sz="4" w:space="0" w:color="BFBFBF" w:themeColor="background1" w:themeShade="BF"/>
              <w:right w:val="nil"/>
            </w:tcBorders>
            <w:tcMar>
              <w:top w:w="28" w:type="dxa"/>
              <w:bottom w:w="28" w:type="dxa"/>
            </w:tcMar>
            <w:vAlign w:val="center"/>
          </w:tcPr>
          <w:p w14:paraId="40AF7B60" w14:textId="77777777" w:rsidR="00922731" w:rsidRDefault="00922731" w:rsidP="00922731">
            <w:pPr>
              <w:pStyle w:val="ParagrahAnswer"/>
              <w:keepNext/>
              <w:jc w:val="right"/>
              <w:rPr>
                <w:lang w:val="bg-BG"/>
              </w:rPr>
            </w:pPr>
            <w:r>
              <w:rPr>
                <w:lang w:val="bg-BG"/>
              </w:rPr>
              <w:t>1</w:t>
            </w:r>
          </w:p>
        </w:tc>
        <w:tc>
          <w:tcPr>
            <w:tcW w:w="2127" w:type="dxa"/>
            <w:tcBorders>
              <w:top w:val="nil"/>
              <w:left w:val="nil"/>
              <w:bottom w:val="single" w:sz="4" w:space="0" w:color="BFBFBF" w:themeColor="background1" w:themeShade="BF"/>
              <w:right w:val="nil"/>
            </w:tcBorders>
            <w:tcMar>
              <w:top w:w="28" w:type="dxa"/>
              <w:bottom w:w="28" w:type="dxa"/>
            </w:tcMar>
            <w:vAlign w:val="center"/>
          </w:tcPr>
          <w:p w14:paraId="271CF2AF" w14:textId="77777777" w:rsidR="00922731" w:rsidRPr="00D0327A" w:rsidRDefault="00922731" w:rsidP="00922731">
            <w:pPr>
              <w:pStyle w:val="ParagrahAnswer"/>
              <w:keepNext/>
              <w:rPr>
                <w:lang w:val="bg-BG" w:eastAsia="bg-BG"/>
              </w:rPr>
            </w:pPr>
            <w:r>
              <w:rPr>
                <w:lang w:val="bg-BG" w:eastAsia="bg-BG"/>
              </w:rPr>
              <w:t>1</w:t>
            </w:r>
          </w:p>
        </w:tc>
      </w:tr>
      <w:tr w:rsidR="00922731" w:rsidRPr="00D0327A" w14:paraId="4AC4DFB9" w14:textId="77777777" w:rsidTr="009D0C37">
        <w:trPr>
          <w:trHeight w:val="397"/>
          <w:jc w:val="center"/>
        </w:trPr>
        <w:tc>
          <w:tcPr>
            <w:tcW w:w="4678" w:type="dxa"/>
            <w:tcBorders>
              <w:top w:val="nil"/>
              <w:left w:val="nil"/>
              <w:bottom w:val="single" w:sz="4" w:space="0" w:color="BFBFBF" w:themeColor="background1" w:themeShade="BF"/>
              <w:right w:val="nil"/>
            </w:tcBorders>
            <w:tcMar>
              <w:top w:w="28" w:type="dxa"/>
              <w:bottom w:w="28" w:type="dxa"/>
            </w:tcMar>
            <w:vAlign w:val="center"/>
          </w:tcPr>
          <w:p w14:paraId="65AD3263" w14:textId="77777777" w:rsidR="00922731" w:rsidRPr="00D0327A" w:rsidRDefault="00922731" w:rsidP="00922731">
            <w:pPr>
              <w:pStyle w:val="SubQuestionString"/>
              <w:keepNext/>
              <w:keepLines/>
              <w:rPr>
                <w:lang w:val="en-GB"/>
              </w:rPr>
            </w:pPr>
            <w:r w:rsidRPr="00D0327A">
              <w:rPr>
                <w:lang w:val="en-GB"/>
              </w:rPr>
              <w:t>Създадена временна заетост</w:t>
            </w:r>
          </w:p>
        </w:tc>
        <w:tc>
          <w:tcPr>
            <w:tcW w:w="1134" w:type="dxa"/>
            <w:tcBorders>
              <w:top w:val="nil"/>
              <w:left w:val="nil"/>
              <w:bottom w:val="single" w:sz="4" w:space="0" w:color="BFBFBF" w:themeColor="background1" w:themeShade="BF"/>
              <w:right w:val="nil"/>
            </w:tcBorders>
            <w:tcMar>
              <w:top w:w="28" w:type="dxa"/>
              <w:bottom w:w="28" w:type="dxa"/>
            </w:tcMar>
            <w:vAlign w:val="center"/>
          </w:tcPr>
          <w:p w14:paraId="4072F108" w14:textId="77777777" w:rsidR="00922731" w:rsidRDefault="00922731" w:rsidP="00922731">
            <w:pPr>
              <w:pStyle w:val="ParagrahAnswer"/>
              <w:keepNext/>
              <w:jc w:val="right"/>
              <w:rPr>
                <w:lang w:val="bg-BG"/>
              </w:rPr>
            </w:pPr>
            <w:r>
              <w:rPr>
                <w:lang w:val="bg-BG"/>
              </w:rPr>
              <w:t>5</w:t>
            </w:r>
          </w:p>
        </w:tc>
        <w:tc>
          <w:tcPr>
            <w:tcW w:w="2127" w:type="dxa"/>
            <w:tcBorders>
              <w:top w:val="nil"/>
              <w:left w:val="nil"/>
              <w:bottom w:val="single" w:sz="4" w:space="0" w:color="BFBFBF" w:themeColor="background1" w:themeShade="BF"/>
              <w:right w:val="nil"/>
            </w:tcBorders>
            <w:tcMar>
              <w:top w:w="28" w:type="dxa"/>
              <w:bottom w:w="28" w:type="dxa"/>
            </w:tcMar>
            <w:vAlign w:val="center"/>
          </w:tcPr>
          <w:p w14:paraId="14959D6B" w14:textId="77777777" w:rsidR="00922731" w:rsidRPr="00D0327A" w:rsidRDefault="00922731" w:rsidP="00922731">
            <w:pPr>
              <w:pStyle w:val="ParagrahAnswer"/>
              <w:keepNext/>
              <w:rPr>
                <w:lang w:val="bg-BG" w:eastAsia="bg-BG"/>
              </w:rPr>
            </w:pPr>
            <w:r>
              <w:rPr>
                <w:lang w:val="bg-BG" w:eastAsia="bg-BG"/>
              </w:rPr>
              <w:t>45</w:t>
            </w:r>
          </w:p>
        </w:tc>
      </w:tr>
      <w:tr w:rsidR="00922731" w:rsidRPr="00D0327A" w14:paraId="232B3D31" w14:textId="77777777" w:rsidTr="009D0C37">
        <w:trPr>
          <w:trHeight w:val="397"/>
          <w:jc w:val="center"/>
        </w:trPr>
        <w:tc>
          <w:tcPr>
            <w:tcW w:w="4678" w:type="dxa"/>
            <w:tcBorders>
              <w:top w:val="nil"/>
              <w:left w:val="nil"/>
              <w:bottom w:val="single" w:sz="4" w:space="0" w:color="BFBFBF" w:themeColor="background1" w:themeShade="BF"/>
              <w:right w:val="nil"/>
            </w:tcBorders>
            <w:tcMar>
              <w:top w:w="28" w:type="dxa"/>
              <w:bottom w:w="28" w:type="dxa"/>
            </w:tcMar>
            <w:vAlign w:val="center"/>
          </w:tcPr>
          <w:p w14:paraId="7DC78B7A" w14:textId="77777777" w:rsidR="00922731" w:rsidRPr="00D0327A" w:rsidRDefault="00922731" w:rsidP="00922731">
            <w:pPr>
              <w:pStyle w:val="SubQuestionString"/>
              <w:keepNext/>
              <w:keepLines/>
              <w:rPr>
                <w:lang w:val="en-GB"/>
              </w:rPr>
            </w:pPr>
            <w:r w:rsidRPr="00D0327A">
              <w:rPr>
                <w:lang w:val="en-GB"/>
              </w:rPr>
              <w:t>Създадена постоянна заетост</w:t>
            </w:r>
          </w:p>
        </w:tc>
        <w:tc>
          <w:tcPr>
            <w:tcW w:w="1134" w:type="dxa"/>
            <w:tcBorders>
              <w:top w:val="nil"/>
              <w:left w:val="nil"/>
              <w:bottom w:val="single" w:sz="4" w:space="0" w:color="BFBFBF" w:themeColor="background1" w:themeShade="BF"/>
              <w:right w:val="nil"/>
            </w:tcBorders>
            <w:tcMar>
              <w:top w:w="28" w:type="dxa"/>
              <w:bottom w:w="28" w:type="dxa"/>
            </w:tcMar>
            <w:vAlign w:val="center"/>
          </w:tcPr>
          <w:p w14:paraId="6B3ECE44" w14:textId="77777777" w:rsidR="00922731" w:rsidRDefault="00922731" w:rsidP="00922731">
            <w:pPr>
              <w:pStyle w:val="ParagrahAnswer"/>
              <w:keepNext/>
              <w:jc w:val="right"/>
              <w:rPr>
                <w:lang w:val="bg-BG"/>
              </w:rPr>
            </w:pPr>
            <w:r>
              <w:rPr>
                <w:lang w:val="bg-BG"/>
              </w:rPr>
              <w:t>0</w:t>
            </w:r>
          </w:p>
        </w:tc>
        <w:tc>
          <w:tcPr>
            <w:tcW w:w="2127" w:type="dxa"/>
            <w:tcBorders>
              <w:top w:val="nil"/>
              <w:left w:val="nil"/>
              <w:bottom w:val="single" w:sz="4" w:space="0" w:color="BFBFBF" w:themeColor="background1" w:themeShade="BF"/>
              <w:right w:val="nil"/>
            </w:tcBorders>
            <w:tcMar>
              <w:top w:w="28" w:type="dxa"/>
              <w:bottom w:w="28" w:type="dxa"/>
            </w:tcMar>
            <w:vAlign w:val="center"/>
          </w:tcPr>
          <w:p w14:paraId="637BE5C9" w14:textId="77777777" w:rsidR="00922731" w:rsidRPr="00D0327A" w:rsidRDefault="00922731" w:rsidP="00922731">
            <w:pPr>
              <w:pStyle w:val="ParagrahAnswer"/>
              <w:keepNext/>
              <w:rPr>
                <w:lang w:val="bg-BG" w:eastAsia="bg-BG"/>
              </w:rPr>
            </w:pPr>
            <w:r>
              <w:rPr>
                <w:lang w:val="bg-BG" w:eastAsia="bg-BG"/>
              </w:rPr>
              <w:t>0</w:t>
            </w:r>
          </w:p>
        </w:tc>
      </w:tr>
      <w:tr w:rsidR="00922731" w:rsidRPr="00D0327A" w14:paraId="2C020CA9" w14:textId="77777777" w:rsidTr="009D0C37">
        <w:trPr>
          <w:trHeight w:val="397"/>
          <w:jc w:val="center"/>
        </w:trPr>
        <w:tc>
          <w:tcPr>
            <w:tcW w:w="4678" w:type="dxa"/>
            <w:tcBorders>
              <w:top w:val="nil"/>
              <w:left w:val="nil"/>
              <w:bottom w:val="single" w:sz="4" w:space="0" w:color="BFBFBF" w:themeColor="background1" w:themeShade="BF"/>
              <w:right w:val="nil"/>
            </w:tcBorders>
            <w:tcMar>
              <w:top w:w="28" w:type="dxa"/>
              <w:bottom w:w="28" w:type="dxa"/>
            </w:tcMar>
            <w:vAlign w:val="center"/>
          </w:tcPr>
          <w:p w14:paraId="4CD74D3A" w14:textId="77777777" w:rsidR="00922731" w:rsidRPr="0049526E" w:rsidRDefault="00922731" w:rsidP="00922731">
            <w:pPr>
              <w:pStyle w:val="SubQuestionString"/>
              <w:keepNext/>
              <w:keepLines/>
              <w:rPr>
                <w:lang w:val="bg-BG"/>
              </w:rPr>
            </w:pPr>
            <w:r w:rsidRPr="0049526E">
              <w:rPr>
                <w:lang w:val="bg-BG"/>
              </w:rPr>
              <w:t>Други (моля, посочете в полето вдясно)</w:t>
            </w:r>
          </w:p>
        </w:tc>
        <w:tc>
          <w:tcPr>
            <w:tcW w:w="1134" w:type="dxa"/>
            <w:tcBorders>
              <w:top w:val="nil"/>
              <w:left w:val="nil"/>
              <w:bottom w:val="single" w:sz="4" w:space="0" w:color="BFBFBF" w:themeColor="background1" w:themeShade="BF"/>
              <w:right w:val="nil"/>
            </w:tcBorders>
            <w:tcMar>
              <w:top w:w="28" w:type="dxa"/>
              <w:bottom w:w="28" w:type="dxa"/>
            </w:tcMar>
            <w:vAlign w:val="center"/>
          </w:tcPr>
          <w:p w14:paraId="7ABA8E65" w14:textId="77777777" w:rsidR="00922731" w:rsidRDefault="00922731" w:rsidP="00922731">
            <w:pPr>
              <w:pStyle w:val="ParagrahAnswer"/>
              <w:keepNext/>
              <w:jc w:val="right"/>
              <w:rPr>
                <w:lang w:val="bg-BG"/>
              </w:rPr>
            </w:pPr>
            <w:r>
              <w:rPr>
                <w:lang w:val="bg-BG"/>
              </w:rPr>
              <w:t>0</w:t>
            </w:r>
          </w:p>
        </w:tc>
        <w:tc>
          <w:tcPr>
            <w:tcW w:w="2127" w:type="dxa"/>
            <w:tcBorders>
              <w:top w:val="nil"/>
              <w:left w:val="nil"/>
              <w:bottom w:val="single" w:sz="4" w:space="0" w:color="BFBFBF" w:themeColor="background1" w:themeShade="BF"/>
              <w:right w:val="nil"/>
            </w:tcBorders>
            <w:tcMar>
              <w:top w:w="28" w:type="dxa"/>
              <w:bottom w:w="28" w:type="dxa"/>
            </w:tcMar>
            <w:vAlign w:val="center"/>
          </w:tcPr>
          <w:p w14:paraId="61F5C136" w14:textId="77777777" w:rsidR="00922731" w:rsidRPr="00D0327A" w:rsidRDefault="00922731" w:rsidP="00922731">
            <w:pPr>
              <w:pStyle w:val="ParagrahAnswer"/>
              <w:keepNext/>
              <w:rPr>
                <w:lang w:val="bg-BG" w:eastAsia="bg-BG"/>
              </w:rPr>
            </w:pPr>
            <w:r>
              <w:rPr>
                <w:lang w:val="bg-BG" w:eastAsia="bg-BG"/>
              </w:rPr>
              <w:t>0</w:t>
            </w:r>
          </w:p>
        </w:tc>
      </w:tr>
      <w:tr w:rsidR="00922731" w:rsidRPr="00D0327A" w14:paraId="64CA6704" w14:textId="77777777" w:rsidTr="009D0C37">
        <w:trPr>
          <w:cantSplit/>
          <w:trHeight w:val="397"/>
          <w:jc w:val="center"/>
        </w:trPr>
        <w:tc>
          <w:tcPr>
            <w:tcW w:w="5812"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65AC7347" w14:textId="77777777" w:rsidR="00922731" w:rsidRPr="004F2B62" w:rsidRDefault="00323417" w:rsidP="00323417">
            <w:pPr>
              <w:pStyle w:val="ChartTableFooter"/>
              <w:keepNext/>
              <w:rPr>
                <w:lang w:val="bg-BG"/>
              </w:rPr>
            </w:pPr>
            <w:r>
              <w:rPr>
                <w:lang w:val="bg-BG"/>
              </w:rPr>
              <w:t>Респонденти</w:t>
            </w:r>
            <w:r w:rsidR="00922731" w:rsidRPr="00D0327A">
              <w:rPr>
                <w:lang w:val="en-GB"/>
              </w:rPr>
              <w:t xml:space="preserve">: </w:t>
            </w:r>
            <w:r w:rsidR="00922731">
              <w:rPr>
                <w:lang w:val="bg-BG"/>
              </w:rPr>
              <w:t>20</w:t>
            </w:r>
          </w:p>
        </w:tc>
        <w:tc>
          <w:tcPr>
            <w:tcW w:w="212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23CF5A5D" w14:textId="77777777" w:rsidR="00922731" w:rsidRPr="00D0327A" w:rsidRDefault="00922731" w:rsidP="00922731">
            <w:pPr>
              <w:pStyle w:val="ChartTableFooter"/>
              <w:keepNext/>
              <w:rPr>
                <w:lang w:val="en-GB"/>
              </w:rPr>
            </w:pPr>
          </w:p>
        </w:tc>
      </w:tr>
    </w:tbl>
    <w:p w14:paraId="43DEFE5D" w14:textId="77777777" w:rsidR="00922731" w:rsidRDefault="00922731" w:rsidP="00922731">
      <w:pPr>
        <w:rPr>
          <w:lang w:val="en-GB"/>
        </w:rPr>
      </w:pPr>
    </w:p>
    <w:p w14:paraId="5CD0FD91" w14:textId="77777777" w:rsidR="00922731" w:rsidRDefault="00922731" w:rsidP="00922731">
      <w:pPr>
        <w:rPr>
          <w:lang w:val="en-GB"/>
        </w:rPr>
      </w:pPr>
    </w:p>
    <w:p w14:paraId="589C7DF7" w14:textId="77777777" w:rsidR="00922731" w:rsidRPr="00D0327A" w:rsidRDefault="00922731" w:rsidP="0049526E">
      <w:pPr>
        <w:pStyle w:val="QuestionString"/>
      </w:pPr>
      <w:r>
        <w:rPr>
          <w:lang w:val="bg-BG"/>
        </w:rPr>
        <w:t>8</w:t>
      </w:r>
      <w:r w:rsidRPr="00D0327A">
        <w:t>. Моля, отбележете, дали на територията на Вашата община действа Местна инициативна група (МИГ) ?</w:t>
      </w:r>
    </w:p>
    <w:p w14:paraId="069941DA" w14:textId="77777777" w:rsidR="00922731" w:rsidRPr="00D0327A" w:rsidRDefault="00922731" w:rsidP="00922731">
      <w:pPr>
        <w:pStyle w:val="ExplanationParagrah"/>
      </w:pPr>
      <w:r w:rsidRPr="00D0327A">
        <w:t>(Each respondent could choose only ONE of the following responses.)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41270B10"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408008DC"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0AE0B066" w14:textId="77777777" w:rsidR="00922731" w:rsidRPr="00D0327A" w:rsidRDefault="00922731" w:rsidP="00323417">
            <w:pPr>
              <w:pStyle w:val="ChartTableHeader"/>
              <w:keepNext/>
              <w:jc w:val="right"/>
              <w:rPr>
                <w:lang w:val="en-GB"/>
              </w:rPr>
            </w:pPr>
            <w:r>
              <w:rPr>
                <w:lang w:val="bg-BG"/>
              </w:rPr>
              <w:t>Общо</w:t>
            </w:r>
          </w:p>
        </w:tc>
        <w:tc>
          <w:tcPr>
            <w:tcW w:w="3175" w:type="dxa"/>
            <w:tcBorders>
              <w:top w:val="nil"/>
              <w:left w:val="nil"/>
              <w:bottom w:val="nil"/>
              <w:right w:val="nil"/>
            </w:tcBorders>
            <w:shd w:val="clear" w:color="auto" w:fill="E0E0E0"/>
            <w:vAlign w:val="center"/>
          </w:tcPr>
          <w:p w14:paraId="68DBEFAD"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5886A9A5"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2E8AEB55"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11E042C7" w14:textId="77777777" w:rsidR="00922731" w:rsidRPr="00D0327A" w:rsidRDefault="00922731" w:rsidP="00922731">
            <w:pPr>
              <w:pStyle w:val="ParagrahAnswer"/>
              <w:keepNext/>
              <w:rPr>
                <w:lang w:val="en-GB"/>
              </w:rPr>
            </w:pPr>
            <w:r w:rsidRPr="00D0327A">
              <w:rPr>
                <w:lang w:val="en-GB"/>
              </w:rPr>
              <w:t>Да</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636E773A" w14:textId="77777777" w:rsidR="00922731" w:rsidRPr="00D0327A" w:rsidRDefault="00922731" w:rsidP="00922731">
            <w:pPr>
              <w:pStyle w:val="ParagrahAnswer"/>
              <w:keepNext/>
              <w:jc w:val="right"/>
              <w:rPr>
                <w:lang w:val="en-GB"/>
              </w:rPr>
            </w:pPr>
            <w:r w:rsidRPr="00D0327A">
              <w:rPr>
                <w:lang w:val="en-GB"/>
              </w:rPr>
              <w:t>23</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1FE0C8FC" w14:textId="77777777" w:rsidR="00922731" w:rsidRPr="00D0327A" w:rsidRDefault="00922731" w:rsidP="00922731">
            <w:pPr>
              <w:pStyle w:val="ParagrahAnswer"/>
              <w:keepNext/>
              <w:rPr>
                <w:lang w:val="en-GB"/>
              </w:rPr>
            </w:pPr>
            <w:r w:rsidRPr="00D0327A">
              <mc:AlternateContent>
                <mc:Choice Requires="wps">
                  <w:drawing>
                    <wp:inline distT="0" distB="0" distL="0" distR="0" wp14:anchorId="4003B64D" wp14:editId="6975791E">
                      <wp:extent cx="1029462" cy="171450"/>
                      <wp:effectExtent l="0" t="0" r="0" b="0"/>
                      <wp:docPr id="82" name="Rounded 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29462"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608FEA85" id="Rounded Rectangle 82" o:spid="_x0000_s1026" style="width:81.0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0D8B2804" w14:textId="77777777" w:rsidR="00922731" w:rsidRPr="00D0327A" w:rsidRDefault="00922731" w:rsidP="00922731">
            <w:pPr>
              <w:pStyle w:val="ParagrahAnswer"/>
              <w:keepNext/>
              <w:jc w:val="right"/>
              <w:rPr>
                <w:lang w:val="en-GB"/>
              </w:rPr>
            </w:pPr>
            <w:r w:rsidRPr="00D0327A">
              <w:rPr>
                <w:lang w:val="en-GB"/>
              </w:rPr>
              <w:t>56</w:t>
            </w:r>
          </w:p>
        </w:tc>
      </w:tr>
      <w:tr w:rsidR="00922731" w:rsidRPr="00D0327A" w14:paraId="1F76025E"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2272F977" w14:textId="77777777" w:rsidR="00922731" w:rsidRPr="00D0327A" w:rsidRDefault="00922731" w:rsidP="00922731">
            <w:pPr>
              <w:pStyle w:val="ParagrahAnswer"/>
              <w:keepNext/>
              <w:rPr>
                <w:lang w:val="en-GB"/>
              </w:rPr>
            </w:pPr>
            <w:r w:rsidRPr="00D0327A">
              <w:rPr>
                <w:lang w:val="en-GB"/>
              </w:rPr>
              <w:t>Не</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FD91F0D" w14:textId="77777777" w:rsidR="00922731" w:rsidRPr="00D0327A" w:rsidRDefault="00922731" w:rsidP="00922731">
            <w:pPr>
              <w:pStyle w:val="ParagrahAnswer"/>
              <w:keepNext/>
              <w:jc w:val="right"/>
              <w:rPr>
                <w:lang w:val="en-GB"/>
              </w:rPr>
            </w:pPr>
            <w:r w:rsidRPr="00D0327A">
              <w:rPr>
                <w:lang w:val="en-GB"/>
              </w:rPr>
              <w:t>18</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378900E0" w14:textId="77777777" w:rsidR="00922731" w:rsidRPr="00D0327A" w:rsidRDefault="00922731" w:rsidP="00922731">
            <w:pPr>
              <w:pStyle w:val="ParagrahAnswer"/>
              <w:keepNext/>
              <w:rPr>
                <w:lang w:val="en-GB"/>
              </w:rPr>
            </w:pPr>
            <w:r w:rsidRPr="00D0327A">
              <mc:AlternateContent>
                <mc:Choice Requires="wps">
                  <w:drawing>
                    <wp:inline distT="0" distB="0" distL="0" distR="0" wp14:anchorId="5AB4693C" wp14:editId="56360DDE">
                      <wp:extent cx="808863" cy="171450"/>
                      <wp:effectExtent l="0" t="0" r="0" b="0"/>
                      <wp:docPr id="81" name="Rounded 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8863"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38010504" id="Rounded Rectangle 81" o:spid="_x0000_s1026" style="width:63.7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1DF37256" w14:textId="77777777" w:rsidR="00922731" w:rsidRPr="00D0327A" w:rsidRDefault="00922731" w:rsidP="00922731">
            <w:pPr>
              <w:pStyle w:val="ParagrahAnswer"/>
              <w:keepNext/>
              <w:jc w:val="right"/>
              <w:rPr>
                <w:lang w:val="en-GB"/>
              </w:rPr>
            </w:pPr>
            <w:r w:rsidRPr="00D0327A">
              <w:rPr>
                <w:lang w:val="en-GB"/>
              </w:rPr>
              <w:t>44</w:t>
            </w:r>
          </w:p>
        </w:tc>
      </w:tr>
      <w:tr w:rsidR="00922731" w:rsidRPr="00D0327A" w14:paraId="1A61E471"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0D45A1AD" w14:textId="77777777" w:rsidR="00922731" w:rsidRPr="00D0327A" w:rsidRDefault="00323417" w:rsidP="00323417">
            <w:pPr>
              <w:pStyle w:val="ChartTableFooter"/>
              <w:keepNext/>
              <w:rPr>
                <w:lang w:val="en-GB"/>
              </w:rPr>
            </w:pPr>
            <w:r>
              <w:rPr>
                <w:lang w:val="bg-BG"/>
              </w:rPr>
              <w:t>Респонденти</w:t>
            </w:r>
            <w:r w:rsidR="00922731" w:rsidRPr="00D0327A">
              <w:rPr>
                <w:lang w:val="en-GB"/>
              </w:rPr>
              <w:t>: 41</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202FE0CF" w14:textId="77777777" w:rsidTr="00922731">
              <w:tc>
                <w:tcPr>
                  <w:tcW w:w="1094" w:type="pct"/>
                  <w:shd w:val="clear" w:color="auto" w:fill="F3F3F3"/>
                  <w:tcMar>
                    <w:left w:w="57" w:type="dxa"/>
                    <w:right w:w="28" w:type="dxa"/>
                  </w:tcMar>
                  <w:vAlign w:val="center"/>
                </w:tcPr>
                <w:p w14:paraId="43580EF0"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2441E3A8"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0EC76F0A"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13FB7F4B"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324F1D9D"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67D037B1"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39F580FB" w14:textId="77777777" w:rsidR="00922731" w:rsidRPr="00D0327A" w:rsidRDefault="00922731" w:rsidP="00922731">
            <w:pPr>
              <w:pStyle w:val="ChartTableFooter"/>
              <w:keepNext/>
              <w:rPr>
                <w:lang w:val="en-GB"/>
              </w:rPr>
            </w:pPr>
          </w:p>
        </w:tc>
      </w:tr>
    </w:tbl>
    <w:p w14:paraId="388592ED" w14:textId="77777777" w:rsidR="00922731" w:rsidRDefault="00922731" w:rsidP="0049526E">
      <w:pPr>
        <w:pStyle w:val="QuestionString"/>
      </w:pPr>
    </w:p>
    <w:p w14:paraId="776259B2" w14:textId="77777777" w:rsidR="00371135" w:rsidRPr="00371135" w:rsidRDefault="00371135" w:rsidP="00371135"/>
    <w:p w14:paraId="13180C6F" w14:textId="77777777" w:rsidR="00922731" w:rsidRPr="0049526E" w:rsidRDefault="00922731" w:rsidP="0049526E">
      <w:pPr>
        <w:pStyle w:val="QuestionString"/>
      </w:pPr>
      <w:r>
        <w:t>9</w:t>
      </w:r>
      <w:r w:rsidRPr="0049526E">
        <w:t>. Смятате ли, че местната инициативна група (МИГ) допринася за:</w:t>
      </w:r>
    </w:p>
    <w:p w14:paraId="1CA1C116" w14:textId="77777777" w:rsidR="00922731" w:rsidRDefault="00922731" w:rsidP="009D0C37">
      <w:pPr>
        <w:keepNext/>
        <w:keepLines/>
        <w:spacing w:before="160"/>
        <w:ind w:left="-284"/>
        <w:rPr>
          <w:lang w:val="en-GB"/>
        </w:rPr>
      </w:pPr>
      <w:r w:rsidRPr="009B3384">
        <w:rPr>
          <w:noProof/>
          <w:lang w:val="en-US"/>
        </w:rPr>
        <w:drawing>
          <wp:inline distT="0" distB="0" distL="0" distR="0" wp14:anchorId="72BEED24" wp14:editId="219C62B6">
            <wp:extent cx="6120765" cy="3103427"/>
            <wp:effectExtent l="0" t="0" r="0" b="1905"/>
            <wp:docPr id="93" name="New picture"/>
            <wp:cNvGraphicFramePr/>
            <a:graphic xmlns:a="http://schemas.openxmlformats.org/drawingml/2006/main">
              <a:graphicData uri="http://schemas.openxmlformats.org/drawingml/2006/picture">
                <pic:pic xmlns:pic="http://schemas.openxmlformats.org/drawingml/2006/picture">
                  <pic:nvPicPr>
                    <pic:cNvPr id="2" name="New picture"/>
                    <pic:cNvPicPr/>
                  </pic:nvPicPr>
                  <pic:blipFill rotWithShape="1">
                    <a:blip r:embed="rId78"/>
                    <a:srcRect t="7315"/>
                    <a:stretch/>
                  </pic:blipFill>
                  <pic:spPr bwMode="auto">
                    <a:xfrm>
                      <a:off x="0" y="0"/>
                      <a:ext cx="6120765" cy="3103427"/>
                    </a:xfrm>
                    <a:prstGeom prst="rect">
                      <a:avLst/>
                    </a:prstGeom>
                    <a:ln>
                      <a:noFill/>
                    </a:ln>
                    <a:extLst>
                      <a:ext uri="{53640926-AAD7-44D8-BBD7-CCE9431645EC}">
                        <a14:shadowObscured xmlns:a14="http://schemas.microsoft.com/office/drawing/2010/main"/>
                      </a:ext>
                    </a:extLst>
                  </pic:spPr>
                </pic:pic>
              </a:graphicData>
            </a:graphic>
          </wp:inline>
        </w:drawing>
      </w:r>
    </w:p>
    <w:p w14:paraId="04793CC4" w14:textId="77777777" w:rsidR="00922731" w:rsidRPr="00D0327A" w:rsidRDefault="00922731" w:rsidP="00922731">
      <w:pPr>
        <w:keepNext/>
        <w:keepLines/>
        <w:spacing w:before="160"/>
        <w:rPr>
          <w:lang w:val="en-GB"/>
        </w:rPr>
      </w:pPr>
    </w:p>
    <w:p w14:paraId="3A1CE187" w14:textId="77777777" w:rsidR="00922731" w:rsidRPr="00D0327A" w:rsidRDefault="00922731" w:rsidP="0049526E">
      <w:pPr>
        <w:pStyle w:val="QuestionString"/>
      </w:pPr>
      <w:r w:rsidRPr="00D0327A">
        <w:t>1</w:t>
      </w:r>
      <w:r>
        <w:rPr>
          <w:lang w:val="bg-BG"/>
        </w:rPr>
        <w:t>0</w:t>
      </w:r>
      <w:r w:rsidRPr="00D0327A">
        <w:t>. Бихте ли желали Вашата община да се включи към МИГ ?</w:t>
      </w:r>
    </w:p>
    <w:p w14:paraId="0104C5F9" w14:textId="77777777" w:rsidR="00922731" w:rsidRPr="00D0327A" w:rsidRDefault="00922731" w:rsidP="00922731">
      <w:pPr>
        <w:pStyle w:val="ExplanationParagrah"/>
      </w:pPr>
      <w:r w:rsidRPr="00D0327A">
        <w:t>(Each respondent could write multiple open-ended responses of maximum 255 characters.)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0A469B43"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2F2B9156"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35736CB5" w14:textId="77777777" w:rsidR="00922731" w:rsidRPr="00D0327A" w:rsidRDefault="00922731" w:rsidP="00371135">
            <w:pPr>
              <w:pStyle w:val="ChartTableHeader"/>
              <w:keepNext/>
              <w:jc w:val="right"/>
              <w:rPr>
                <w:lang w:val="en-GB"/>
              </w:rPr>
            </w:pPr>
            <w:r>
              <w:rPr>
                <w:lang w:val="bg-BG"/>
              </w:rPr>
              <w:t>Общо</w:t>
            </w:r>
          </w:p>
        </w:tc>
        <w:tc>
          <w:tcPr>
            <w:tcW w:w="3175" w:type="dxa"/>
            <w:tcBorders>
              <w:top w:val="nil"/>
              <w:left w:val="nil"/>
              <w:bottom w:val="nil"/>
              <w:right w:val="nil"/>
            </w:tcBorders>
            <w:shd w:val="clear" w:color="auto" w:fill="E0E0E0"/>
            <w:vAlign w:val="center"/>
          </w:tcPr>
          <w:p w14:paraId="281E2047"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26C90EB9"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2D932E55"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51BF1AD4" w14:textId="77777777" w:rsidR="00922731" w:rsidRPr="00D0327A" w:rsidRDefault="00922731" w:rsidP="00922731">
            <w:pPr>
              <w:pStyle w:val="ParagrahAnswer"/>
              <w:keepNext/>
              <w:rPr>
                <w:lang w:val="en-GB"/>
              </w:rPr>
            </w:pPr>
            <w:r w:rsidRPr="00D0327A">
              <w:rPr>
                <w:lang w:val="en-GB"/>
              </w:rPr>
              <w:t>Да (моля, посочете защо)</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B75076A" w14:textId="77777777" w:rsidR="00922731" w:rsidRPr="00D0327A" w:rsidRDefault="00922731" w:rsidP="00922731">
            <w:pPr>
              <w:pStyle w:val="ParagrahAnswer"/>
              <w:keepNext/>
              <w:jc w:val="right"/>
              <w:rPr>
                <w:lang w:val="en-GB"/>
              </w:rPr>
            </w:pPr>
            <w:r w:rsidRPr="00D0327A">
              <w:rPr>
                <w:lang w:val="en-GB"/>
              </w:rPr>
              <w:t>12</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43AA4387" w14:textId="77777777" w:rsidR="00922731" w:rsidRPr="00D0327A" w:rsidRDefault="00922731" w:rsidP="00922731">
            <w:pPr>
              <w:pStyle w:val="ParagrahAnswer"/>
              <w:keepNext/>
              <w:rPr>
                <w:lang w:val="en-GB"/>
              </w:rPr>
            </w:pPr>
            <w:r w:rsidRPr="00D0327A">
              <mc:AlternateContent>
                <mc:Choice Requires="wps">
                  <w:drawing>
                    <wp:inline distT="0" distB="0" distL="0" distR="0" wp14:anchorId="07839180" wp14:editId="5D718383">
                      <wp:extent cx="1580960" cy="171450"/>
                      <wp:effectExtent l="0" t="0" r="635" b="0"/>
                      <wp:docPr id="109" name="Rounded Rectangle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80960"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252F39B8" id="Rounded Rectangle 109" o:spid="_x0000_s1026" style="width:124.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75ED5999" w14:textId="77777777" w:rsidR="00922731" w:rsidRPr="00D0327A" w:rsidRDefault="00922731" w:rsidP="00922731">
            <w:pPr>
              <w:pStyle w:val="ParagrahAnswer"/>
              <w:keepNext/>
              <w:jc w:val="right"/>
              <w:rPr>
                <w:lang w:val="en-GB"/>
              </w:rPr>
            </w:pPr>
            <w:r w:rsidRPr="00D0327A">
              <w:rPr>
                <w:lang w:val="en-GB"/>
              </w:rPr>
              <w:t>86</w:t>
            </w:r>
          </w:p>
        </w:tc>
      </w:tr>
      <w:tr w:rsidR="00922731" w:rsidRPr="00D0327A" w14:paraId="7D0132A9"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02652E27" w14:textId="77777777" w:rsidR="00922731" w:rsidRPr="00D0327A" w:rsidRDefault="00922731" w:rsidP="00922731">
            <w:pPr>
              <w:pStyle w:val="ParagrahAnswer"/>
              <w:keepNext/>
              <w:rPr>
                <w:lang w:val="en-GB"/>
              </w:rPr>
            </w:pPr>
            <w:r w:rsidRPr="00D0327A">
              <w:rPr>
                <w:lang w:val="en-GB"/>
              </w:rPr>
              <w:t>Не (моля, посочете защо)</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7EA83547" w14:textId="77777777" w:rsidR="00922731" w:rsidRPr="00D0327A" w:rsidRDefault="00922731" w:rsidP="00922731">
            <w:pPr>
              <w:pStyle w:val="ParagrahAnswer"/>
              <w:keepNext/>
              <w:jc w:val="right"/>
              <w:rPr>
                <w:lang w:val="en-GB"/>
              </w:rPr>
            </w:pPr>
            <w:r w:rsidRPr="00D0327A">
              <w:rPr>
                <w:lang w:val="en-GB"/>
              </w:rPr>
              <w:t>2</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1610DDF5" w14:textId="77777777" w:rsidR="00922731" w:rsidRPr="00D0327A" w:rsidRDefault="00922731" w:rsidP="00922731">
            <w:pPr>
              <w:pStyle w:val="ParagrahAnswer"/>
              <w:keepNext/>
              <w:rPr>
                <w:lang w:val="en-GB"/>
              </w:rPr>
            </w:pPr>
            <w:r w:rsidRPr="00D0327A">
              <mc:AlternateContent>
                <mc:Choice Requires="wps">
                  <w:drawing>
                    <wp:inline distT="0" distB="0" distL="0" distR="0" wp14:anchorId="66CF1247" wp14:editId="30FD17E5">
                      <wp:extent cx="257366" cy="171450"/>
                      <wp:effectExtent l="0" t="0" r="9525" b="0"/>
                      <wp:docPr id="108" name="Rounded Rectangle 1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7366"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04393A6B" id="Rounded Rectangle 108" o:spid="_x0000_s1026" style="width:20.2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201FBF78" w14:textId="77777777" w:rsidR="00922731" w:rsidRPr="00D0327A" w:rsidRDefault="00922731" w:rsidP="00922731">
            <w:pPr>
              <w:pStyle w:val="ParagrahAnswer"/>
              <w:keepNext/>
              <w:jc w:val="right"/>
              <w:rPr>
                <w:lang w:val="en-GB"/>
              </w:rPr>
            </w:pPr>
            <w:r w:rsidRPr="00D0327A">
              <w:rPr>
                <w:lang w:val="en-GB"/>
              </w:rPr>
              <w:t>14</w:t>
            </w:r>
          </w:p>
        </w:tc>
      </w:tr>
      <w:tr w:rsidR="00922731" w:rsidRPr="00D0327A" w14:paraId="3BEE3099"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320175F5" w14:textId="77777777" w:rsidR="00922731" w:rsidRPr="00D0327A" w:rsidRDefault="00371135" w:rsidP="00371135">
            <w:pPr>
              <w:pStyle w:val="ChartTableFooter"/>
              <w:keepNext/>
              <w:rPr>
                <w:lang w:val="en-GB"/>
              </w:rPr>
            </w:pPr>
            <w:r>
              <w:rPr>
                <w:lang w:val="bg-BG"/>
              </w:rPr>
              <w:t>Респонденти</w:t>
            </w:r>
            <w:r w:rsidR="00922731" w:rsidRPr="00D0327A">
              <w:rPr>
                <w:lang w:val="en-GB"/>
              </w:rPr>
              <w:t>: 14</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1CE9B93B" w14:textId="77777777" w:rsidTr="00922731">
              <w:tc>
                <w:tcPr>
                  <w:tcW w:w="1094" w:type="pct"/>
                  <w:shd w:val="clear" w:color="auto" w:fill="F3F3F3"/>
                  <w:tcMar>
                    <w:left w:w="57" w:type="dxa"/>
                    <w:right w:w="28" w:type="dxa"/>
                  </w:tcMar>
                  <w:vAlign w:val="center"/>
                </w:tcPr>
                <w:p w14:paraId="7D16F584"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74D5CE06"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494DACCC"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43EAE840"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25DCA66F"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4D73DC28"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70D1CE8F" w14:textId="77777777" w:rsidR="00922731" w:rsidRPr="00D0327A" w:rsidRDefault="00922731" w:rsidP="00922731">
            <w:pPr>
              <w:pStyle w:val="ChartTableFooter"/>
              <w:keepNext/>
              <w:rPr>
                <w:lang w:val="en-GB"/>
              </w:rPr>
            </w:pPr>
          </w:p>
        </w:tc>
      </w:tr>
    </w:tbl>
    <w:p w14:paraId="3BCB1FBF" w14:textId="77777777" w:rsidR="00371135" w:rsidRDefault="00371135" w:rsidP="00371135">
      <w:pPr>
        <w:pStyle w:val="SubQuestionString"/>
        <w:keepNext/>
        <w:keepLines/>
        <w:numPr>
          <w:ilvl w:val="0"/>
          <w:numId w:val="0"/>
        </w:numPr>
        <w:rPr>
          <w:lang w:val="en-GB"/>
        </w:rPr>
      </w:pPr>
    </w:p>
    <w:p w14:paraId="7A8DA4C5" w14:textId="77777777" w:rsidR="00922731" w:rsidRPr="00371135" w:rsidRDefault="00922731" w:rsidP="00371135">
      <w:pPr>
        <w:pStyle w:val="SubQuestionString"/>
        <w:keepNext/>
        <w:keepLines/>
        <w:spacing w:after="120"/>
        <w:rPr>
          <w:rFonts w:ascii="Arial" w:hAnsi="Arial" w:cs="Arial"/>
          <w:lang w:val="en-GB"/>
        </w:rPr>
      </w:pPr>
      <w:r w:rsidRPr="00371135">
        <w:rPr>
          <w:rFonts w:ascii="Arial" w:hAnsi="Arial" w:cs="Arial"/>
          <w:lang w:val="en-GB"/>
        </w:rPr>
        <w:t>Общината има изпълнен проект, по мярка 19.1, респективно създадена МИГ и внесен проект по мярка 19.2, който е на етап 'Оценка'.</w:t>
      </w:r>
    </w:p>
    <w:p w14:paraId="26F71739" w14:textId="77777777" w:rsidR="00922731" w:rsidRPr="00371135" w:rsidRDefault="00922731" w:rsidP="00371135">
      <w:pPr>
        <w:pStyle w:val="SubQuestionString"/>
        <w:keepNext/>
        <w:keepLines/>
        <w:spacing w:after="120"/>
        <w:rPr>
          <w:rFonts w:ascii="Arial" w:hAnsi="Arial" w:cs="Arial"/>
          <w:lang w:val="en-GB"/>
        </w:rPr>
      </w:pPr>
      <w:r w:rsidRPr="00371135">
        <w:rPr>
          <w:rFonts w:ascii="Arial" w:hAnsi="Arial" w:cs="Arial"/>
          <w:lang w:val="en-GB"/>
        </w:rPr>
        <w:t>Разширяване на възможностите за финансиране на общината.</w:t>
      </w:r>
    </w:p>
    <w:p w14:paraId="7042B0B5" w14:textId="77777777" w:rsidR="00922731" w:rsidRPr="00371135" w:rsidRDefault="00922731" w:rsidP="00371135">
      <w:pPr>
        <w:pStyle w:val="SubQuestionString"/>
        <w:keepNext/>
        <w:keepLines/>
        <w:spacing w:after="120"/>
        <w:rPr>
          <w:rFonts w:ascii="Arial" w:hAnsi="Arial" w:cs="Arial"/>
          <w:lang w:val="en-GB"/>
        </w:rPr>
      </w:pPr>
      <w:r w:rsidRPr="00371135">
        <w:rPr>
          <w:rFonts w:ascii="Arial" w:hAnsi="Arial" w:cs="Arial"/>
          <w:lang w:val="en-GB"/>
        </w:rPr>
        <w:t>Считаме, че ще подпомогне общината и гражданите на общината.</w:t>
      </w:r>
    </w:p>
    <w:p w14:paraId="49820923" w14:textId="77777777" w:rsidR="00922731" w:rsidRPr="00371135" w:rsidRDefault="00922731" w:rsidP="00371135">
      <w:pPr>
        <w:pStyle w:val="SubQuestionString"/>
        <w:keepNext/>
        <w:keepLines/>
        <w:spacing w:after="120"/>
        <w:rPr>
          <w:rFonts w:ascii="Arial" w:hAnsi="Arial" w:cs="Arial"/>
          <w:lang w:val="en-GB"/>
        </w:rPr>
      </w:pPr>
      <w:r w:rsidRPr="00371135">
        <w:rPr>
          <w:rFonts w:ascii="Arial" w:hAnsi="Arial" w:cs="Arial"/>
          <w:lang w:val="en-GB"/>
        </w:rPr>
        <w:t>подобряване качеството на живот и разнообразяване на икономическите дейности в района</w:t>
      </w:r>
      <w:r w:rsidRPr="00371135">
        <w:rPr>
          <w:rFonts w:ascii="Arial" w:hAnsi="Arial" w:cs="Arial"/>
          <w:lang w:val="en-GB"/>
        </w:rPr>
        <w:tab/>
        <w:t>Привличане на повече средства за реализиране на проекти от местно значение.</w:t>
      </w:r>
    </w:p>
    <w:p w14:paraId="1CA56772" w14:textId="77777777" w:rsidR="00922731" w:rsidRPr="00371135" w:rsidRDefault="00922731" w:rsidP="00371135">
      <w:pPr>
        <w:pStyle w:val="SubQuestionString"/>
        <w:keepNext/>
        <w:keepLines/>
        <w:spacing w:after="120"/>
        <w:rPr>
          <w:rFonts w:ascii="Arial" w:hAnsi="Arial" w:cs="Arial"/>
          <w:lang w:val="en-GB"/>
        </w:rPr>
      </w:pPr>
      <w:r w:rsidRPr="00371135">
        <w:rPr>
          <w:rFonts w:ascii="Arial" w:hAnsi="Arial" w:cs="Arial"/>
          <w:lang w:val="en-GB"/>
        </w:rPr>
        <w:t>Общината е с под 10 000 жители и няма партньор</w:t>
      </w:r>
      <w:r w:rsidRPr="00371135">
        <w:rPr>
          <w:rFonts w:ascii="Arial" w:hAnsi="Arial" w:cs="Arial"/>
          <w:lang w:val="bg-BG"/>
        </w:rPr>
        <w:t>;</w:t>
      </w:r>
    </w:p>
    <w:p w14:paraId="107E5131" w14:textId="77777777" w:rsidR="00922731" w:rsidRPr="00371135" w:rsidRDefault="00922731" w:rsidP="00371135">
      <w:pPr>
        <w:pStyle w:val="SubQuestionString"/>
        <w:keepNext/>
        <w:keepLines/>
        <w:spacing w:after="120"/>
        <w:rPr>
          <w:rFonts w:ascii="Arial" w:hAnsi="Arial" w:cs="Arial"/>
          <w:lang w:val="en-GB"/>
        </w:rPr>
      </w:pPr>
      <w:r w:rsidRPr="00371135">
        <w:rPr>
          <w:rFonts w:ascii="Arial" w:hAnsi="Arial" w:cs="Arial"/>
          <w:lang w:val="en-GB"/>
        </w:rPr>
        <w:t>предоставяне възможност за финансиране на местни земеделци</w:t>
      </w:r>
      <w:r w:rsidRPr="00371135">
        <w:rPr>
          <w:rFonts w:ascii="Arial" w:hAnsi="Arial" w:cs="Arial"/>
          <w:lang w:val="bg-BG"/>
        </w:rPr>
        <w:t>;</w:t>
      </w:r>
    </w:p>
    <w:p w14:paraId="58FD70EF" w14:textId="77777777" w:rsidR="00922731" w:rsidRPr="00371135" w:rsidRDefault="00922731" w:rsidP="00371135">
      <w:pPr>
        <w:pStyle w:val="SubQuestionString"/>
        <w:keepNext/>
        <w:keepLines/>
        <w:spacing w:after="120"/>
        <w:rPr>
          <w:rFonts w:ascii="Arial" w:hAnsi="Arial" w:cs="Arial"/>
          <w:lang w:val="en-GB"/>
        </w:rPr>
      </w:pPr>
      <w:r w:rsidRPr="00371135">
        <w:rPr>
          <w:rFonts w:ascii="Arial" w:hAnsi="Arial" w:cs="Arial"/>
          <w:lang w:val="en-GB"/>
        </w:rPr>
        <w:t>Община Искър е включена като партньор във внесено и чакащо одобрение проектно предложение 'МИГ-Карлуковски карст - Червен бряг - Искър'</w:t>
      </w:r>
      <w:r w:rsidRPr="00371135">
        <w:rPr>
          <w:rFonts w:ascii="Arial" w:hAnsi="Arial" w:cs="Arial"/>
          <w:lang w:val="bg-BG"/>
        </w:rPr>
        <w:t>;</w:t>
      </w:r>
    </w:p>
    <w:p w14:paraId="0DE25A24" w14:textId="77777777" w:rsidR="00922731" w:rsidRPr="00371135" w:rsidRDefault="00922731" w:rsidP="00371135">
      <w:pPr>
        <w:pStyle w:val="SubQuestionString"/>
        <w:keepNext/>
        <w:keepLines/>
        <w:spacing w:after="120"/>
        <w:rPr>
          <w:rFonts w:ascii="Arial" w:hAnsi="Arial" w:cs="Arial"/>
          <w:lang w:val="en-GB"/>
        </w:rPr>
      </w:pPr>
      <w:r w:rsidRPr="00371135">
        <w:rPr>
          <w:rFonts w:ascii="Arial" w:hAnsi="Arial" w:cs="Arial"/>
          <w:lang w:val="en-GB"/>
        </w:rPr>
        <w:t>Носи ползи за обществото</w:t>
      </w:r>
      <w:r w:rsidRPr="00371135">
        <w:rPr>
          <w:rFonts w:ascii="Arial" w:hAnsi="Arial" w:cs="Arial"/>
          <w:lang w:val="bg-BG"/>
        </w:rPr>
        <w:t>;</w:t>
      </w:r>
    </w:p>
    <w:p w14:paraId="3FA8DE56" w14:textId="77777777" w:rsidR="00922731" w:rsidRPr="00371135" w:rsidRDefault="00922731" w:rsidP="00371135">
      <w:pPr>
        <w:pStyle w:val="SubQuestionString"/>
        <w:keepNext/>
        <w:keepLines/>
        <w:spacing w:after="120"/>
        <w:rPr>
          <w:rFonts w:ascii="Arial" w:hAnsi="Arial" w:cs="Arial"/>
          <w:lang w:val="en-GB"/>
        </w:rPr>
      </w:pPr>
      <w:r w:rsidRPr="00371135">
        <w:rPr>
          <w:rFonts w:ascii="Arial" w:hAnsi="Arial" w:cs="Arial"/>
          <w:lang w:val="en-GB"/>
        </w:rPr>
        <w:t>Общината е включена като член на МИГ, но все още няма реализирана Стратегия за местно развитие</w:t>
      </w:r>
      <w:r w:rsidRPr="00371135">
        <w:rPr>
          <w:rFonts w:ascii="Arial" w:hAnsi="Arial" w:cs="Arial"/>
          <w:lang w:val="bg-BG"/>
        </w:rPr>
        <w:t>;</w:t>
      </w:r>
    </w:p>
    <w:p w14:paraId="4C66591E" w14:textId="77777777" w:rsidR="00922731" w:rsidRPr="00371135" w:rsidRDefault="00922731" w:rsidP="00371135">
      <w:pPr>
        <w:pStyle w:val="SubQuestionString"/>
        <w:keepNext/>
        <w:keepLines/>
        <w:spacing w:after="120"/>
        <w:rPr>
          <w:rFonts w:ascii="Arial" w:hAnsi="Arial" w:cs="Arial"/>
          <w:lang w:val="bg-BG"/>
        </w:rPr>
      </w:pPr>
      <w:r w:rsidRPr="00371135">
        <w:rPr>
          <w:rFonts w:ascii="Arial" w:hAnsi="Arial" w:cs="Arial"/>
          <w:lang w:val="en-GB"/>
        </w:rPr>
        <w:t>Заради възможността за финансиране на малки проекти</w:t>
      </w:r>
      <w:r w:rsidRPr="00371135">
        <w:rPr>
          <w:rFonts w:ascii="Arial" w:hAnsi="Arial" w:cs="Arial"/>
          <w:lang w:val="bg-BG"/>
        </w:rPr>
        <w:t>.</w:t>
      </w:r>
    </w:p>
    <w:p w14:paraId="0D759F81" w14:textId="77777777" w:rsidR="00922731" w:rsidRPr="00716829" w:rsidRDefault="00922731" w:rsidP="00922731"/>
    <w:p w14:paraId="7474D5E7" w14:textId="77777777" w:rsidR="00922731" w:rsidRPr="0049526E" w:rsidRDefault="00922731" w:rsidP="0049526E">
      <w:pPr>
        <w:pStyle w:val="QuestionString"/>
      </w:pPr>
      <w:r w:rsidRPr="0049526E">
        <w:t>1</w:t>
      </w:r>
      <w:r>
        <w:t>1</w:t>
      </w:r>
      <w:r w:rsidRPr="0049526E">
        <w:t>. Моля, отбележете, според Вас, до каква степен ПРСР 2007-2013 е допринесла за подобряване на качеството на живот във Вашата община ?</w:t>
      </w:r>
    </w:p>
    <w:p w14:paraId="413EE80B" w14:textId="77777777" w:rsidR="00922731" w:rsidRPr="00D0327A" w:rsidRDefault="00922731" w:rsidP="00922731">
      <w:pPr>
        <w:pStyle w:val="ExplanationParagrah"/>
      </w:pPr>
      <w:r w:rsidRPr="00D0327A">
        <w:t>(Each respondent could choose only ONE of the following responses.)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39B340E4"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2558C1D8"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591138C2" w14:textId="77777777" w:rsidR="00922731" w:rsidRPr="00D0327A" w:rsidRDefault="00922731" w:rsidP="00371135">
            <w:pPr>
              <w:pStyle w:val="ChartTableHeader"/>
              <w:keepNext/>
              <w:jc w:val="right"/>
              <w:rPr>
                <w:lang w:val="en-GB"/>
              </w:rPr>
            </w:pPr>
            <w:r>
              <w:rPr>
                <w:lang w:val="bg-BG"/>
              </w:rPr>
              <w:t>Общо</w:t>
            </w:r>
          </w:p>
        </w:tc>
        <w:tc>
          <w:tcPr>
            <w:tcW w:w="3175" w:type="dxa"/>
            <w:tcBorders>
              <w:top w:val="nil"/>
              <w:left w:val="nil"/>
              <w:bottom w:val="nil"/>
              <w:right w:val="nil"/>
            </w:tcBorders>
            <w:shd w:val="clear" w:color="auto" w:fill="E0E0E0"/>
            <w:vAlign w:val="center"/>
          </w:tcPr>
          <w:p w14:paraId="04BB5AA6"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22914290"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09211224"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2CCD359C" w14:textId="77777777" w:rsidR="00922731" w:rsidRPr="00D0327A" w:rsidRDefault="00922731" w:rsidP="00922731">
            <w:pPr>
              <w:pStyle w:val="ParagrahAnswer"/>
              <w:keepNext/>
              <w:rPr>
                <w:lang w:val="en-GB"/>
              </w:rPr>
            </w:pPr>
            <w:r w:rsidRPr="00D0327A">
              <w:rPr>
                <w:lang w:val="en-GB"/>
              </w:rPr>
              <w:t>В голяма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578E5FC9" w14:textId="77777777" w:rsidR="00922731" w:rsidRPr="00D0327A" w:rsidRDefault="00922731" w:rsidP="00922731">
            <w:pPr>
              <w:pStyle w:val="ParagrahAnswer"/>
              <w:keepNext/>
              <w:jc w:val="right"/>
              <w:rPr>
                <w:lang w:val="en-GB"/>
              </w:rPr>
            </w:pPr>
            <w:r w:rsidRPr="00D0327A">
              <w:rPr>
                <w:lang w:val="en-GB"/>
              </w:rPr>
              <w:t>26</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0BFD921E" w14:textId="77777777" w:rsidR="00922731" w:rsidRPr="00D0327A" w:rsidRDefault="00922731" w:rsidP="00922731">
            <w:pPr>
              <w:pStyle w:val="ParagrahAnswer"/>
              <w:keepNext/>
              <w:rPr>
                <w:lang w:val="en-GB"/>
              </w:rPr>
            </w:pPr>
            <w:r w:rsidRPr="00D0327A">
              <mc:AlternateContent>
                <mc:Choice Requires="wps">
                  <w:drawing>
                    <wp:inline distT="0" distB="0" distL="0" distR="0" wp14:anchorId="788A6775" wp14:editId="70AFE757">
                      <wp:extent cx="1194911" cy="171450"/>
                      <wp:effectExtent l="0" t="0" r="5715" b="0"/>
                      <wp:docPr id="111" name="Rounded 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4911"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77263BDB" id="Rounded Rectangle 111" o:spid="_x0000_s1026" style="width:94.1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19DB3230" w14:textId="77777777" w:rsidR="00922731" w:rsidRPr="00D0327A" w:rsidRDefault="00922731" w:rsidP="00922731">
            <w:pPr>
              <w:pStyle w:val="ParagrahAnswer"/>
              <w:keepNext/>
              <w:jc w:val="right"/>
              <w:rPr>
                <w:lang w:val="en-GB"/>
              </w:rPr>
            </w:pPr>
            <w:r w:rsidRPr="00D0327A">
              <w:rPr>
                <w:lang w:val="en-GB"/>
              </w:rPr>
              <w:t>65</w:t>
            </w:r>
          </w:p>
        </w:tc>
      </w:tr>
      <w:tr w:rsidR="00922731" w:rsidRPr="00D0327A" w14:paraId="4E23D89D"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54C1931E" w14:textId="77777777" w:rsidR="00922731" w:rsidRPr="00D0327A" w:rsidRDefault="00922731" w:rsidP="00922731">
            <w:pPr>
              <w:pStyle w:val="ParagrahAnswer"/>
              <w:keepNext/>
              <w:rPr>
                <w:lang w:val="en-GB"/>
              </w:rPr>
            </w:pPr>
            <w:r w:rsidRPr="00D0327A">
              <w:rPr>
                <w:lang w:val="en-GB"/>
              </w:rPr>
              <w:t>Донякъде</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135CDE7" w14:textId="77777777" w:rsidR="00922731" w:rsidRPr="00D0327A" w:rsidRDefault="00922731" w:rsidP="00922731">
            <w:pPr>
              <w:pStyle w:val="ParagrahAnswer"/>
              <w:keepNext/>
              <w:jc w:val="right"/>
              <w:rPr>
                <w:lang w:val="en-GB"/>
              </w:rPr>
            </w:pPr>
            <w:r w:rsidRPr="00D0327A">
              <w:rPr>
                <w:lang w:val="en-GB"/>
              </w:rPr>
              <w:t>12</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2828CEE4" w14:textId="77777777" w:rsidR="00922731" w:rsidRPr="00D0327A" w:rsidRDefault="00922731" w:rsidP="00922731">
            <w:pPr>
              <w:pStyle w:val="ParagrahAnswer"/>
              <w:keepNext/>
              <w:rPr>
                <w:lang w:val="en-GB"/>
              </w:rPr>
            </w:pPr>
            <w:r w:rsidRPr="00D0327A">
              <mc:AlternateContent>
                <mc:Choice Requires="wps">
                  <w:drawing>
                    <wp:inline distT="0" distB="0" distL="0" distR="0" wp14:anchorId="274AEDEB" wp14:editId="009606D9">
                      <wp:extent cx="551498" cy="171450"/>
                      <wp:effectExtent l="0" t="0" r="1270" b="0"/>
                      <wp:docPr id="112" name="Rounded 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1498"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070601A3" id="Rounded Rectangle 112" o:spid="_x0000_s1026" style="width:43.4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4095CE9B" w14:textId="77777777" w:rsidR="00922731" w:rsidRPr="00D0327A" w:rsidRDefault="00922731" w:rsidP="00922731">
            <w:pPr>
              <w:pStyle w:val="ParagrahAnswer"/>
              <w:keepNext/>
              <w:jc w:val="right"/>
              <w:rPr>
                <w:lang w:val="en-GB"/>
              </w:rPr>
            </w:pPr>
            <w:r w:rsidRPr="00D0327A">
              <w:rPr>
                <w:lang w:val="en-GB"/>
              </w:rPr>
              <w:t>30</w:t>
            </w:r>
          </w:p>
        </w:tc>
      </w:tr>
      <w:tr w:rsidR="00922731" w:rsidRPr="00D0327A" w14:paraId="32EA7A14"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5039E3BD" w14:textId="77777777" w:rsidR="00922731" w:rsidRPr="00D0327A" w:rsidRDefault="00922731" w:rsidP="00922731">
            <w:pPr>
              <w:pStyle w:val="ParagrahAnswer"/>
              <w:keepNext/>
              <w:rPr>
                <w:lang w:val="en-GB"/>
              </w:rPr>
            </w:pPr>
            <w:r w:rsidRPr="00D0327A">
              <w:rPr>
                <w:lang w:val="en-GB"/>
              </w:rPr>
              <w:t>В малка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57E2A84B" w14:textId="77777777" w:rsidR="00922731" w:rsidRPr="00D0327A" w:rsidRDefault="00922731" w:rsidP="00922731">
            <w:pPr>
              <w:pStyle w:val="ParagrahAnswer"/>
              <w:keepNext/>
              <w:jc w:val="right"/>
              <w:rPr>
                <w:lang w:val="en-GB"/>
              </w:rPr>
            </w:pPr>
            <w:r w:rsidRPr="00D0327A">
              <w:rPr>
                <w:lang w:val="en-GB"/>
              </w:rPr>
              <w:t>1</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2D5F2EE5" w14:textId="77777777" w:rsidR="00922731" w:rsidRPr="00D0327A" w:rsidRDefault="00922731" w:rsidP="00922731">
            <w:pPr>
              <w:pStyle w:val="ParagrahAnswer"/>
              <w:keepNext/>
              <w:rPr>
                <w:lang w:val="en-GB"/>
              </w:rPr>
            </w:pPr>
            <w:r w:rsidRPr="00D0327A">
              <mc:AlternateContent>
                <mc:Choice Requires="wps">
                  <w:drawing>
                    <wp:inline distT="0" distB="0" distL="0" distR="0" wp14:anchorId="16916855" wp14:editId="635C52E1">
                      <wp:extent cx="36766" cy="171450"/>
                      <wp:effectExtent l="0" t="0" r="1905" b="0"/>
                      <wp:docPr id="113" name="Rounded Rectangle 1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766"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15218381" id="Rounded Rectangle 113" o:spid="_x0000_s1026" style="width:2.9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3796E561" w14:textId="77777777" w:rsidR="00922731" w:rsidRPr="00D0327A" w:rsidRDefault="00922731" w:rsidP="00922731">
            <w:pPr>
              <w:pStyle w:val="ParagrahAnswer"/>
              <w:keepNext/>
              <w:jc w:val="right"/>
              <w:rPr>
                <w:lang w:val="en-GB"/>
              </w:rPr>
            </w:pPr>
            <w:r w:rsidRPr="00D0327A">
              <w:rPr>
                <w:lang w:val="en-GB"/>
              </w:rPr>
              <w:t>2</w:t>
            </w:r>
          </w:p>
        </w:tc>
      </w:tr>
      <w:tr w:rsidR="00922731" w:rsidRPr="00D0327A" w14:paraId="5C410AFC"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85A21D0" w14:textId="77777777" w:rsidR="00922731" w:rsidRPr="00D0327A" w:rsidRDefault="00922731" w:rsidP="00922731">
            <w:pPr>
              <w:pStyle w:val="ParagrahAnswer"/>
              <w:keepNext/>
              <w:rPr>
                <w:lang w:val="en-GB"/>
              </w:rPr>
            </w:pPr>
            <w:r w:rsidRPr="00D0327A">
              <w:rPr>
                <w:lang w:val="en-GB"/>
              </w:rPr>
              <w:t>Няма принос</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64D00C84" w14:textId="77777777" w:rsidR="00922731" w:rsidRPr="00D0327A" w:rsidRDefault="00922731" w:rsidP="00922731">
            <w:pPr>
              <w:pStyle w:val="ParagrahAnswer"/>
              <w:keepNext/>
              <w:jc w:val="right"/>
              <w:rPr>
                <w:lang w:val="en-GB"/>
              </w:rPr>
            </w:pPr>
            <w:r w:rsidRPr="00D0327A">
              <w:rPr>
                <w:lang w:val="en-GB"/>
              </w:rPr>
              <w:t>1</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1C7D09A2" w14:textId="77777777" w:rsidR="00922731" w:rsidRPr="00D0327A" w:rsidRDefault="00922731" w:rsidP="00922731">
            <w:pPr>
              <w:pStyle w:val="ParagrahAnswer"/>
              <w:keepNext/>
              <w:rPr>
                <w:lang w:val="en-GB"/>
              </w:rPr>
            </w:pPr>
            <w:r w:rsidRPr="00D0327A">
              <mc:AlternateContent>
                <mc:Choice Requires="wps">
                  <w:drawing>
                    <wp:inline distT="0" distB="0" distL="0" distR="0" wp14:anchorId="67E46A73" wp14:editId="40D4A4BB">
                      <wp:extent cx="36766" cy="171450"/>
                      <wp:effectExtent l="0" t="0" r="1905" b="0"/>
                      <wp:docPr id="110" name="Rounded 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766"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1D8D1866" id="Rounded Rectangle 110" o:spid="_x0000_s1026" style="width:2.9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03E751FD" w14:textId="77777777" w:rsidR="00922731" w:rsidRPr="00D0327A" w:rsidRDefault="00922731" w:rsidP="00922731">
            <w:pPr>
              <w:pStyle w:val="ParagrahAnswer"/>
              <w:keepNext/>
              <w:jc w:val="right"/>
              <w:rPr>
                <w:lang w:val="en-GB"/>
              </w:rPr>
            </w:pPr>
            <w:r w:rsidRPr="00D0327A">
              <w:rPr>
                <w:lang w:val="en-GB"/>
              </w:rPr>
              <w:t>2</w:t>
            </w:r>
          </w:p>
        </w:tc>
      </w:tr>
      <w:tr w:rsidR="00922731" w:rsidRPr="00D0327A" w14:paraId="1CDB9EB2"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464F489A" w14:textId="77777777" w:rsidR="00922731" w:rsidRPr="00D0327A" w:rsidRDefault="00371135" w:rsidP="00371135">
            <w:pPr>
              <w:pStyle w:val="ChartTableFooter"/>
              <w:keepNext/>
              <w:rPr>
                <w:lang w:val="en-GB"/>
              </w:rPr>
            </w:pPr>
            <w:r>
              <w:rPr>
                <w:lang w:val="bg-BG"/>
              </w:rPr>
              <w:t>Респонденти</w:t>
            </w:r>
            <w:r w:rsidR="00922731" w:rsidRPr="00D0327A">
              <w:rPr>
                <w:lang w:val="en-GB"/>
              </w:rPr>
              <w:t>: 40</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6277FBFC" w14:textId="77777777" w:rsidTr="00922731">
              <w:tc>
                <w:tcPr>
                  <w:tcW w:w="1094" w:type="pct"/>
                  <w:shd w:val="clear" w:color="auto" w:fill="F3F3F3"/>
                  <w:tcMar>
                    <w:left w:w="57" w:type="dxa"/>
                    <w:right w:w="28" w:type="dxa"/>
                  </w:tcMar>
                  <w:vAlign w:val="center"/>
                </w:tcPr>
                <w:p w14:paraId="6AA11ABA"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418B4928"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1782597A"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7EAF5DE8"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28B27D27"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300AE2F1"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2CB0FCB6" w14:textId="77777777" w:rsidR="00922731" w:rsidRPr="00D0327A" w:rsidRDefault="00922731" w:rsidP="00922731">
            <w:pPr>
              <w:pStyle w:val="ChartTableFooter"/>
              <w:keepNext/>
              <w:rPr>
                <w:lang w:val="en-GB"/>
              </w:rPr>
            </w:pPr>
          </w:p>
        </w:tc>
      </w:tr>
    </w:tbl>
    <w:p w14:paraId="3063DE91" w14:textId="77777777" w:rsidR="00922731" w:rsidRPr="00D0327A" w:rsidRDefault="00922731" w:rsidP="00922731">
      <w:pPr>
        <w:spacing w:before="160"/>
        <w:rPr>
          <w:lang w:val="en-GB"/>
        </w:rPr>
      </w:pPr>
    </w:p>
    <w:p w14:paraId="025E3A98" w14:textId="77777777" w:rsidR="00922731" w:rsidRPr="00D0327A" w:rsidRDefault="00922731" w:rsidP="00922731">
      <w:pPr>
        <w:keepNext/>
        <w:keepLines/>
        <w:spacing w:before="160"/>
        <w:rPr>
          <w:lang w:val="en-GB"/>
        </w:rPr>
      </w:pPr>
    </w:p>
    <w:p w14:paraId="73FA8B7E" w14:textId="77777777" w:rsidR="00922731" w:rsidRPr="00D0327A" w:rsidRDefault="00922731" w:rsidP="0049526E">
      <w:pPr>
        <w:pStyle w:val="QuestionString"/>
      </w:pPr>
      <w:r w:rsidRPr="00D0327A">
        <w:t>1</w:t>
      </w:r>
      <w:r>
        <w:rPr>
          <w:lang w:val="bg-BG"/>
        </w:rPr>
        <w:t>2</w:t>
      </w:r>
      <w:r w:rsidRPr="00D0327A">
        <w:t>. Моля, отбележете, според Вас, до каква степен ПРСР 2007-2013 е допринесла за разнообразяване на икономическите дейности във Вашата община ?</w:t>
      </w:r>
    </w:p>
    <w:p w14:paraId="6DC65C68" w14:textId="77777777" w:rsidR="00922731" w:rsidRPr="00D0327A" w:rsidRDefault="00922731" w:rsidP="00922731">
      <w:pPr>
        <w:pStyle w:val="ExplanationParagrah"/>
      </w:pPr>
      <w:r w:rsidRPr="00D0327A">
        <w:t>(Each respondent could choose only ONE of the following responses.)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3BE21AC6"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6DD3E775"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75636012" w14:textId="77777777" w:rsidR="00922731" w:rsidRPr="00D0327A" w:rsidRDefault="00922731" w:rsidP="00371135">
            <w:pPr>
              <w:pStyle w:val="ChartTableHeader"/>
              <w:keepNext/>
              <w:jc w:val="right"/>
              <w:rPr>
                <w:lang w:val="en-GB"/>
              </w:rPr>
            </w:pPr>
            <w:r>
              <w:rPr>
                <w:lang w:val="bg-BG"/>
              </w:rPr>
              <w:t>Общо</w:t>
            </w:r>
          </w:p>
        </w:tc>
        <w:tc>
          <w:tcPr>
            <w:tcW w:w="3175" w:type="dxa"/>
            <w:tcBorders>
              <w:top w:val="nil"/>
              <w:left w:val="nil"/>
              <w:bottom w:val="nil"/>
              <w:right w:val="nil"/>
            </w:tcBorders>
            <w:shd w:val="clear" w:color="auto" w:fill="E0E0E0"/>
            <w:vAlign w:val="center"/>
          </w:tcPr>
          <w:p w14:paraId="00699A63"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6E548794"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7C63D9EE"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C29F645" w14:textId="77777777" w:rsidR="00922731" w:rsidRPr="00D0327A" w:rsidRDefault="00922731" w:rsidP="00922731">
            <w:pPr>
              <w:pStyle w:val="ParagrahAnswer"/>
              <w:keepNext/>
              <w:rPr>
                <w:lang w:val="en-GB"/>
              </w:rPr>
            </w:pPr>
            <w:r w:rsidRPr="00D0327A">
              <w:rPr>
                <w:lang w:val="en-GB"/>
              </w:rPr>
              <w:t>В голяма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0D994D4" w14:textId="77777777" w:rsidR="00922731" w:rsidRPr="00D0327A" w:rsidRDefault="00922731" w:rsidP="00922731">
            <w:pPr>
              <w:pStyle w:val="ParagrahAnswer"/>
              <w:keepNext/>
              <w:jc w:val="right"/>
              <w:rPr>
                <w:lang w:val="en-GB"/>
              </w:rPr>
            </w:pPr>
            <w:r w:rsidRPr="00D0327A">
              <w:rPr>
                <w:lang w:val="en-GB"/>
              </w:rPr>
              <w:t>9</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562F41E3" w14:textId="77777777" w:rsidR="00922731" w:rsidRPr="00D0327A" w:rsidRDefault="00922731" w:rsidP="00922731">
            <w:pPr>
              <w:pStyle w:val="ParagrahAnswer"/>
              <w:keepNext/>
              <w:rPr>
                <w:lang w:val="en-GB"/>
              </w:rPr>
            </w:pPr>
            <w:r w:rsidRPr="00D0327A">
              <mc:AlternateContent>
                <mc:Choice Requires="wps">
                  <w:drawing>
                    <wp:inline distT="0" distB="0" distL="0" distR="0" wp14:anchorId="38C06370" wp14:editId="47B3A0CB">
                      <wp:extent cx="404431" cy="171450"/>
                      <wp:effectExtent l="0" t="0" r="0" b="0"/>
                      <wp:docPr id="115" name="Rounded Rectangle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4431"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22E13B51" id="Rounded Rectangle 115" o:spid="_x0000_s1026" style="width:31.8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6DFF7622" w14:textId="77777777" w:rsidR="00922731" w:rsidRPr="00D0327A" w:rsidRDefault="00922731" w:rsidP="00922731">
            <w:pPr>
              <w:pStyle w:val="ParagrahAnswer"/>
              <w:keepNext/>
              <w:jc w:val="right"/>
              <w:rPr>
                <w:lang w:val="en-GB"/>
              </w:rPr>
            </w:pPr>
            <w:r w:rsidRPr="00D0327A">
              <w:rPr>
                <w:lang w:val="en-GB"/>
              </w:rPr>
              <w:t>22</w:t>
            </w:r>
          </w:p>
        </w:tc>
      </w:tr>
      <w:tr w:rsidR="00922731" w:rsidRPr="00D0327A" w14:paraId="12D0CFC8"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1DAC68BD" w14:textId="77777777" w:rsidR="00922731" w:rsidRPr="00D0327A" w:rsidRDefault="00922731" w:rsidP="00922731">
            <w:pPr>
              <w:pStyle w:val="ParagrahAnswer"/>
              <w:keepNext/>
              <w:rPr>
                <w:lang w:val="en-GB"/>
              </w:rPr>
            </w:pPr>
            <w:r w:rsidRPr="00D0327A">
              <w:rPr>
                <w:lang w:val="en-GB"/>
              </w:rPr>
              <w:t>Донякъде</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7A3AD613" w14:textId="77777777" w:rsidR="00922731" w:rsidRPr="00D0327A" w:rsidRDefault="00922731" w:rsidP="00922731">
            <w:pPr>
              <w:pStyle w:val="ParagrahAnswer"/>
              <w:keepNext/>
              <w:jc w:val="right"/>
              <w:rPr>
                <w:lang w:val="en-GB"/>
              </w:rPr>
            </w:pPr>
            <w:r w:rsidRPr="00D0327A">
              <w:rPr>
                <w:lang w:val="en-GB"/>
              </w:rPr>
              <w:t>21</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3E3398AE" w14:textId="77777777" w:rsidR="00922731" w:rsidRPr="00D0327A" w:rsidRDefault="00922731" w:rsidP="00922731">
            <w:pPr>
              <w:pStyle w:val="ParagrahAnswer"/>
              <w:keepNext/>
              <w:rPr>
                <w:lang w:val="en-GB"/>
              </w:rPr>
            </w:pPr>
            <w:r w:rsidRPr="00D0327A">
              <mc:AlternateContent>
                <mc:Choice Requires="wps">
                  <w:drawing>
                    <wp:inline distT="0" distB="0" distL="0" distR="0" wp14:anchorId="512C752B" wp14:editId="3197E244">
                      <wp:extent cx="955929" cy="171450"/>
                      <wp:effectExtent l="0" t="0" r="0" b="0"/>
                      <wp:docPr id="116" name="Rounded Rectangle 1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55929"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73FB6ACE" id="Rounded Rectangle 116" o:spid="_x0000_s1026" style="width:75.2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5C7515C3" w14:textId="77777777" w:rsidR="00922731" w:rsidRPr="00D0327A" w:rsidRDefault="00922731" w:rsidP="00922731">
            <w:pPr>
              <w:pStyle w:val="ParagrahAnswer"/>
              <w:keepNext/>
              <w:jc w:val="right"/>
              <w:rPr>
                <w:lang w:val="en-GB"/>
              </w:rPr>
            </w:pPr>
            <w:r w:rsidRPr="00D0327A">
              <w:rPr>
                <w:lang w:val="en-GB"/>
              </w:rPr>
              <w:t>52</w:t>
            </w:r>
          </w:p>
        </w:tc>
      </w:tr>
      <w:tr w:rsidR="00922731" w:rsidRPr="00D0327A" w14:paraId="68961701"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FBFDB62" w14:textId="77777777" w:rsidR="00922731" w:rsidRPr="00D0327A" w:rsidRDefault="00922731" w:rsidP="00922731">
            <w:pPr>
              <w:pStyle w:val="ParagrahAnswer"/>
              <w:keepNext/>
              <w:rPr>
                <w:lang w:val="en-GB"/>
              </w:rPr>
            </w:pPr>
            <w:r w:rsidRPr="00D0327A">
              <w:rPr>
                <w:lang w:val="en-GB"/>
              </w:rPr>
              <w:t>В малка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E50337E" w14:textId="77777777" w:rsidR="00922731" w:rsidRPr="00D0327A" w:rsidRDefault="00922731" w:rsidP="00922731">
            <w:pPr>
              <w:pStyle w:val="ParagrahAnswer"/>
              <w:keepNext/>
              <w:jc w:val="right"/>
              <w:rPr>
                <w:lang w:val="en-GB"/>
              </w:rPr>
            </w:pPr>
            <w:r w:rsidRPr="00D0327A">
              <w:rPr>
                <w:lang w:val="en-GB"/>
              </w:rPr>
              <w:t>7</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55D42A09" w14:textId="77777777" w:rsidR="00922731" w:rsidRPr="00D0327A" w:rsidRDefault="00922731" w:rsidP="00922731">
            <w:pPr>
              <w:pStyle w:val="ParagrahAnswer"/>
              <w:keepNext/>
              <w:rPr>
                <w:lang w:val="en-GB"/>
              </w:rPr>
            </w:pPr>
            <w:r w:rsidRPr="00D0327A">
              <mc:AlternateContent>
                <mc:Choice Requires="wps">
                  <w:drawing>
                    <wp:inline distT="0" distB="0" distL="0" distR="0" wp14:anchorId="2AD016E8" wp14:editId="0C0B91B5">
                      <wp:extent cx="330899" cy="171450"/>
                      <wp:effectExtent l="0" t="0" r="0" b="0"/>
                      <wp:docPr id="117" name="Rounded Rectangle 1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0899"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3C823A9D" id="Rounded Rectangle 117" o:spid="_x0000_s1026" style="width:26.0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475D7D20" w14:textId="77777777" w:rsidR="00922731" w:rsidRPr="00D0327A" w:rsidRDefault="00922731" w:rsidP="00922731">
            <w:pPr>
              <w:pStyle w:val="ParagrahAnswer"/>
              <w:keepNext/>
              <w:jc w:val="right"/>
              <w:rPr>
                <w:lang w:val="en-GB"/>
              </w:rPr>
            </w:pPr>
            <w:r w:rsidRPr="00D0327A">
              <w:rPr>
                <w:lang w:val="en-GB"/>
              </w:rPr>
              <w:t>18</w:t>
            </w:r>
          </w:p>
        </w:tc>
      </w:tr>
      <w:tr w:rsidR="00922731" w:rsidRPr="00D0327A" w14:paraId="2C584840"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0FD6E28" w14:textId="77777777" w:rsidR="00922731" w:rsidRPr="00D0327A" w:rsidRDefault="00922731" w:rsidP="00922731">
            <w:pPr>
              <w:pStyle w:val="ParagrahAnswer"/>
              <w:keepNext/>
              <w:rPr>
                <w:lang w:val="en-GB"/>
              </w:rPr>
            </w:pPr>
            <w:r w:rsidRPr="00D0327A">
              <w:rPr>
                <w:lang w:val="en-GB"/>
              </w:rPr>
              <w:t>Няма принос</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7577EAD7" w14:textId="77777777" w:rsidR="00922731" w:rsidRPr="00D0327A" w:rsidRDefault="00922731" w:rsidP="00922731">
            <w:pPr>
              <w:pStyle w:val="ParagrahAnswer"/>
              <w:keepNext/>
              <w:jc w:val="right"/>
              <w:rPr>
                <w:lang w:val="en-GB"/>
              </w:rPr>
            </w:pPr>
            <w:r w:rsidRPr="00D0327A">
              <w:rPr>
                <w:lang w:val="en-GB"/>
              </w:rPr>
              <w:t>3</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1479330B" w14:textId="77777777" w:rsidR="00922731" w:rsidRPr="00D0327A" w:rsidRDefault="00922731" w:rsidP="00922731">
            <w:pPr>
              <w:pStyle w:val="ParagrahAnswer"/>
              <w:keepNext/>
              <w:rPr>
                <w:lang w:val="en-GB"/>
              </w:rPr>
            </w:pPr>
            <w:r w:rsidRPr="00D0327A">
              <mc:AlternateContent>
                <mc:Choice Requires="wps">
                  <w:drawing>
                    <wp:inline distT="0" distB="0" distL="0" distR="0" wp14:anchorId="32E194E9" wp14:editId="131A856A">
                      <wp:extent cx="147066" cy="171450"/>
                      <wp:effectExtent l="0" t="0" r="5715" b="0"/>
                      <wp:docPr id="114" name="Rounded Rectangle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7066"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69347A0A" id="Rounded Rectangle 114" o:spid="_x0000_s1026" style="width:11.6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08A7E712" w14:textId="77777777" w:rsidR="00922731" w:rsidRPr="00D0327A" w:rsidRDefault="00922731" w:rsidP="00922731">
            <w:pPr>
              <w:pStyle w:val="ParagrahAnswer"/>
              <w:keepNext/>
              <w:jc w:val="right"/>
              <w:rPr>
                <w:lang w:val="en-GB"/>
              </w:rPr>
            </w:pPr>
            <w:r w:rsidRPr="00D0327A">
              <w:rPr>
                <w:lang w:val="en-GB"/>
              </w:rPr>
              <w:t>8</w:t>
            </w:r>
          </w:p>
        </w:tc>
      </w:tr>
      <w:tr w:rsidR="00922731" w:rsidRPr="00D0327A" w14:paraId="68C063E9"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51D88741" w14:textId="77777777" w:rsidR="00922731" w:rsidRPr="00D0327A" w:rsidRDefault="00371135" w:rsidP="00371135">
            <w:pPr>
              <w:pStyle w:val="ChartTableFooter"/>
              <w:keepNext/>
              <w:rPr>
                <w:lang w:val="en-GB"/>
              </w:rPr>
            </w:pPr>
            <w:r>
              <w:rPr>
                <w:lang w:val="bg-BG"/>
              </w:rPr>
              <w:t>Респонденти</w:t>
            </w:r>
            <w:r w:rsidR="00922731" w:rsidRPr="00D0327A">
              <w:rPr>
                <w:lang w:val="en-GB"/>
              </w:rPr>
              <w:t>: 40</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195156F0" w14:textId="77777777" w:rsidTr="00922731">
              <w:tc>
                <w:tcPr>
                  <w:tcW w:w="1094" w:type="pct"/>
                  <w:shd w:val="clear" w:color="auto" w:fill="F3F3F3"/>
                  <w:tcMar>
                    <w:left w:w="57" w:type="dxa"/>
                    <w:right w:w="28" w:type="dxa"/>
                  </w:tcMar>
                  <w:vAlign w:val="center"/>
                </w:tcPr>
                <w:p w14:paraId="7AC9B7CE"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279D48F5"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5804A0DD"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449C3186"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3724C975"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6080E8F6"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4C7612E9" w14:textId="77777777" w:rsidR="00922731" w:rsidRPr="00D0327A" w:rsidRDefault="00922731" w:rsidP="00922731">
            <w:pPr>
              <w:pStyle w:val="ChartTableFooter"/>
              <w:keepNext/>
              <w:rPr>
                <w:lang w:val="en-GB"/>
              </w:rPr>
            </w:pPr>
          </w:p>
        </w:tc>
      </w:tr>
    </w:tbl>
    <w:p w14:paraId="37C5D7BB" w14:textId="77777777" w:rsidR="00922731" w:rsidRPr="00D0327A" w:rsidRDefault="00922731" w:rsidP="00922731">
      <w:pPr>
        <w:spacing w:before="160"/>
        <w:rPr>
          <w:lang w:val="en-GB"/>
        </w:rPr>
      </w:pPr>
    </w:p>
    <w:p w14:paraId="3BF204F7" w14:textId="77777777" w:rsidR="00922731" w:rsidRPr="00D0327A" w:rsidRDefault="00922731" w:rsidP="00922731">
      <w:pPr>
        <w:keepNext/>
        <w:keepLines/>
        <w:spacing w:before="160"/>
        <w:rPr>
          <w:lang w:val="en-GB"/>
        </w:rPr>
      </w:pPr>
    </w:p>
    <w:p w14:paraId="4EB53E03" w14:textId="77777777" w:rsidR="00922731" w:rsidRPr="00D0327A" w:rsidRDefault="00922731" w:rsidP="0049526E">
      <w:pPr>
        <w:pStyle w:val="QuestionString"/>
      </w:pPr>
      <w:r w:rsidRPr="00D0327A">
        <w:t>1</w:t>
      </w:r>
      <w:r>
        <w:rPr>
          <w:lang w:val="bg-BG"/>
        </w:rPr>
        <w:t>3</w:t>
      </w:r>
      <w:r w:rsidRPr="00D0327A">
        <w:t>. Моля, отбележете, според Вас, до каква степен ПРСР е допринесла за подобряване на достъпа до образование и богат културен живот във Вашата община ?</w:t>
      </w:r>
    </w:p>
    <w:p w14:paraId="1A18E178" w14:textId="77777777" w:rsidR="00922731" w:rsidRPr="00D0327A" w:rsidRDefault="00922731" w:rsidP="00922731">
      <w:pPr>
        <w:pStyle w:val="ExplanationParagrah"/>
      </w:pPr>
      <w:r w:rsidRPr="00D0327A">
        <w:t>(Each respondent could choose only ONE of the following responses.)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6A80B730"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478E6D0B"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3DFA1E88" w14:textId="77777777" w:rsidR="00922731" w:rsidRPr="00D0327A" w:rsidRDefault="00922731" w:rsidP="00371135">
            <w:pPr>
              <w:pStyle w:val="ChartTableHeader"/>
              <w:keepNext/>
              <w:jc w:val="right"/>
              <w:rPr>
                <w:lang w:val="en-GB"/>
              </w:rPr>
            </w:pPr>
            <w:r>
              <w:rPr>
                <w:lang w:val="bg-BG"/>
              </w:rPr>
              <w:t>Общо</w:t>
            </w:r>
          </w:p>
        </w:tc>
        <w:tc>
          <w:tcPr>
            <w:tcW w:w="3175" w:type="dxa"/>
            <w:tcBorders>
              <w:top w:val="nil"/>
              <w:left w:val="nil"/>
              <w:bottom w:val="nil"/>
              <w:right w:val="nil"/>
            </w:tcBorders>
            <w:shd w:val="clear" w:color="auto" w:fill="E0E0E0"/>
            <w:vAlign w:val="center"/>
          </w:tcPr>
          <w:p w14:paraId="3F721196"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16197A97"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35432BA5"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7009F73" w14:textId="77777777" w:rsidR="00922731" w:rsidRPr="00D0327A" w:rsidRDefault="00922731" w:rsidP="00922731">
            <w:pPr>
              <w:pStyle w:val="ParagrahAnswer"/>
              <w:keepNext/>
              <w:rPr>
                <w:lang w:val="en-GB"/>
              </w:rPr>
            </w:pPr>
            <w:r w:rsidRPr="00D0327A">
              <w:rPr>
                <w:lang w:val="en-GB"/>
              </w:rPr>
              <w:t>В голяма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1DF1F804" w14:textId="77777777" w:rsidR="00922731" w:rsidRPr="00D0327A" w:rsidRDefault="00922731" w:rsidP="00922731">
            <w:pPr>
              <w:pStyle w:val="ParagrahAnswer"/>
              <w:keepNext/>
              <w:jc w:val="right"/>
              <w:rPr>
                <w:lang w:val="en-GB"/>
              </w:rPr>
            </w:pPr>
            <w:r w:rsidRPr="00D0327A">
              <w:rPr>
                <w:lang w:val="en-GB"/>
              </w:rPr>
              <w:t>16</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66C460E1" w14:textId="77777777" w:rsidR="00922731" w:rsidRPr="00D0327A" w:rsidRDefault="00922731" w:rsidP="00922731">
            <w:pPr>
              <w:pStyle w:val="ParagrahAnswer"/>
              <w:keepNext/>
              <w:rPr>
                <w:lang w:val="en-GB"/>
              </w:rPr>
            </w:pPr>
            <w:r w:rsidRPr="00D0327A">
              <mc:AlternateContent>
                <mc:Choice Requires="wps">
                  <w:drawing>
                    <wp:inline distT="0" distB="0" distL="0" distR="0" wp14:anchorId="7B7CF405" wp14:editId="03AA4CB8">
                      <wp:extent cx="735330" cy="171450"/>
                      <wp:effectExtent l="0" t="0" r="7620" b="0"/>
                      <wp:docPr id="119" name="Rounded Rectangle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5330"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0242DF09" id="Rounded Rectangle 119" o:spid="_x0000_s1026" style="width:57.9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16C5971F" w14:textId="77777777" w:rsidR="00922731" w:rsidRPr="00D0327A" w:rsidRDefault="00922731" w:rsidP="00922731">
            <w:pPr>
              <w:pStyle w:val="ParagrahAnswer"/>
              <w:keepNext/>
              <w:jc w:val="right"/>
              <w:rPr>
                <w:lang w:val="en-GB"/>
              </w:rPr>
            </w:pPr>
            <w:r w:rsidRPr="00D0327A">
              <w:rPr>
                <w:lang w:val="en-GB"/>
              </w:rPr>
              <w:t>40</w:t>
            </w:r>
          </w:p>
        </w:tc>
      </w:tr>
      <w:tr w:rsidR="00922731" w:rsidRPr="00D0327A" w14:paraId="1129D6FA"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CEE394C" w14:textId="77777777" w:rsidR="00922731" w:rsidRPr="00D0327A" w:rsidRDefault="00922731" w:rsidP="00922731">
            <w:pPr>
              <w:pStyle w:val="ParagrahAnswer"/>
              <w:keepNext/>
              <w:rPr>
                <w:lang w:val="en-GB"/>
              </w:rPr>
            </w:pPr>
            <w:r w:rsidRPr="00D0327A">
              <w:rPr>
                <w:lang w:val="en-GB"/>
              </w:rPr>
              <w:t>Донякъде</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0A190915" w14:textId="77777777" w:rsidR="00922731" w:rsidRPr="00D0327A" w:rsidRDefault="00922731" w:rsidP="00922731">
            <w:pPr>
              <w:pStyle w:val="ParagrahAnswer"/>
              <w:keepNext/>
              <w:jc w:val="right"/>
              <w:rPr>
                <w:lang w:val="en-GB"/>
              </w:rPr>
            </w:pPr>
            <w:r w:rsidRPr="00D0327A">
              <w:rPr>
                <w:lang w:val="en-GB"/>
              </w:rPr>
              <w:t>11</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7D7E1077" w14:textId="77777777" w:rsidR="00922731" w:rsidRPr="00D0327A" w:rsidRDefault="00922731" w:rsidP="00922731">
            <w:pPr>
              <w:pStyle w:val="ParagrahAnswer"/>
              <w:keepNext/>
              <w:rPr>
                <w:lang w:val="en-GB"/>
              </w:rPr>
            </w:pPr>
            <w:r w:rsidRPr="00D0327A">
              <mc:AlternateContent>
                <mc:Choice Requires="wps">
                  <w:drawing>
                    <wp:inline distT="0" distB="0" distL="0" distR="0" wp14:anchorId="374DEDB6" wp14:editId="43A521CE">
                      <wp:extent cx="514731" cy="171450"/>
                      <wp:effectExtent l="0" t="0" r="0" b="0"/>
                      <wp:docPr id="120" name="Rounded Rectangle 1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4731"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4828B31F" id="Rounded Rectangle 120" o:spid="_x0000_s1026" style="width:40.5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684A9B04" w14:textId="77777777" w:rsidR="00922731" w:rsidRPr="00D0327A" w:rsidRDefault="00922731" w:rsidP="00922731">
            <w:pPr>
              <w:pStyle w:val="ParagrahAnswer"/>
              <w:keepNext/>
              <w:jc w:val="right"/>
              <w:rPr>
                <w:lang w:val="en-GB"/>
              </w:rPr>
            </w:pPr>
            <w:r w:rsidRPr="00D0327A">
              <w:rPr>
                <w:lang w:val="en-GB"/>
              </w:rPr>
              <w:t>28</w:t>
            </w:r>
          </w:p>
        </w:tc>
      </w:tr>
      <w:tr w:rsidR="00922731" w:rsidRPr="00D0327A" w14:paraId="13EE0A9F"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0D28E53A" w14:textId="77777777" w:rsidR="00922731" w:rsidRPr="00D0327A" w:rsidRDefault="00922731" w:rsidP="00922731">
            <w:pPr>
              <w:pStyle w:val="ParagrahAnswer"/>
              <w:keepNext/>
              <w:rPr>
                <w:lang w:val="en-GB"/>
              </w:rPr>
            </w:pPr>
            <w:r w:rsidRPr="00D0327A">
              <w:rPr>
                <w:lang w:val="en-GB"/>
              </w:rPr>
              <w:t>В малка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74EEA295" w14:textId="77777777" w:rsidR="00922731" w:rsidRPr="00D0327A" w:rsidRDefault="00922731" w:rsidP="00922731">
            <w:pPr>
              <w:pStyle w:val="ParagrahAnswer"/>
              <w:keepNext/>
              <w:jc w:val="right"/>
              <w:rPr>
                <w:lang w:val="en-GB"/>
              </w:rPr>
            </w:pPr>
            <w:r w:rsidRPr="00D0327A">
              <w:rPr>
                <w:lang w:val="en-GB"/>
              </w:rPr>
              <w:t>6</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01E01708" w14:textId="77777777" w:rsidR="00922731" w:rsidRPr="00D0327A" w:rsidRDefault="00922731" w:rsidP="00922731">
            <w:pPr>
              <w:pStyle w:val="ParagrahAnswer"/>
              <w:keepNext/>
              <w:rPr>
                <w:lang w:val="en-GB"/>
              </w:rPr>
            </w:pPr>
            <w:r w:rsidRPr="00D0327A">
              <mc:AlternateContent>
                <mc:Choice Requires="wps">
                  <w:drawing>
                    <wp:inline distT="0" distB="0" distL="0" distR="0" wp14:anchorId="310EA8A4" wp14:editId="1A685606">
                      <wp:extent cx="275749" cy="171450"/>
                      <wp:effectExtent l="0" t="0" r="0" b="0"/>
                      <wp:docPr id="121" name="Rounded Rectangle 1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5749"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3F626FFC" id="Rounded Rectangle 121" o:spid="_x0000_s1026" style="width:21.7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0CE04CC6" w14:textId="77777777" w:rsidR="00922731" w:rsidRPr="00D0327A" w:rsidRDefault="00922731" w:rsidP="00922731">
            <w:pPr>
              <w:pStyle w:val="ParagrahAnswer"/>
              <w:keepNext/>
              <w:jc w:val="right"/>
              <w:rPr>
                <w:lang w:val="en-GB"/>
              </w:rPr>
            </w:pPr>
            <w:r w:rsidRPr="00D0327A">
              <w:rPr>
                <w:lang w:val="en-GB"/>
              </w:rPr>
              <w:t>15</w:t>
            </w:r>
          </w:p>
        </w:tc>
      </w:tr>
      <w:tr w:rsidR="00922731" w:rsidRPr="00D0327A" w14:paraId="298E479E"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2E1A3332" w14:textId="77777777" w:rsidR="00922731" w:rsidRPr="00D0327A" w:rsidRDefault="00922731" w:rsidP="00922731">
            <w:pPr>
              <w:pStyle w:val="ParagrahAnswer"/>
              <w:keepNext/>
              <w:rPr>
                <w:lang w:val="en-GB"/>
              </w:rPr>
            </w:pPr>
            <w:r w:rsidRPr="00D0327A">
              <w:rPr>
                <w:lang w:val="en-GB"/>
              </w:rPr>
              <w:t>Няма принос</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3E2ACDA8" w14:textId="77777777" w:rsidR="00922731" w:rsidRPr="00D0327A" w:rsidRDefault="00922731" w:rsidP="00922731">
            <w:pPr>
              <w:pStyle w:val="ParagrahAnswer"/>
              <w:keepNext/>
              <w:jc w:val="right"/>
              <w:rPr>
                <w:lang w:val="en-GB"/>
              </w:rPr>
            </w:pPr>
            <w:r w:rsidRPr="00D0327A">
              <w:rPr>
                <w:lang w:val="en-GB"/>
              </w:rPr>
              <w:t>7</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0B2088FA" w14:textId="77777777" w:rsidR="00922731" w:rsidRPr="00D0327A" w:rsidRDefault="00922731" w:rsidP="00922731">
            <w:pPr>
              <w:pStyle w:val="ParagrahAnswer"/>
              <w:keepNext/>
              <w:rPr>
                <w:lang w:val="en-GB"/>
              </w:rPr>
            </w:pPr>
            <w:r w:rsidRPr="00D0327A">
              <mc:AlternateContent>
                <mc:Choice Requires="wps">
                  <w:drawing>
                    <wp:inline distT="0" distB="0" distL="0" distR="0" wp14:anchorId="2FB8F1BB" wp14:editId="651E6CB2">
                      <wp:extent cx="330899" cy="171450"/>
                      <wp:effectExtent l="0" t="0" r="0" b="0"/>
                      <wp:docPr id="118" name="Rounded Rectangle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0899"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0F0AB0EC" id="Rounded Rectangle 118" o:spid="_x0000_s1026" style="width:26.0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7A33A001" w14:textId="77777777" w:rsidR="00922731" w:rsidRPr="00D0327A" w:rsidRDefault="00922731" w:rsidP="00922731">
            <w:pPr>
              <w:pStyle w:val="ParagrahAnswer"/>
              <w:keepNext/>
              <w:jc w:val="right"/>
              <w:rPr>
                <w:lang w:val="en-GB"/>
              </w:rPr>
            </w:pPr>
            <w:r w:rsidRPr="00D0327A">
              <w:rPr>
                <w:lang w:val="en-GB"/>
              </w:rPr>
              <w:t>18</w:t>
            </w:r>
          </w:p>
        </w:tc>
      </w:tr>
      <w:tr w:rsidR="00922731" w:rsidRPr="00D0327A" w14:paraId="4ABC89DF"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525E389C" w14:textId="77777777" w:rsidR="00922731" w:rsidRPr="00D0327A" w:rsidRDefault="00371135" w:rsidP="00371135">
            <w:pPr>
              <w:pStyle w:val="ChartTableFooter"/>
              <w:keepNext/>
              <w:rPr>
                <w:lang w:val="en-GB"/>
              </w:rPr>
            </w:pPr>
            <w:r>
              <w:rPr>
                <w:lang w:val="bg-BG"/>
              </w:rPr>
              <w:t>Респонденти</w:t>
            </w:r>
            <w:r w:rsidR="00922731" w:rsidRPr="00D0327A">
              <w:rPr>
                <w:lang w:val="en-GB"/>
              </w:rPr>
              <w:t>: 40</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41D2EB61" w14:textId="77777777" w:rsidTr="00922731">
              <w:tc>
                <w:tcPr>
                  <w:tcW w:w="1094" w:type="pct"/>
                  <w:shd w:val="clear" w:color="auto" w:fill="F3F3F3"/>
                  <w:tcMar>
                    <w:left w:w="57" w:type="dxa"/>
                    <w:right w:w="28" w:type="dxa"/>
                  </w:tcMar>
                  <w:vAlign w:val="center"/>
                </w:tcPr>
                <w:p w14:paraId="03AEAC11"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5F0BB129"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5E985972"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15AC454E"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0CEB817A"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539CBBB5"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3ED9F5EE" w14:textId="77777777" w:rsidR="00922731" w:rsidRPr="00D0327A" w:rsidRDefault="00922731" w:rsidP="00922731">
            <w:pPr>
              <w:pStyle w:val="ChartTableFooter"/>
              <w:keepNext/>
              <w:rPr>
                <w:lang w:val="en-GB"/>
              </w:rPr>
            </w:pPr>
          </w:p>
        </w:tc>
      </w:tr>
    </w:tbl>
    <w:p w14:paraId="3E0204C2" w14:textId="77777777" w:rsidR="00922731" w:rsidRPr="00D0327A" w:rsidRDefault="00922731" w:rsidP="00922731">
      <w:pPr>
        <w:spacing w:before="160"/>
        <w:rPr>
          <w:lang w:val="en-GB"/>
        </w:rPr>
      </w:pPr>
    </w:p>
    <w:p w14:paraId="6E7D4AA9" w14:textId="77777777" w:rsidR="00922731" w:rsidRPr="00D0327A" w:rsidRDefault="00922731" w:rsidP="0049526E">
      <w:pPr>
        <w:pStyle w:val="QuestionString"/>
      </w:pPr>
      <w:r w:rsidRPr="00D0327A">
        <w:t>1</w:t>
      </w:r>
      <w:r>
        <w:rPr>
          <w:lang w:val="bg-BG"/>
        </w:rPr>
        <w:t>4</w:t>
      </w:r>
      <w:r w:rsidRPr="00D0327A">
        <w:t>. Моля, отбележете, според Вас, до каква степен ПРСР е допринесла за подобряване на социалното обслужване и социалните услуги във Вашата община ?</w:t>
      </w:r>
    </w:p>
    <w:p w14:paraId="57A61A79" w14:textId="77777777" w:rsidR="00922731" w:rsidRPr="00D0327A" w:rsidRDefault="00922731" w:rsidP="00922731">
      <w:pPr>
        <w:pStyle w:val="ExplanationParagrah"/>
      </w:pPr>
      <w:r w:rsidRPr="00D0327A">
        <w:t>(Each respondent could choose only ONE of the following responses.)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7E9C2AE2"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1A526F26"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677EBA74" w14:textId="77777777" w:rsidR="00922731" w:rsidRPr="00D0327A" w:rsidRDefault="00922731" w:rsidP="00922731">
            <w:pPr>
              <w:pStyle w:val="ChartTableHeader"/>
              <w:keepNext/>
              <w:jc w:val="right"/>
              <w:rPr>
                <w:lang w:val="en-GB"/>
              </w:rPr>
            </w:pPr>
            <w:r>
              <w:rPr>
                <w:lang w:val="bg-BG"/>
              </w:rPr>
              <w:t>Общо</w:t>
            </w:r>
          </w:p>
        </w:tc>
        <w:tc>
          <w:tcPr>
            <w:tcW w:w="3175" w:type="dxa"/>
            <w:tcBorders>
              <w:top w:val="nil"/>
              <w:left w:val="nil"/>
              <w:bottom w:val="nil"/>
              <w:right w:val="nil"/>
            </w:tcBorders>
            <w:shd w:val="clear" w:color="auto" w:fill="E0E0E0"/>
            <w:vAlign w:val="center"/>
          </w:tcPr>
          <w:p w14:paraId="03C3D015"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0A12643D"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7BCD3195"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48261F2E" w14:textId="77777777" w:rsidR="00922731" w:rsidRPr="00D0327A" w:rsidRDefault="00922731" w:rsidP="00922731">
            <w:pPr>
              <w:pStyle w:val="ParagrahAnswer"/>
              <w:keepNext/>
              <w:rPr>
                <w:lang w:val="en-GB"/>
              </w:rPr>
            </w:pPr>
            <w:r w:rsidRPr="00D0327A">
              <w:rPr>
                <w:lang w:val="en-GB"/>
              </w:rPr>
              <w:t>В голяма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798703F2" w14:textId="77777777" w:rsidR="00922731" w:rsidRPr="00D0327A" w:rsidRDefault="00922731" w:rsidP="00922731">
            <w:pPr>
              <w:pStyle w:val="ParagrahAnswer"/>
              <w:keepNext/>
              <w:jc w:val="right"/>
              <w:rPr>
                <w:lang w:val="en-GB"/>
              </w:rPr>
            </w:pPr>
            <w:r w:rsidRPr="00D0327A">
              <w:rPr>
                <w:lang w:val="en-GB"/>
              </w:rPr>
              <w:t>6</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4BAF4BC1" w14:textId="77777777" w:rsidR="00922731" w:rsidRPr="00D0327A" w:rsidRDefault="00922731" w:rsidP="00922731">
            <w:pPr>
              <w:pStyle w:val="ParagrahAnswer"/>
              <w:keepNext/>
              <w:rPr>
                <w:lang w:val="en-GB"/>
              </w:rPr>
            </w:pPr>
            <w:r w:rsidRPr="00D0327A">
              <mc:AlternateContent>
                <mc:Choice Requires="wps">
                  <w:drawing>
                    <wp:inline distT="0" distB="0" distL="0" distR="0" wp14:anchorId="5B3CD9BB" wp14:editId="4879B872">
                      <wp:extent cx="275749" cy="171450"/>
                      <wp:effectExtent l="0" t="0" r="0" b="0"/>
                      <wp:docPr id="123" name="Rounded 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5749"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5F86C8CE" id="Rounded Rectangle 123" o:spid="_x0000_s1026" style="width:21.7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1EFA1A3C" w14:textId="77777777" w:rsidR="00922731" w:rsidRPr="00D0327A" w:rsidRDefault="00922731" w:rsidP="00922731">
            <w:pPr>
              <w:pStyle w:val="ParagrahAnswer"/>
              <w:keepNext/>
              <w:jc w:val="right"/>
              <w:rPr>
                <w:lang w:val="en-GB"/>
              </w:rPr>
            </w:pPr>
            <w:r w:rsidRPr="00D0327A">
              <w:rPr>
                <w:lang w:val="en-GB"/>
              </w:rPr>
              <w:t>15</w:t>
            </w:r>
          </w:p>
        </w:tc>
      </w:tr>
      <w:tr w:rsidR="00922731" w:rsidRPr="00D0327A" w14:paraId="67594024"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09F40D67" w14:textId="77777777" w:rsidR="00922731" w:rsidRPr="00D0327A" w:rsidRDefault="00922731" w:rsidP="00922731">
            <w:pPr>
              <w:pStyle w:val="ParagrahAnswer"/>
              <w:keepNext/>
              <w:rPr>
                <w:lang w:val="en-GB"/>
              </w:rPr>
            </w:pPr>
            <w:r w:rsidRPr="00D0327A">
              <w:rPr>
                <w:lang w:val="en-GB"/>
              </w:rPr>
              <w:t>Донякъде</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72B2EE06" w14:textId="77777777" w:rsidR="00922731" w:rsidRPr="00D0327A" w:rsidRDefault="00922731" w:rsidP="00922731">
            <w:pPr>
              <w:pStyle w:val="ParagrahAnswer"/>
              <w:keepNext/>
              <w:jc w:val="right"/>
              <w:rPr>
                <w:lang w:val="en-GB"/>
              </w:rPr>
            </w:pPr>
            <w:r w:rsidRPr="00D0327A">
              <w:rPr>
                <w:lang w:val="en-GB"/>
              </w:rPr>
              <w:t>16</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55625291" w14:textId="77777777" w:rsidR="00922731" w:rsidRPr="00D0327A" w:rsidRDefault="00922731" w:rsidP="00922731">
            <w:pPr>
              <w:pStyle w:val="ParagrahAnswer"/>
              <w:keepNext/>
              <w:rPr>
                <w:lang w:val="en-GB"/>
              </w:rPr>
            </w:pPr>
            <w:r w:rsidRPr="00D0327A">
              <mc:AlternateContent>
                <mc:Choice Requires="wps">
                  <w:drawing>
                    <wp:inline distT="0" distB="0" distL="0" distR="0" wp14:anchorId="00A5BB45" wp14:editId="710DEEF9">
                      <wp:extent cx="735330" cy="171450"/>
                      <wp:effectExtent l="0" t="0" r="7620" b="0"/>
                      <wp:docPr id="124" name="Rounded Rectangle 1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35330"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2AF6B0C5" id="Rounded Rectangle 124" o:spid="_x0000_s1026" style="width:57.9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38065E37" w14:textId="77777777" w:rsidR="00922731" w:rsidRPr="00D0327A" w:rsidRDefault="00922731" w:rsidP="00922731">
            <w:pPr>
              <w:pStyle w:val="ParagrahAnswer"/>
              <w:keepNext/>
              <w:jc w:val="right"/>
              <w:rPr>
                <w:lang w:val="en-GB"/>
              </w:rPr>
            </w:pPr>
            <w:r w:rsidRPr="00D0327A">
              <w:rPr>
                <w:lang w:val="en-GB"/>
              </w:rPr>
              <w:t>40</w:t>
            </w:r>
          </w:p>
        </w:tc>
      </w:tr>
      <w:tr w:rsidR="00922731" w:rsidRPr="00D0327A" w14:paraId="2F816264"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5FE8EF3" w14:textId="77777777" w:rsidR="00922731" w:rsidRPr="00D0327A" w:rsidRDefault="00922731" w:rsidP="00922731">
            <w:pPr>
              <w:pStyle w:val="ParagrahAnswer"/>
              <w:keepNext/>
              <w:rPr>
                <w:lang w:val="en-GB"/>
              </w:rPr>
            </w:pPr>
            <w:r w:rsidRPr="00D0327A">
              <w:rPr>
                <w:lang w:val="en-GB"/>
              </w:rPr>
              <w:t>В малка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71BEF35D" w14:textId="77777777" w:rsidR="00922731" w:rsidRPr="00D0327A" w:rsidRDefault="00922731" w:rsidP="00922731">
            <w:pPr>
              <w:pStyle w:val="ParagrahAnswer"/>
              <w:keepNext/>
              <w:jc w:val="right"/>
              <w:rPr>
                <w:lang w:val="en-GB"/>
              </w:rPr>
            </w:pPr>
            <w:r w:rsidRPr="00D0327A">
              <w:rPr>
                <w:lang w:val="en-GB"/>
              </w:rPr>
              <w:t>8</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458B36FD" w14:textId="77777777" w:rsidR="00922731" w:rsidRPr="00D0327A" w:rsidRDefault="00922731" w:rsidP="00922731">
            <w:pPr>
              <w:pStyle w:val="ParagrahAnswer"/>
              <w:keepNext/>
              <w:rPr>
                <w:lang w:val="en-GB"/>
              </w:rPr>
            </w:pPr>
            <w:r w:rsidRPr="00D0327A">
              <mc:AlternateContent>
                <mc:Choice Requires="wps">
                  <w:drawing>
                    <wp:inline distT="0" distB="0" distL="0" distR="0" wp14:anchorId="3E95CD68" wp14:editId="13F5D30B">
                      <wp:extent cx="367665" cy="171450"/>
                      <wp:effectExtent l="0" t="0" r="0" b="0"/>
                      <wp:docPr id="125" name="Rounded 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7665"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3322BF89" id="Rounded Rectangle 125" o:spid="_x0000_s1026" style="width:28.9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08C959A9" w14:textId="77777777" w:rsidR="00922731" w:rsidRPr="00D0327A" w:rsidRDefault="00922731" w:rsidP="00922731">
            <w:pPr>
              <w:pStyle w:val="ParagrahAnswer"/>
              <w:keepNext/>
              <w:jc w:val="right"/>
              <w:rPr>
                <w:lang w:val="en-GB"/>
              </w:rPr>
            </w:pPr>
            <w:r w:rsidRPr="00D0327A">
              <w:rPr>
                <w:lang w:val="en-GB"/>
              </w:rPr>
              <w:t>20</w:t>
            </w:r>
          </w:p>
        </w:tc>
      </w:tr>
      <w:tr w:rsidR="00922731" w:rsidRPr="00D0327A" w14:paraId="02E88351"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11A8606F" w14:textId="77777777" w:rsidR="00922731" w:rsidRPr="00D0327A" w:rsidRDefault="00922731" w:rsidP="00922731">
            <w:pPr>
              <w:pStyle w:val="ParagrahAnswer"/>
              <w:keepNext/>
              <w:rPr>
                <w:lang w:val="en-GB"/>
              </w:rPr>
            </w:pPr>
            <w:r w:rsidRPr="00D0327A">
              <w:rPr>
                <w:lang w:val="en-GB"/>
              </w:rPr>
              <w:t>Няма принос</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03884E75" w14:textId="77777777" w:rsidR="00922731" w:rsidRPr="00D0327A" w:rsidRDefault="00922731" w:rsidP="00922731">
            <w:pPr>
              <w:pStyle w:val="ParagrahAnswer"/>
              <w:keepNext/>
              <w:jc w:val="right"/>
              <w:rPr>
                <w:lang w:val="en-GB"/>
              </w:rPr>
            </w:pPr>
            <w:r w:rsidRPr="00D0327A">
              <w:rPr>
                <w:lang w:val="en-GB"/>
              </w:rPr>
              <w:t>10</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1F368099" w14:textId="77777777" w:rsidR="00922731" w:rsidRPr="00D0327A" w:rsidRDefault="00922731" w:rsidP="00922731">
            <w:pPr>
              <w:pStyle w:val="ParagrahAnswer"/>
              <w:keepNext/>
              <w:rPr>
                <w:lang w:val="en-GB"/>
              </w:rPr>
            </w:pPr>
            <w:r w:rsidRPr="00D0327A">
              <mc:AlternateContent>
                <mc:Choice Requires="wps">
                  <w:drawing>
                    <wp:inline distT="0" distB="0" distL="0" distR="0" wp14:anchorId="58AE12AE" wp14:editId="290F7434">
                      <wp:extent cx="459581" cy="171450"/>
                      <wp:effectExtent l="0" t="0" r="0" b="0"/>
                      <wp:docPr id="122" name="Rounded Rectangle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9581"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33550F48" id="Rounded Rectangle 122" o:spid="_x0000_s1026" style="width:36.2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08F039DD" w14:textId="77777777" w:rsidR="00922731" w:rsidRPr="00D0327A" w:rsidRDefault="00922731" w:rsidP="00922731">
            <w:pPr>
              <w:pStyle w:val="ParagrahAnswer"/>
              <w:keepNext/>
              <w:jc w:val="right"/>
              <w:rPr>
                <w:lang w:val="en-GB"/>
              </w:rPr>
            </w:pPr>
            <w:r w:rsidRPr="00D0327A">
              <w:rPr>
                <w:lang w:val="en-GB"/>
              </w:rPr>
              <w:t>25</w:t>
            </w:r>
          </w:p>
        </w:tc>
      </w:tr>
      <w:tr w:rsidR="00922731" w:rsidRPr="00D0327A" w14:paraId="27480AEE"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2D027E76" w14:textId="77777777" w:rsidR="00922731" w:rsidRPr="00D0327A" w:rsidRDefault="00371135" w:rsidP="00371135">
            <w:pPr>
              <w:pStyle w:val="ChartTableFooter"/>
              <w:keepNext/>
              <w:rPr>
                <w:lang w:val="en-GB"/>
              </w:rPr>
            </w:pPr>
            <w:r>
              <w:rPr>
                <w:lang w:val="bg-BG"/>
              </w:rPr>
              <w:t>Респонденти</w:t>
            </w:r>
            <w:r w:rsidR="00922731" w:rsidRPr="00D0327A">
              <w:rPr>
                <w:lang w:val="en-GB"/>
              </w:rPr>
              <w:t>: 40</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6B2A9C38" w14:textId="77777777" w:rsidTr="00922731">
              <w:tc>
                <w:tcPr>
                  <w:tcW w:w="1094" w:type="pct"/>
                  <w:shd w:val="clear" w:color="auto" w:fill="F3F3F3"/>
                  <w:tcMar>
                    <w:left w:w="57" w:type="dxa"/>
                    <w:right w:w="28" w:type="dxa"/>
                  </w:tcMar>
                  <w:vAlign w:val="center"/>
                </w:tcPr>
                <w:p w14:paraId="53BA4C03"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2D02E316"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62CE8E38"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2932E245"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201F486F"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5CB7FEA3"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19B09B71" w14:textId="77777777" w:rsidR="00922731" w:rsidRPr="00D0327A" w:rsidRDefault="00922731" w:rsidP="00922731">
            <w:pPr>
              <w:pStyle w:val="ChartTableFooter"/>
              <w:keepNext/>
              <w:rPr>
                <w:lang w:val="en-GB"/>
              </w:rPr>
            </w:pPr>
          </w:p>
        </w:tc>
      </w:tr>
    </w:tbl>
    <w:p w14:paraId="11D80DE0" w14:textId="77777777" w:rsidR="00922731" w:rsidRPr="00D0327A" w:rsidRDefault="00922731" w:rsidP="00922731">
      <w:pPr>
        <w:spacing w:before="160"/>
        <w:rPr>
          <w:lang w:val="en-GB"/>
        </w:rPr>
      </w:pPr>
    </w:p>
    <w:p w14:paraId="289913CE" w14:textId="77777777" w:rsidR="00922731" w:rsidRPr="00D0327A" w:rsidRDefault="00922731" w:rsidP="0049526E">
      <w:pPr>
        <w:pStyle w:val="QuestionString"/>
      </w:pPr>
      <w:r>
        <w:t>15</w:t>
      </w:r>
      <w:r w:rsidRPr="00D0327A">
        <w:t>. Моля, отбележете, според Вас, до каква степен ПРСР е допринесла за подобряване на основната инфраструктура и околна среда (пътна инфраструктура, водоснабдяване и канализация) във Вашата община?</w:t>
      </w:r>
    </w:p>
    <w:p w14:paraId="13999FFA" w14:textId="77777777" w:rsidR="00922731" w:rsidRPr="00D0327A" w:rsidRDefault="00922731" w:rsidP="00922731">
      <w:pPr>
        <w:pStyle w:val="ExplanationParagrah"/>
      </w:pPr>
      <w:r w:rsidRPr="00D0327A">
        <w:t>(Each respondent could choose only ONE of the following responses.)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6A06DFCA"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079B0102"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60824C44" w14:textId="77777777" w:rsidR="00922731" w:rsidRPr="00D0327A" w:rsidRDefault="00922731" w:rsidP="00371135">
            <w:pPr>
              <w:pStyle w:val="ChartTableHeader"/>
              <w:keepNext/>
              <w:jc w:val="right"/>
              <w:rPr>
                <w:lang w:val="en-GB"/>
              </w:rPr>
            </w:pPr>
            <w:r>
              <w:rPr>
                <w:lang w:val="bg-BG"/>
              </w:rPr>
              <w:t>Общо</w:t>
            </w:r>
          </w:p>
        </w:tc>
        <w:tc>
          <w:tcPr>
            <w:tcW w:w="3175" w:type="dxa"/>
            <w:tcBorders>
              <w:top w:val="nil"/>
              <w:left w:val="nil"/>
              <w:bottom w:val="nil"/>
              <w:right w:val="nil"/>
            </w:tcBorders>
            <w:shd w:val="clear" w:color="auto" w:fill="E0E0E0"/>
            <w:vAlign w:val="center"/>
          </w:tcPr>
          <w:p w14:paraId="01B4C2CB"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0EA1A36A"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429EAA2D"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24C447C3" w14:textId="77777777" w:rsidR="00922731" w:rsidRPr="00D0327A" w:rsidRDefault="00922731" w:rsidP="00922731">
            <w:pPr>
              <w:pStyle w:val="ParagrahAnswer"/>
              <w:keepNext/>
              <w:rPr>
                <w:lang w:val="en-GB"/>
              </w:rPr>
            </w:pPr>
            <w:r w:rsidRPr="00D0327A">
              <w:rPr>
                <w:lang w:val="en-GB"/>
              </w:rPr>
              <w:t>В голяма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1901D597" w14:textId="77777777" w:rsidR="00922731" w:rsidRPr="00D0327A" w:rsidRDefault="00922731" w:rsidP="00922731">
            <w:pPr>
              <w:pStyle w:val="ParagrahAnswer"/>
              <w:keepNext/>
              <w:jc w:val="right"/>
              <w:rPr>
                <w:lang w:val="en-GB"/>
              </w:rPr>
            </w:pPr>
            <w:r w:rsidRPr="00D0327A">
              <w:rPr>
                <w:lang w:val="en-GB"/>
              </w:rPr>
              <w:t>26</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766BBBD9" w14:textId="77777777" w:rsidR="00922731" w:rsidRPr="00D0327A" w:rsidRDefault="00922731" w:rsidP="00922731">
            <w:pPr>
              <w:pStyle w:val="ParagrahAnswer"/>
              <w:keepNext/>
              <w:rPr>
                <w:lang w:val="en-GB"/>
              </w:rPr>
            </w:pPr>
            <w:r w:rsidRPr="00D0327A">
              <mc:AlternateContent>
                <mc:Choice Requires="wps">
                  <w:drawing>
                    <wp:inline distT="0" distB="0" distL="0" distR="0" wp14:anchorId="50E9C44F" wp14:editId="331CE73D">
                      <wp:extent cx="1194911" cy="171450"/>
                      <wp:effectExtent l="0" t="0" r="5715" b="0"/>
                      <wp:docPr id="127" name="Rounded Rectangle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4911"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4D0F6C2D" id="Rounded Rectangle 127" o:spid="_x0000_s1026" style="width:94.1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1E12644D" w14:textId="77777777" w:rsidR="00922731" w:rsidRPr="00D0327A" w:rsidRDefault="00922731" w:rsidP="00922731">
            <w:pPr>
              <w:pStyle w:val="ParagrahAnswer"/>
              <w:keepNext/>
              <w:jc w:val="right"/>
              <w:rPr>
                <w:lang w:val="en-GB"/>
              </w:rPr>
            </w:pPr>
            <w:r w:rsidRPr="00D0327A">
              <w:rPr>
                <w:lang w:val="en-GB"/>
              </w:rPr>
              <w:t>65</w:t>
            </w:r>
          </w:p>
        </w:tc>
      </w:tr>
      <w:tr w:rsidR="00922731" w:rsidRPr="00D0327A" w14:paraId="5FF54F98"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5BF34FC5" w14:textId="77777777" w:rsidR="00922731" w:rsidRPr="00D0327A" w:rsidRDefault="00922731" w:rsidP="00922731">
            <w:pPr>
              <w:pStyle w:val="ParagrahAnswer"/>
              <w:keepNext/>
              <w:rPr>
                <w:lang w:val="en-GB"/>
              </w:rPr>
            </w:pPr>
            <w:r w:rsidRPr="00D0327A">
              <w:rPr>
                <w:lang w:val="en-GB"/>
              </w:rPr>
              <w:t>Донякъде</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0482717" w14:textId="77777777" w:rsidR="00922731" w:rsidRPr="00D0327A" w:rsidRDefault="00922731" w:rsidP="00922731">
            <w:pPr>
              <w:pStyle w:val="ParagrahAnswer"/>
              <w:keepNext/>
              <w:jc w:val="right"/>
              <w:rPr>
                <w:lang w:val="en-GB"/>
              </w:rPr>
            </w:pPr>
            <w:r w:rsidRPr="00D0327A">
              <w:rPr>
                <w:lang w:val="en-GB"/>
              </w:rPr>
              <w:t>8</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0B104DC3" w14:textId="77777777" w:rsidR="00922731" w:rsidRPr="00D0327A" w:rsidRDefault="00922731" w:rsidP="00922731">
            <w:pPr>
              <w:pStyle w:val="ParagrahAnswer"/>
              <w:keepNext/>
              <w:rPr>
                <w:lang w:val="en-GB"/>
              </w:rPr>
            </w:pPr>
            <w:r w:rsidRPr="00D0327A">
              <mc:AlternateContent>
                <mc:Choice Requires="wps">
                  <w:drawing>
                    <wp:inline distT="0" distB="0" distL="0" distR="0" wp14:anchorId="76DFCF25" wp14:editId="031AC34B">
                      <wp:extent cx="367665" cy="171450"/>
                      <wp:effectExtent l="0" t="0" r="0" b="0"/>
                      <wp:docPr id="128" name="Rounded Rectangle 1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7665"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7F4CFA1C" id="Rounded Rectangle 128" o:spid="_x0000_s1026" style="width:28.9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0B83F25B" w14:textId="77777777" w:rsidR="00922731" w:rsidRPr="00D0327A" w:rsidRDefault="00922731" w:rsidP="00922731">
            <w:pPr>
              <w:pStyle w:val="ParagrahAnswer"/>
              <w:keepNext/>
              <w:jc w:val="right"/>
              <w:rPr>
                <w:lang w:val="en-GB"/>
              </w:rPr>
            </w:pPr>
            <w:r w:rsidRPr="00D0327A">
              <w:rPr>
                <w:lang w:val="en-GB"/>
              </w:rPr>
              <w:t>20</w:t>
            </w:r>
          </w:p>
        </w:tc>
      </w:tr>
      <w:tr w:rsidR="00922731" w:rsidRPr="00D0327A" w14:paraId="4D35D808"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0FB5F72" w14:textId="77777777" w:rsidR="00922731" w:rsidRPr="00D0327A" w:rsidRDefault="00922731" w:rsidP="00922731">
            <w:pPr>
              <w:pStyle w:val="ParagrahAnswer"/>
              <w:keepNext/>
              <w:rPr>
                <w:lang w:val="en-GB"/>
              </w:rPr>
            </w:pPr>
            <w:r w:rsidRPr="00D0327A">
              <w:rPr>
                <w:lang w:val="en-GB"/>
              </w:rPr>
              <w:t>В малка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6898177" w14:textId="77777777" w:rsidR="00922731" w:rsidRPr="00D0327A" w:rsidRDefault="00922731" w:rsidP="00922731">
            <w:pPr>
              <w:pStyle w:val="ParagrahAnswer"/>
              <w:keepNext/>
              <w:jc w:val="right"/>
              <w:rPr>
                <w:lang w:val="en-GB"/>
              </w:rPr>
            </w:pPr>
            <w:r w:rsidRPr="00D0327A">
              <w:rPr>
                <w:lang w:val="en-GB"/>
              </w:rPr>
              <w:t>4</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04387F09" w14:textId="77777777" w:rsidR="00922731" w:rsidRPr="00D0327A" w:rsidRDefault="00922731" w:rsidP="00922731">
            <w:pPr>
              <w:pStyle w:val="ParagrahAnswer"/>
              <w:keepNext/>
              <w:rPr>
                <w:lang w:val="en-GB"/>
              </w:rPr>
            </w:pPr>
            <w:r w:rsidRPr="00D0327A">
              <mc:AlternateContent>
                <mc:Choice Requires="wps">
                  <w:drawing>
                    <wp:inline distT="0" distB="0" distL="0" distR="0" wp14:anchorId="34C2C9AC" wp14:editId="2FBF9285">
                      <wp:extent cx="183833" cy="171450"/>
                      <wp:effectExtent l="0" t="0" r="6985" b="0"/>
                      <wp:docPr id="129" name="Rounded Rectangle 1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3833"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3F27445F" id="Rounded Rectangle 129" o:spid="_x0000_s1026" style="width:14.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066E36B8" w14:textId="77777777" w:rsidR="00922731" w:rsidRPr="00D0327A" w:rsidRDefault="00922731" w:rsidP="00922731">
            <w:pPr>
              <w:pStyle w:val="ParagrahAnswer"/>
              <w:keepNext/>
              <w:jc w:val="right"/>
              <w:rPr>
                <w:lang w:val="en-GB"/>
              </w:rPr>
            </w:pPr>
            <w:r w:rsidRPr="00D0327A">
              <w:rPr>
                <w:lang w:val="en-GB"/>
              </w:rPr>
              <w:t>10</w:t>
            </w:r>
          </w:p>
        </w:tc>
      </w:tr>
      <w:tr w:rsidR="00922731" w:rsidRPr="00D0327A" w14:paraId="0C25B044"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25AD84AC" w14:textId="77777777" w:rsidR="00922731" w:rsidRPr="00D0327A" w:rsidRDefault="00922731" w:rsidP="00922731">
            <w:pPr>
              <w:pStyle w:val="ParagrahAnswer"/>
              <w:keepNext/>
              <w:rPr>
                <w:lang w:val="en-GB"/>
              </w:rPr>
            </w:pPr>
            <w:r w:rsidRPr="00D0327A">
              <w:rPr>
                <w:lang w:val="en-GB"/>
              </w:rPr>
              <w:t>Няма принос</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0CC78531" w14:textId="77777777" w:rsidR="00922731" w:rsidRPr="00D0327A" w:rsidRDefault="00922731" w:rsidP="00922731">
            <w:pPr>
              <w:pStyle w:val="ParagrahAnswer"/>
              <w:keepNext/>
              <w:jc w:val="right"/>
              <w:rPr>
                <w:lang w:val="en-GB"/>
              </w:rPr>
            </w:pPr>
            <w:r w:rsidRPr="00D0327A">
              <w:rPr>
                <w:lang w:val="en-GB"/>
              </w:rPr>
              <w:t>2</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5D4D5FF2" w14:textId="77777777" w:rsidR="00922731" w:rsidRPr="00D0327A" w:rsidRDefault="00922731" w:rsidP="00922731">
            <w:pPr>
              <w:pStyle w:val="ParagrahAnswer"/>
              <w:keepNext/>
              <w:rPr>
                <w:lang w:val="en-GB"/>
              </w:rPr>
            </w:pPr>
            <w:r w:rsidRPr="00D0327A">
              <mc:AlternateContent>
                <mc:Choice Requires="wps">
                  <w:drawing>
                    <wp:inline distT="0" distB="0" distL="0" distR="0" wp14:anchorId="6364CA49" wp14:editId="2CB147C9">
                      <wp:extent cx="91916" cy="171450"/>
                      <wp:effectExtent l="0" t="0" r="3810" b="0"/>
                      <wp:docPr id="126" name="Rounded 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916"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579049F4" id="Rounded Rectangle 126" o:spid="_x0000_s1026" style="width:7.2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7C66BB20" w14:textId="77777777" w:rsidR="00922731" w:rsidRPr="00D0327A" w:rsidRDefault="00922731" w:rsidP="00922731">
            <w:pPr>
              <w:pStyle w:val="ParagrahAnswer"/>
              <w:keepNext/>
              <w:jc w:val="right"/>
              <w:rPr>
                <w:lang w:val="en-GB"/>
              </w:rPr>
            </w:pPr>
            <w:r w:rsidRPr="00D0327A">
              <w:rPr>
                <w:lang w:val="en-GB"/>
              </w:rPr>
              <w:t>5</w:t>
            </w:r>
          </w:p>
        </w:tc>
      </w:tr>
      <w:tr w:rsidR="00922731" w:rsidRPr="00D0327A" w14:paraId="52C3BAE0"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1CE7DB13" w14:textId="77777777" w:rsidR="00922731" w:rsidRPr="00D0327A" w:rsidRDefault="00371135" w:rsidP="00371135">
            <w:pPr>
              <w:pStyle w:val="ChartTableFooter"/>
              <w:keepNext/>
              <w:rPr>
                <w:lang w:val="en-GB"/>
              </w:rPr>
            </w:pPr>
            <w:r>
              <w:rPr>
                <w:lang w:val="bg-BG"/>
              </w:rPr>
              <w:t>Респонденти</w:t>
            </w:r>
            <w:r w:rsidR="00922731" w:rsidRPr="00D0327A">
              <w:rPr>
                <w:lang w:val="en-GB"/>
              </w:rPr>
              <w:t>: 40</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7A372EF2" w14:textId="77777777" w:rsidTr="00922731">
              <w:tc>
                <w:tcPr>
                  <w:tcW w:w="1094" w:type="pct"/>
                  <w:shd w:val="clear" w:color="auto" w:fill="F3F3F3"/>
                  <w:tcMar>
                    <w:left w:w="57" w:type="dxa"/>
                    <w:right w:w="28" w:type="dxa"/>
                  </w:tcMar>
                  <w:vAlign w:val="center"/>
                </w:tcPr>
                <w:p w14:paraId="05CC2E7D"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052028F0"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3DCF2327"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4E847033"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49D136FC"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3210EC1B"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4E3E9AC1" w14:textId="77777777" w:rsidR="00922731" w:rsidRPr="00D0327A" w:rsidRDefault="00922731" w:rsidP="00922731">
            <w:pPr>
              <w:pStyle w:val="ChartTableFooter"/>
              <w:keepNext/>
              <w:rPr>
                <w:lang w:val="en-GB"/>
              </w:rPr>
            </w:pPr>
          </w:p>
        </w:tc>
      </w:tr>
    </w:tbl>
    <w:p w14:paraId="39E4F845" w14:textId="77777777" w:rsidR="00922731" w:rsidRPr="00D0327A" w:rsidRDefault="00922731" w:rsidP="00922731">
      <w:pPr>
        <w:spacing w:before="160"/>
        <w:rPr>
          <w:lang w:val="en-GB"/>
        </w:rPr>
      </w:pPr>
    </w:p>
    <w:p w14:paraId="20154131" w14:textId="77777777" w:rsidR="00922731" w:rsidRPr="00D0327A" w:rsidRDefault="00922731" w:rsidP="00922731">
      <w:pPr>
        <w:keepNext/>
        <w:keepLines/>
        <w:spacing w:before="160"/>
        <w:rPr>
          <w:lang w:val="en-GB"/>
        </w:rPr>
      </w:pPr>
    </w:p>
    <w:p w14:paraId="6A72AB45" w14:textId="1074884D" w:rsidR="00922731" w:rsidRPr="00D0327A" w:rsidRDefault="00922731" w:rsidP="0049526E">
      <w:pPr>
        <w:pStyle w:val="QuestionString"/>
      </w:pPr>
      <w:r w:rsidRPr="00D0327A">
        <w:t>1</w:t>
      </w:r>
      <w:r>
        <w:rPr>
          <w:lang w:val="bg-BG"/>
        </w:rPr>
        <w:t>6</w:t>
      </w:r>
      <w:r w:rsidRPr="00D0327A">
        <w:t>. Моля, отбележете, според Вас до каква степен ПРСР е допринесла за подобряване привлекателността на Вашата община като място за живеене ?</w:t>
      </w:r>
    </w:p>
    <w:p w14:paraId="4C21784B" w14:textId="77777777" w:rsidR="00922731" w:rsidRPr="00D0327A" w:rsidRDefault="00922731" w:rsidP="00922731">
      <w:pPr>
        <w:pStyle w:val="ExplanationParagrah"/>
      </w:pPr>
      <w:r w:rsidRPr="00D0327A">
        <w:t>(Each respondent could choose only ONE of the following responses.)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75E02D5B"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3B10A33F"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0853851A" w14:textId="77777777" w:rsidR="00922731" w:rsidRPr="00D0327A" w:rsidRDefault="00922731" w:rsidP="00922731">
            <w:pPr>
              <w:pStyle w:val="ChartTableHeader"/>
              <w:keepNext/>
              <w:jc w:val="right"/>
              <w:rPr>
                <w:lang w:val="en-GB"/>
              </w:rPr>
            </w:pPr>
            <w:r>
              <w:rPr>
                <w:lang w:val="bg-BG"/>
              </w:rPr>
              <w:t>Общо</w:t>
            </w:r>
          </w:p>
        </w:tc>
        <w:tc>
          <w:tcPr>
            <w:tcW w:w="3175" w:type="dxa"/>
            <w:tcBorders>
              <w:top w:val="nil"/>
              <w:left w:val="nil"/>
              <w:bottom w:val="nil"/>
              <w:right w:val="nil"/>
            </w:tcBorders>
            <w:shd w:val="clear" w:color="auto" w:fill="E0E0E0"/>
            <w:vAlign w:val="center"/>
          </w:tcPr>
          <w:p w14:paraId="0725E86D"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545256FE"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0802AF4F"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3438E928" w14:textId="77777777" w:rsidR="00922731" w:rsidRPr="00D0327A" w:rsidRDefault="00922731" w:rsidP="00922731">
            <w:pPr>
              <w:pStyle w:val="ParagrahAnswer"/>
              <w:keepNext/>
              <w:rPr>
                <w:lang w:val="en-GB"/>
              </w:rPr>
            </w:pPr>
            <w:r w:rsidRPr="00D0327A">
              <w:rPr>
                <w:lang w:val="en-GB"/>
              </w:rPr>
              <w:t>В голяма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065568FE" w14:textId="77777777" w:rsidR="00922731" w:rsidRPr="00D0327A" w:rsidRDefault="00922731" w:rsidP="00922731">
            <w:pPr>
              <w:pStyle w:val="ParagrahAnswer"/>
              <w:keepNext/>
              <w:jc w:val="right"/>
              <w:rPr>
                <w:lang w:val="en-GB"/>
              </w:rPr>
            </w:pPr>
            <w:r w:rsidRPr="00D0327A">
              <w:rPr>
                <w:lang w:val="en-GB"/>
              </w:rPr>
              <w:t>21</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15A99A5D" w14:textId="77777777" w:rsidR="00922731" w:rsidRPr="00D0327A" w:rsidRDefault="00922731" w:rsidP="00922731">
            <w:pPr>
              <w:pStyle w:val="ParagrahAnswer"/>
              <w:keepNext/>
              <w:rPr>
                <w:lang w:val="en-GB"/>
              </w:rPr>
            </w:pPr>
            <w:r w:rsidRPr="00D0327A">
              <mc:AlternateContent>
                <mc:Choice Requires="wps">
                  <w:drawing>
                    <wp:inline distT="0" distB="0" distL="0" distR="0" wp14:anchorId="281BA7C3" wp14:editId="47FFB117">
                      <wp:extent cx="992696" cy="171450"/>
                      <wp:effectExtent l="0" t="0" r="0" b="0"/>
                      <wp:docPr id="131" name="Rounded Rectangle 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92696"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03BA0273" id="Rounded Rectangle 131" o:spid="_x0000_s1026" style="width:78.1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26939D35" w14:textId="77777777" w:rsidR="00922731" w:rsidRPr="00D0327A" w:rsidRDefault="00922731" w:rsidP="00922731">
            <w:pPr>
              <w:pStyle w:val="ParagrahAnswer"/>
              <w:keepNext/>
              <w:jc w:val="right"/>
              <w:rPr>
                <w:lang w:val="en-GB"/>
              </w:rPr>
            </w:pPr>
            <w:r w:rsidRPr="00D0327A">
              <w:rPr>
                <w:lang w:val="en-GB"/>
              </w:rPr>
              <w:t>54</w:t>
            </w:r>
          </w:p>
        </w:tc>
      </w:tr>
      <w:tr w:rsidR="00922731" w:rsidRPr="00D0327A" w14:paraId="3FEC7C08"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A0C0DE3" w14:textId="77777777" w:rsidR="00922731" w:rsidRPr="00D0327A" w:rsidRDefault="00922731" w:rsidP="00922731">
            <w:pPr>
              <w:pStyle w:val="ParagrahAnswer"/>
              <w:keepNext/>
              <w:rPr>
                <w:lang w:val="en-GB"/>
              </w:rPr>
            </w:pPr>
            <w:r w:rsidRPr="00D0327A">
              <w:rPr>
                <w:lang w:val="en-GB"/>
              </w:rPr>
              <w:t>Донякъде</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6B7DB366" w14:textId="77777777" w:rsidR="00922731" w:rsidRPr="00D0327A" w:rsidRDefault="00922731" w:rsidP="00922731">
            <w:pPr>
              <w:pStyle w:val="ParagrahAnswer"/>
              <w:keepNext/>
              <w:jc w:val="right"/>
              <w:rPr>
                <w:lang w:val="en-GB"/>
              </w:rPr>
            </w:pPr>
            <w:r w:rsidRPr="00D0327A">
              <w:rPr>
                <w:lang w:val="en-GB"/>
              </w:rPr>
              <w:t>11</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50584C83" w14:textId="77777777" w:rsidR="00922731" w:rsidRPr="00D0327A" w:rsidRDefault="00922731" w:rsidP="00922731">
            <w:pPr>
              <w:pStyle w:val="ParagrahAnswer"/>
              <w:keepNext/>
              <w:rPr>
                <w:lang w:val="en-GB"/>
              </w:rPr>
            </w:pPr>
            <w:r w:rsidRPr="00D0327A">
              <mc:AlternateContent>
                <mc:Choice Requires="wps">
                  <w:drawing>
                    <wp:inline distT="0" distB="0" distL="0" distR="0" wp14:anchorId="3739A39C" wp14:editId="394672DC">
                      <wp:extent cx="514731" cy="171450"/>
                      <wp:effectExtent l="0" t="0" r="0" b="0"/>
                      <wp:docPr id="132" name="Rounded Rectangle 1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4731"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539A65F9" id="Rounded Rectangle 132" o:spid="_x0000_s1026" style="width:40.5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667C0C30" w14:textId="77777777" w:rsidR="00922731" w:rsidRPr="00D0327A" w:rsidRDefault="00922731" w:rsidP="00922731">
            <w:pPr>
              <w:pStyle w:val="ParagrahAnswer"/>
              <w:keepNext/>
              <w:jc w:val="right"/>
              <w:rPr>
                <w:lang w:val="en-GB"/>
              </w:rPr>
            </w:pPr>
            <w:r w:rsidRPr="00D0327A">
              <w:rPr>
                <w:lang w:val="en-GB"/>
              </w:rPr>
              <w:t>28</w:t>
            </w:r>
          </w:p>
        </w:tc>
      </w:tr>
      <w:tr w:rsidR="00922731" w:rsidRPr="00D0327A" w14:paraId="1384EE9B"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E5F1CA4" w14:textId="77777777" w:rsidR="00922731" w:rsidRPr="00D0327A" w:rsidRDefault="00922731" w:rsidP="00922731">
            <w:pPr>
              <w:pStyle w:val="ParagrahAnswer"/>
              <w:keepNext/>
              <w:rPr>
                <w:lang w:val="en-GB"/>
              </w:rPr>
            </w:pPr>
            <w:r w:rsidRPr="00D0327A">
              <w:rPr>
                <w:lang w:val="en-GB"/>
              </w:rPr>
              <w:t>В малка степен</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51DAA255" w14:textId="77777777" w:rsidR="00922731" w:rsidRPr="00D0327A" w:rsidRDefault="00922731" w:rsidP="00922731">
            <w:pPr>
              <w:pStyle w:val="ParagrahAnswer"/>
              <w:keepNext/>
              <w:jc w:val="right"/>
              <w:rPr>
                <w:lang w:val="en-GB"/>
              </w:rPr>
            </w:pPr>
            <w:r w:rsidRPr="00D0327A">
              <w:rPr>
                <w:lang w:val="en-GB"/>
              </w:rPr>
              <w:t>5</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4B92804D" w14:textId="77777777" w:rsidR="00922731" w:rsidRPr="00D0327A" w:rsidRDefault="00922731" w:rsidP="00922731">
            <w:pPr>
              <w:pStyle w:val="ParagrahAnswer"/>
              <w:keepNext/>
              <w:rPr>
                <w:lang w:val="en-GB"/>
              </w:rPr>
            </w:pPr>
            <w:r w:rsidRPr="00D0327A">
              <mc:AlternateContent>
                <mc:Choice Requires="wps">
                  <w:drawing>
                    <wp:inline distT="0" distB="0" distL="0" distR="0" wp14:anchorId="5EB13DEF" wp14:editId="50A1D5C3">
                      <wp:extent cx="238982" cy="171450"/>
                      <wp:effectExtent l="0" t="0" r="8890" b="0"/>
                      <wp:docPr id="133" name="Rounded Rectangle 1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8982"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23991222" id="Rounded Rectangle 133" o:spid="_x0000_s1026" style="width:18.8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4E50F99E" w14:textId="77777777" w:rsidR="00922731" w:rsidRPr="00D0327A" w:rsidRDefault="00922731" w:rsidP="00922731">
            <w:pPr>
              <w:pStyle w:val="ParagrahAnswer"/>
              <w:keepNext/>
              <w:jc w:val="right"/>
              <w:rPr>
                <w:lang w:val="en-GB"/>
              </w:rPr>
            </w:pPr>
            <w:r w:rsidRPr="00D0327A">
              <w:rPr>
                <w:lang w:val="en-GB"/>
              </w:rPr>
              <w:t>13</w:t>
            </w:r>
          </w:p>
        </w:tc>
      </w:tr>
      <w:tr w:rsidR="00922731" w:rsidRPr="00D0327A" w14:paraId="7CBF1E64"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6DC2595E" w14:textId="77777777" w:rsidR="00922731" w:rsidRPr="00D0327A" w:rsidRDefault="00922731" w:rsidP="00922731">
            <w:pPr>
              <w:pStyle w:val="ParagrahAnswer"/>
              <w:keepNext/>
              <w:rPr>
                <w:lang w:val="en-GB"/>
              </w:rPr>
            </w:pPr>
            <w:r w:rsidRPr="00D0327A">
              <w:rPr>
                <w:lang w:val="en-GB"/>
              </w:rPr>
              <w:t>Няма принос</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53EB59AB" w14:textId="77777777" w:rsidR="00922731" w:rsidRPr="00D0327A" w:rsidRDefault="00922731" w:rsidP="00922731">
            <w:pPr>
              <w:pStyle w:val="ParagrahAnswer"/>
              <w:keepNext/>
              <w:jc w:val="right"/>
              <w:rPr>
                <w:lang w:val="en-GB"/>
              </w:rPr>
            </w:pPr>
            <w:r w:rsidRPr="00D0327A">
              <w:rPr>
                <w:lang w:val="en-GB"/>
              </w:rPr>
              <w:t>2</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06DBCBF8" w14:textId="77777777" w:rsidR="00922731" w:rsidRPr="00D0327A" w:rsidRDefault="00922731" w:rsidP="00922731">
            <w:pPr>
              <w:pStyle w:val="ParagrahAnswer"/>
              <w:keepNext/>
              <w:rPr>
                <w:lang w:val="en-GB"/>
              </w:rPr>
            </w:pPr>
            <w:r w:rsidRPr="00D0327A">
              <mc:AlternateContent>
                <mc:Choice Requires="wps">
                  <w:drawing>
                    <wp:inline distT="0" distB="0" distL="0" distR="0" wp14:anchorId="6B926ECE" wp14:editId="6BB1D449">
                      <wp:extent cx="91916" cy="171450"/>
                      <wp:effectExtent l="0" t="0" r="3810" b="0"/>
                      <wp:docPr id="130" name="Rounded Rectangle 1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1916"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794FAB86" id="Rounded Rectangle 130" o:spid="_x0000_s1026" style="width:7.2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392C8A36" w14:textId="77777777" w:rsidR="00922731" w:rsidRPr="00D0327A" w:rsidRDefault="00922731" w:rsidP="00922731">
            <w:pPr>
              <w:pStyle w:val="ParagrahAnswer"/>
              <w:keepNext/>
              <w:jc w:val="right"/>
              <w:rPr>
                <w:lang w:val="en-GB"/>
              </w:rPr>
            </w:pPr>
            <w:r w:rsidRPr="00D0327A">
              <w:rPr>
                <w:lang w:val="en-GB"/>
              </w:rPr>
              <w:t>5</w:t>
            </w:r>
          </w:p>
        </w:tc>
      </w:tr>
      <w:tr w:rsidR="00922731" w:rsidRPr="00D0327A" w14:paraId="3AA15AB4"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4AFDEE4B" w14:textId="77777777" w:rsidR="00922731" w:rsidRPr="00D0327A" w:rsidRDefault="00371135" w:rsidP="00371135">
            <w:pPr>
              <w:pStyle w:val="ChartTableFooter"/>
              <w:keepNext/>
              <w:rPr>
                <w:lang w:val="en-GB"/>
              </w:rPr>
            </w:pPr>
            <w:r>
              <w:rPr>
                <w:lang w:val="bg-BG"/>
              </w:rPr>
              <w:t>Респонденти</w:t>
            </w:r>
            <w:r w:rsidR="00922731" w:rsidRPr="00D0327A">
              <w:rPr>
                <w:lang w:val="en-GB"/>
              </w:rPr>
              <w:t>: 39</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4154E9AB" w14:textId="77777777" w:rsidTr="00922731">
              <w:tc>
                <w:tcPr>
                  <w:tcW w:w="1094" w:type="pct"/>
                  <w:shd w:val="clear" w:color="auto" w:fill="F3F3F3"/>
                  <w:tcMar>
                    <w:left w:w="57" w:type="dxa"/>
                    <w:right w:w="28" w:type="dxa"/>
                  </w:tcMar>
                  <w:vAlign w:val="center"/>
                </w:tcPr>
                <w:p w14:paraId="0AAB98C7"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7410C27D"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42021817"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65630CBC"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23EC7518"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719517B0"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7FBAC195" w14:textId="77777777" w:rsidR="00922731" w:rsidRPr="00D0327A" w:rsidRDefault="00922731" w:rsidP="00922731">
            <w:pPr>
              <w:pStyle w:val="ChartTableFooter"/>
              <w:keepNext/>
              <w:rPr>
                <w:lang w:val="en-GB"/>
              </w:rPr>
            </w:pPr>
          </w:p>
        </w:tc>
      </w:tr>
    </w:tbl>
    <w:p w14:paraId="5B2182AE" w14:textId="77777777" w:rsidR="00922731" w:rsidRPr="00D0327A" w:rsidRDefault="00922731" w:rsidP="00922731">
      <w:pPr>
        <w:spacing w:before="160"/>
        <w:rPr>
          <w:lang w:val="en-GB"/>
        </w:rPr>
      </w:pPr>
    </w:p>
    <w:p w14:paraId="2F9F3E81" w14:textId="77777777" w:rsidR="00922731" w:rsidRPr="00D0327A" w:rsidRDefault="00922731" w:rsidP="0049526E">
      <w:pPr>
        <w:pStyle w:val="QuestionString"/>
      </w:pPr>
      <w:r w:rsidRPr="00D0327A">
        <w:t>1</w:t>
      </w:r>
      <w:r>
        <w:rPr>
          <w:lang w:val="bg-BG"/>
        </w:rPr>
        <w:t>7</w:t>
      </w:r>
      <w:r w:rsidRPr="00D0327A">
        <w:t>. Според Вас, дали ползите от ПРСР 2007-2013 за селските райони биха могли да бъдат по-големи и ако да, по какъв начин ?</w:t>
      </w:r>
    </w:p>
    <w:p w14:paraId="0B2DA6EB" w14:textId="77777777" w:rsidR="00922731" w:rsidRPr="00D0327A" w:rsidRDefault="00922731" w:rsidP="00922731">
      <w:pPr>
        <w:pStyle w:val="ExplanationParagrah"/>
      </w:pPr>
      <w:r w:rsidRPr="00D0327A">
        <w:t>(Each respondent could write a single open-ended response of maximum 255 characters.)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3281A29F"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716946DB"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6ED03651" w14:textId="77777777" w:rsidR="00922731" w:rsidRPr="00D0327A" w:rsidRDefault="00922731" w:rsidP="00922731">
            <w:pPr>
              <w:pStyle w:val="ChartTableHeader"/>
              <w:keepNext/>
              <w:jc w:val="right"/>
              <w:rPr>
                <w:lang w:val="en-GB"/>
              </w:rPr>
            </w:pPr>
            <w:r>
              <w:rPr>
                <w:lang w:val="bg-BG"/>
              </w:rPr>
              <w:t>Общо</w:t>
            </w:r>
          </w:p>
        </w:tc>
        <w:tc>
          <w:tcPr>
            <w:tcW w:w="3175" w:type="dxa"/>
            <w:tcBorders>
              <w:top w:val="nil"/>
              <w:left w:val="nil"/>
              <w:bottom w:val="nil"/>
              <w:right w:val="nil"/>
            </w:tcBorders>
            <w:shd w:val="clear" w:color="auto" w:fill="E0E0E0"/>
            <w:vAlign w:val="center"/>
          </w:tcPr>
          <w:p w14:paraId="44C0BDE2"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314155B4"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6505B89C"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32488B80" w14:textId="77777777" w:rsidR="00922731" w:rsidRPr="00D0327A" w:rsidRDefault="00922731" w:rsidP="00922731">
            <w:pPr>
              <w:pStyle w:val="ParagrahAnswer"/>
              <w:keepNext/>
              <w:rPr>
                <w:lang w:val="en-GB"/>
              </w:rPr>
            </w:pPr>
            <w:r w:rsidRPr="00D0327A">
              <w:rPr>
                <w:lang w:val="en-GB"/>
              </w:rPr>
              <w:t>Open answer</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241C69E5" w14:textId="77777777" w:rsidR="00922731" w:rsidRPr="00D0327A" w:rsidRDefault="00922731" w:rsidP="00922731">
            <w:pPr>
              <w:pStyle w:val="ParagrahAnswer"/>
              <w:keepNext/>
              <w:jc w:val="right"/>
              <w:rPr>
                <w:lang w:val="en-GB"/>
              </w:rPr>
            </w:pPr>
            <w:r w:rsidRPr="00D0327A">
              <w:rPr>
                <w:lang w:val="en-GB"/>
              </w:rPr>
              <w:t>22</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7117391A" w14:textId="77777777" w:rsidR="00922731" w:rsidRPr="00D0327A" w:rsidRDefault="00922731" w:rsidP="00922731">
            <w:pPr>
              <w:pStyle w:val="ParagrahAnswer"/>
              <w:keepNext/>
              <w:rPr>
                <w:lang w:val="en-GB"/>
              </w:rPr>
            </w:pPr>
            <w:r w:rsidRPr="00D0327A">
              <mc:AlternateContent>
                <mc:Choice Requires="wps">
                  <w:drawing>
                    <wp:inline distT="0" distB="0" distL="0" distR="0" wp14:anchorId="2029F3AD" wp14:editId="0475F0C5">
                      <wp:extent cx="864013" cy="171450"/>
                      <wp:effectExtent l="0" t="0" r="0" b="0"/>
                      <wp:docPr id="134" name="Rounded Rectangle 1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64013"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7B14BC95" id="Rounded Rectangle 134" o:spid="_x0000_s1026" style="width:68.05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22F67C27" w14:textId="77777777" w:rsidR="00922731" w:rsidRPr="00D0327A" w:rsidRDefault="00922731" w:rsidP="00922731">
            <w:pPr>
              <w:pStyle w:val="ParagrahAnswer"/>
              <w:keepNext/>
              <w:jc w:val="right"/>
              <w:rPr>
                <w:lang w:val="en-GB"/>
              </w:rPr>
            </w:pPr>
            <w:r w:rsidRPr="00D0327A">
              <w:rPr>
                <w:lang w:val="en-GB"/>
              </w:rPr>
              <w:t>47</w:t>
            </w:r>
          </w:p>
        </w:tc>
      </w:tr>
      <w:tr w:rsidR="00922731" w:rsidRPr="00D0327A" w14:paraId="055AC5F5"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27882DB6" w14:textId="77777777" w:rsidR="00922731" w:rsidRPr="00D0327A" w:rsidRDefault="00371135" w:rsidP="00371135">
            <w:pPr>
              <w:pStyle w:val="ChartTableFooter"/>
              <w:keepNext/>
              <w:rPr>
                <w:lang w:val="en-GB"/>
              </w:rPr>
            </w:pPr>
            <w:r>
              <w:rPr>
                <w:lang w:val="bg-BG"/>
              </w:rPr>
              <w:t>Респонденти</w:t>
            </w:r>
            <w:r w:rsidR="00922731" w:rsidRPr="00D0327A">
              <w:rPr>
                <w:lang w:val="en-GB"/>
              </w:rPr>
              <w:t>: 22</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1FA87EDA" w14:textId="77777777" w:rsidTr="00922731">
              <w:tc>
                <w:tcPr>
                  <w:tcW w:w="1094" w:type="pct"/>
                  <w:shd w:val="clear" w:color="auto" w:fill="F3F3F3"/>
                  <w:tcMar>
                    <w:left w:w="57" w:type="dxa"/>
                    <w:right w:w="28" w:type="dxa"/>
                  </w:tcMar>
                  <w:vAlign w:val="center"/>
                </w:tcPr>
                <w:p w14:paraId="2E4E6E51"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11EAF30B"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7D7AA9C2"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65CF8397"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64F82B78"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1E172606"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791A69D3" w14:textId="77777777" w:rsidR="00922731" w:rsidRPr="00D0327A" w:rsidRDefault="00922731" w:rsidP="00922731">
            <w:pPr>
              <w:pStyle w:val="ChartTableFooter"/>
              <w:keepNext/>
              <w:rPr>
                <w:lang w:val="en-GB"/>
              </w:rPr>
            </w:pPr>
          </w:p>
        </w:tc>
      </w:tr>
    </w:tbl>
    <w:p w14:paraId="0668F6B0" w14:textId="77777777" w:rsidR="00371135" w:rsidRPr="00371135" w:rsidRDefault="00371135" w:rsidP="00371135">
      <w:pPr>
        <w:pBdr>
          <w:bottom w:val="dashed" w:sz="6" w:space="8" w:color="DDDDDD"/>
        </w:pBdr>
        <w:spacing w:after="0" w:line="240" w:lineRule="auto"/>
        <w:rPr>
          <w:rFonts w:ascii="Helvetica" w:hAnsi="Helvetica"/>
          <w:color w:val="3D3C40"/>
          <w:sz w:val="18"/>
          <w:szCs w:val="18"/>
          <w:lang w:eastAsia="bg-BG"/>
        </w:rPr>
      </w:pPr>
    </w:p>
    <w:p w14:paraId="03CC77A3"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Ползите биха били по-големи, ако не се изчакваше приключването на проект по дадена мярка, за да започне следващо кандидатстване по същата мярка - беше загубено много време и възможност за още инвестиции с помощта на средства от ЕС.</w:t>
      </w:r>
    </w:p>
    <w:p w14:paraId="56165672"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Не мога да преценя</w:t>
      </w:r>
    </w:p>
    <w:p w14:paraId="31FF3007"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ако не се инвестираха огромни суми в спортна инфраструктура по м. 321 в населени места, където тя не се използва, и не се инвестираше по м. 312 в инвестиции, за резултатите от които никой не се интересува.</w:t>
      </w:r>
    </w:p>
    <w:p w14:paraId="25E24381"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ползите са големи. Без помощта на ПРСР малките населени места ще останат изолирани и ще се засили неблагоприятното явление хората да мигрират към големия град.</w:t>
      </w:r>
    </w:p>
    <w:p w14:paraId="74445FDC"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ако има мерки свързани с решаване проблемите със сметосъбирането и опазване на околната среда</w:t>
      </w:r>
    </w:p>
    <w:p w14:paraId="7E1E7D5E"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Нямам коментар</w:t>
      </w:r>
    </w:p>
    <w:p w14:paraId="72BC887D"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Забавянето на стартирането на публичните мерки забави изпълнението на ПРСР. Залагането на критерии, от които да се възползват и по-малките общини.</w:t>
      </w:r>
    </w:p>
    <w:p w14:paraId="45CD21AA"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при по ясни насоки и по кратко време за получаване на обратна връзка с управляващия орган</w:t>
      </w:r>
    </w:p>
    <w:p w14:paraId="69915324"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w:t>
      </w:r>
    </w:p>
    <w:p w14:paraId="072F8ADC"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Достатъчни са</w:t>
      </w:r>
    </w:p>
    <w:p w14:paraId="45EEDA49"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чрез увеличаване на инвестициите в линейна инфраструктура.</w:t>
      </w:r>
    </w:p>
    <w:p w14:paraId="7738FD7B"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За ползата от ПРСР 2007-2013 времето ще покаже.</w:t>
      </w:r>
    </w:p>
    <w:p w14:paraId="60614527"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биха могли - с подобряване качеството на живота и увеличаване на възможностите за заетост в селските райони.</w:t>
      </w:r>
    </w:p>
    <w:p w14:paraId="0EA6D18C"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Отпускане на повече средства по програмата.</w:t>
      </w:r>
    </w:p>
    <w:p w14:paraId="30C19C4F"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Биха могли да бъдат по-големи ако състоянието на системите за управление и контрол бъдат обсъдени по-обстойно. Да се намери решение за финансовите корекции и мерките за намаляването им през следващия период.</w:t>
      </w:r>
    </w:p>
    <w:p w14:paraId="0E96623C"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ако реалното изпълнение на програмата беше стартирало по-рано.</w:t>
      </w:r>
    </w:p>
    <w:p w14:paraId="3A4361FA"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w:t>
      </w:r>
    </w:p>
    <w:p w14:paraId="461286EA"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Не</w:t>
      </w:r>
    </w:p>
    <w:p w14:paraId="4FCEA9B4"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ако общината ни беше допустима да кандидатства самостоятелно, а не единствено чрез МИГ.</w:t>
      </w:r>
    </w:p>
    <w:p w14:paraId="46515168"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Условията при кандидатстване на общините да бъдат по опростени.</w:t>
      </w:r>
    </w:p>
    <w:p w14:paraId="38ACD5A7"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С финансирането на повече инфраструктурни проекти, предвид на това, че на територията на общината има финансиран само един и един за улично осветление.</w:t>
      </w:r>
    </w:p>
    <w:p w14:paraId="598D3D76"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С финансиране на повече проекти за общините.</w:t>
      </w:r>
    </w:p>
    <w:p w14:paraId="1A7BB0E2" w14:textId="77777777" w:rsidR="00922731" w:rsidRPr="009D54CA" w:rsidRDefault="00922731" w:rsidP="0049526E">
      <w:pPr>
        <w:pStyle w:val="QuestionString"/>
      </w:pPr>
      <w:r>
        <w:t>18</w:t>
      </w:r>
      <w:r w:rsidRPr="009D54CA">
        <w:t>. Какви препоръки бихте искали да отправите относно изпълнението на настоящата ПРСР 2014-2020 ?</w:t>
      </w:r>
    </w:p>
    <w:p w14:paraId="163D9FDA" w14:textId="77777777" w:rsidR="00922731" w:rsidRPr="00D0327A" w:rsidRDefault="00922731" w:rsidP="00922731">
      <w:pPr>
        <w:pStyle w:val="ExplanationParagrah"/>
      </w:pPr>
      <w:r w:rsidRPr="00D0327A">
        <w:t>(Each respondent could write a single open-ended response of maximum 255 characters.)</w:t>
      </w:r>
    </w:p>
    <w:tbl>
      <w:tblPr>
        <w:tblStyle w:val="TableGrid"/>
        <w:tblW w:w="9639" w:type="dxa"/>
        <w:jc w:val="center"/>
        <w:tblLook w:val="01E0" w:firstRow="1" w:lastRow="1" w:firstColumn="1" w:lastColumn="1" w:noHBand="0" w:noVBand="0"/>
      </w:tblPr>
      <w:tblGrid>
        <w:gridCol w:w="4536"/>
        <w:gridCol w:w="1021"/>
        <w:gridCol w:w="3175"/>
        <w:gridCol w:w="907"/>
      </w:tblGrid>
      <w:tr w:rsidR="00922731" w:rsidRPr="00D0327A" w14:paraId="076F313A" w14:textId="77777777" w:rsidTr="00922731">
        <w:trPr>
          <w:cantSplit/>
          <w:trHeight w:val="397"/>
          <w:tblHeader/>
          <w:jc w:val="center"/>
        </w:trPr>
        <w:tc>
          <w:tcPr>
            <w:tcW w:w="4536" w:type="dxa"/>
            <w:tcBorders>
              <w:top w:val="nil"/>
              <w:left w:val="nil"/>
              <w:bottom w:val="nil"/>
              <w:right w:val="nil"/>
            </w:tcBorders>
            <w:shd w:val="clear" w:color="auto" w:fill="E0E0E0"/>
            <w:vAlign w:val="center"/>
          </w:tcPr>
          <w:p w14:paraId="552A2830" w14:textId="77777777" w:rsidR="00922731" w:rsidRPr="009B3384" w:rsidRDefault="00922731" w:rsidP="00922731">
            <w:pPr>
              <w:pStyle w:val="ChartTableHeader"/>
              <w:keepNext/>
              <w:rPr>
                <w:lang w:val="bg-BG"/>
              </w:rPr>
            </w:pPr>
            <w:r>
              <w:rPr>
                <w:lang w:val="bg-BG"/>
              </w:rPr>
              <w:t>Отговор</w:t>
            </w:r>
          </w:p>
        </w:tc>
        <w:tc>
          <w:tcPr>
            <w:tcW w:w="1021" w:type="dxa"/>
            <w:tcBorders>
              <w:top w:val="nil"/>
              <w:left w:val="nil"/>
              <w:bottom w:val="nil"/>
              <w:right w:val="nil"/>
            </w:tcBorders>
            <w:shd w:val="clear" w:color="auto" w:fill="E0E0E0"/>
            <w:vAlign w:val="center"/>
          </w:tcPr>
          <w:p w14:paraId="4D54A9E8" w14:textId="77777777" w:rsidR="00922731" w:rsidRPr="00D0327A" w:rsidRDefault="00922731" w:rsidP="00371135">
            <w:pPr>
              <w:pStyle w:val="ChartTableHeader"/>
              <w:keepNext/>
              <w:jc w:val="right"/>
              <w:rPr>
                <w:lang w:val="en-GB"/>
              </w:rPr>
            </w:pPr>
            <w:r>
              <w:rPr>
                <w:lang w:val="bg-BG"/>
              </w:rPr>
              <w:t>Общо</w:t>
            </w:r>
          </w:p>
        </w:tc>
        <w:tc>
          <w:tcPr>
            <w:tcW w:w="3175" w:type="dxa"/>
            <w:tcBorders>
              <w:top w:val="nil"/>
              <w:left w:val="nil"/>
              <w:bottom w:val="nil"/>
              <w:right w:val="nil"/>
            </w:tcBorders>
            <w:shd w:val="clear" w:color="auto" w:fill="E0E0E0"/>
            <w:vAlign w:val="center"/>
          </w:tcPr>
          <w:p w14:paraId="4406F569" w14:textId="77777777" w:rsidR="00922731" w:rsidRPr="00D0327A" w:rsidRDefault="00922731" w:rsidP="00922731">
            <w:pPr>
              <w:pStyle w:val="ChartTableHeader"/>
              <w:keepNext/>
              <w:rPr>
                <w:lang w:val="en-GB"/>
              </w:rPr>
            </w:pPr>
            <w:r w:rsidRPr="00D0327A">
              <w:rPr>
                <w:lang w:val="en-GB"/>
              </w:rPr>
              <w:t xml:space="preserve">% </w:t>
            </w:r>
          </w:p>
        </w:tc>
        <w:tc>
          <w:tcPr>
            <w:tcW w:w="907" w:type="dxa"/>
            <w:tcBorders>
              <w:top w:val="nil"/>
              <w:left w:val="nil"/>
              <w:bottom w:val="nil"/>
              <w:right w:val="nil"/>
            </w:tcBorders>
            <w:shd w:val="clear" w:color="auto" w:fill="E0E0E0"/>
            <w:vAlign w:val="center"/>
          </w:tcPr>
          <w:p w14:paraId="5A018599" w14:textId="77777777" w:rsidR="00922731" w:rsidRPr="00D0327A" w:rsidRDefault="00922731" w:rsidP="00922731">
            <w:pPr>
              <w:pStyle w:val="ChartTableHeader"/>
              <w:keepNext/>
              <w:jc w:val="right"/>
              <w:rPr>
                <w:lang w:val="en-GB"/>
              </w:rPr>
            </w:pPr>
            <w:r w:rsidRPr="00D0327A">
              <w:rPr>
                <w:lang w:val="en-GB"/>
              </w:rPr>
              <w:t>%</w:t>
            </w:r>
          </w:p>
        </w:tc>
      </w:tr>
      <w:tr w:rsidR="00922731" w:rsidRPr="00D0327A" w14:paraId="76C56305" w14:textId="77777777" w:rsidTr="00922731">
        <w:trPr>
          <w:trHeight w:val="397"/>
          <w:jc w:val="center"/>
        </w:trPr>
        <w:tc>
          <w:tcPr>
            <w:tcW w:w="4536" w:type="dxa"/>
            <w:tcBorders>
              <w:top w:val="nil"/>
              <w:left w:val="nil"/>
              <w:bottom w:val="single" w:sz="4" w:space="0" w:color="BFBFBF" w:themeColor="background1" w:themeShade="BF"/>
              <w:right w:val="nil"/>
            </w:tcBorders>
            <w:tcMar>
              <w:top w:w="28" w:type="dxa"/>
              <w:bottom w:w="28" w:type="dxa"/>
            </w:tcMar>
            <w:vAlign w:val="center"/>
          </w:tcPr>
          <w:p w14:paraId="4FC02E19" w14:textId="77777777" w:rsidR="00922731" w:rsidRPr="00D0327A" w:rsidRDefault="00922731" w:rsidP="00922731">
            <w:pPr>
              <w:pStyle w:val="ParagrahAnswer"/>
              <w:keepNext/>
              <w:rPr>
                <w:lang w:val="en-GB"/>
              </w:rPr>
            </w:pPr>
            <w:r w:rsidRPr="00D0327A">
              <w:rPr>
                <w:lang w:val="en-GB"/>
              </w:rPr>
              <w:t>Open answer</w:t>
            </w:r>
          </w:p>
        </w:tc>
        <w:tc>
          <w:tcPr>
            <w:tcW w:w="1021" w:type="dxa"/>
            <w:tcBorders>
              <w:top w:val="nil"/>
              <w:left w:val="nil"/>
              <w:bottom w:val="single" w:sz="4" w:space="0" w:color="BFBFBF" w:themeColor="background1" w:themeShade="BF"/>
              <w:right w:val="nil"/>
            </w:tcBorders>
            <w:tcMar>
              <w:top w:w="28" w:type="dxa"/>
              <w:bottom w:w="28" w:type="dxa"/>
            </w:tcMar>
            <w:vAlign w:val="center"/>
          </w:tcPr>
          <w:p w14:paraId="1AB55F7C" w14:textId="77777777" w:rsidR="00922731" w:rsidRPr="00D0327A" w:rsidRDefault="00922731" w:rsidP="00922731">
            <w:pPr>
              <w:pStyle w:val="ParagrahAnswer"/>
              <w:keepNext/>
              <w:jc w:val="right"/>
              <w:rPr>
                <w:lang w:val="en-GB"/>
              </w:rPr>
            </w:pPr>
            <w:r w:rsidRPr="00D0327A">
              <w:rPr>
                <w:lang w:val="en-GB"/>
              </w:rPr>
              <w:t>25</w:t>
            </w:r>
          </w:p>
        </w:tc>
        <w:tc>
          <w:tcPr>
            <w:tcW w:w="3175" w:type="dxa"/>
            <w:tcBorders>
              <w:top w:val="nil"/>
              <w:left w:val="nil"/>
              <w:bottom w:val="single" w:sz="4" w:space="0" w:color="BFBFBF" w:themeColor="background1" w:themeShade="BF"/>
              <w:right w:val="nil"/>
            </w:tcBorders>
            <w:tcMar>
              <w:top w:w="28" w:type="dxa"/>
              <w:bottom w:w="28" w:type="dxa"/>
            </w:tcMar>
            <w:vAlign w:val="center"/>
          </w:tcPr>
          <w:p w14:paraId="3B1CC8D3" w14:textId="77777777" w:rsidR="00922731" w:rsidRPr="00D0327A" w:rsidRDefault="00922731" w:rsidP="00922731">
            <w:pPr>
              <w:pStyle w:val="ParagrahAnswer"/>
              <w:keepNext/>
              <w:rPr>
                <w:lang w:val="en-GB"/>
              </w:rPr>
            </w:pPr>
            <w:r w:rsidRPr="00D0327A">
              <mc:AlternateContent>
                <mc:Choice Requires="wps">
                  <w:drawing>
                    <wp:inline distT="0" distB="0" distL="0" distR="0" wp14:anchorId="3BA25C88" wp14:editId="5EC49244">
                      <wp:extent cx="974312" cy="171450"/>
                      <wp:effectExtent l="0" t="0" r="0" b="0"/>
                      <wp:docPr id="135" name="Rounded Rectangle 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4312" cy="171450"/>
                              </a:xfrm>
                              <a:prstGeom prst="roundRect">
                                <a:avLst/>
                              </a:prstGeom>
                              <a:solidFill>
                                <a:srgbClr val="5B9AD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xmlns:w15="http://schemas.microsoft.com/office/word/2012/wordml">
                  <w:pict>
                    <v:roundrect w14:anchorId="40FC3C62" id="Rounded Rectangle 135" o:spid="_x0000_s1026" style="width:76.7pt;height:13.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" fillcolor="#5b9ad2" stroked="f" strokeweight="1pt">
                      <v:stroke joinstyle="miter"/>
                      <v:path arrowok="t"/>
                      <w10:anchorlock/>
                    </v:roundrect>
                  </w:pict>
                </mc:Fallback>
              </mc:AlternateContent>
            </w:r>
          </w:p>
        </w:tc>
        <w:tc>
          <w:tcPr>
            <w:tcW w:w="907" w:type="dxa"/>
            <w:tcBorders>
              <w:top w:val="nil"/>
              <w:left w:val="nil"/>
              <w:bottom w:val="single" w:sz="4" w:space="0" w:color="BFBFBF" w:themeColor="background1" w:themeShade="BF"/>
              <w:right w:val="nil"/>
            </w:tcBorders>
            <w:tcMar>
              <w:top w:w="28" w:type="dxa"/>
              <w:bottom w:w="28" w:type="dxa"/>
            </w:tcMar>
            <w:vAlign w:val="center"/>
          </w:tcPr>
          <w:p w14:paraId="5A512A02" w14:textId="77777777" w:rsidR="00922731" w:rsidRPr="00D0327A" w:rsidRDefault="00922731" w:rsidP="00922731">
            <w:pPr>
              <w:pStyle w:val="ParagrahAnswer"/>
              <w:keepNext/>
              <w:jc w:val="right"/>
              <w:rPr>
                <w:lang w:val="en-GB"/>
              </w:rPr>
            </w:pPr>
            <w:r w:rsidRPr="00D0327A">
              <w:rPr>
                <w:lang w:val="en-GB"/>
              </w:rPr>
              <w:t>53</w:t>
            </w:r>
          </w:p>
        </w:tc>
      </w:tr>
      <w:tr w:rsidR="00922731" w:rsidRPr="00D0327A" w14:paraId="3AA9EAA3" w14:textId="77777777" w:rsidTr="00922731">
        <w:trPr>
          <w:cantSplit/>
          <w:trHeight w:val="397"/>
          <w:jc w:val="center"/>
        </w:trPr>
        <w:tc>
          <w:tcPr>
            <w:tcW w:w="5557" w:type="dxa"/>
            <w:gridSpan w:val="2"/>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0D749DEC" w14:textId="77777777" w:rsidR="00922731" w:rsidRPr="00D0327A" w:rsidRDefault="00371135" w:rsidP="00371135">
            <w:pPr>
              <w:pStyle w:val="ChartTableFooter"/>
              <w:keepNext/>
              <w:rPr>
                <w:lang w:val="en-GB"/>
              </w:rPr>
            </w:pPr>
            <w:r>
              <w:rPr>
                <w:lang w:val="bg-BG"/>
              </w:rPr>
              <w:t>Респонденти</w:t>
            </w:r>
            <w:r w:rsidR="00922731" w:rsidRPr="00D0327A">
              <w:rPr>
                <w:lang w:val="en-GB"/>
              </w:rPr>
              <w:t>: 25</w:t>
            </w:r>
          </w:p>
        </w:tc>
        <w:tc>
          <w:tcPr>
            <w:tcW w:w="3175"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tbl>
            <w:tblPr>
              <w:tblStyle w:val="TableGrid"/>
              <w:tblW w:w="2880" w:type="dxa"/>
              <w:tblBorders>
                <w:top w:val="single" w:sz="4" w:space="0" w:color="BFBFBF" w:themeColor="background1" w:themeShade="BF"/>
                <w:left w:val="none" w:sz="0" w:space="0" w:color="auto"/>
                <w:bottom w:val="single" w:sz="4" w:space="0" w:color="BFBFBF" w:themeColor="background1" w:themeShade="BF"/>
                <w:right w:val="none" w:sz="0" w:space="0" w:color="auto"/>
                <w:insideH w:val="none" w:sz="0" w:space="0" w:color="auto"/>
                <w:insideV w:val="single" w:sz="4" w:space="0" w:color="D9D9D9" w:themeColor="background1" w:themeShade="D9"/>
              </w:tblBorders>
              <w:shd w:val="clear" w:color="auto" w:fill="F3F3F3"/>
              <w:tblLook w:val="01E0" w:firstRow="1" w:lastRow="1" w:firstColumn="1" w:lastColumn="1" w:noHBand="0" w:noVBand="0"/>
            </w:tblPr>
            <w:tblGrid>
              <w:gridCol w:w="631"/>
              <w:gridCol w:w="540"/>
              <w:gridCol w:w="540"/>
              <w:gridCol w:w="540"/>
              <w:gridCol w:w="629"/>
            </w:tblGrid>
            <w:tr w:rsidR="00922731" w:rsidRPr="00D0327A" w14:paraId="525E83FD" w14:textId="77777777" w:rsidTr="00922731">
              <w:tc>
                <w:tcPr>
                  <w:tcW w:w="1094" w:type="pct"/>
                  <w:shd w:val="clear" w:color="auto" w:fill="F3F3F3"/>
                  <w:tcMar>
                    <w:left w:w="57" w:type="dxa"/>
                    <w:right w:w="28" w:type="dxa"/>
                  </w:tcMar>
                  <w:vAlign w:val="center"/>
                </w:tcPr>
                <w:p w14:paraId="4DDB17D0"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0%</w:t>
                  </w:r>
                </w:p>
              </w:tc>
              <w:tc>
                <w:tcPr>
                  <w:tcW w:w="938" w:type="pct"/>
                  <w:shd w:val="clear" w:color="auto" w:fill="F3F3F3"/>
                  <w:tcMar>
                    <w:left w:w="57" w:type="dxa"/>
                    <w:right w:w="28" w:type="dxa"/>
                  </w:tcMar>
                  <w:vAlign w:val="center"/>
                </w:tcPr>
                <w:p w14:paraId="692D5F6D"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20%</w:t>
                  </w:r>
                </w:p>
              </w:tc>
              <w:tc>
                <w:tcPr>
                  <w:tcW w:w="938" w:type="pct"/>
                  <w:shd w:val="clear" w:color="auto" w:fill="F3F3F3"/>
                  <w:tcMar>
                    <w:left w:w="57" w:type="dxa"/>
                    <w:right w:w="28" w:type="dxa"/>
                  </w:tcMar>
                  <w:vAlign w:val="center"/>
                </w:tcPr>
                <w:p w14:paraId="0CB2C2C6"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40%</w:t>
                  </w:r>
                </w:p>
              </w:tc>
              <w:tc>
                <w:tcPr>
                  <w:tcW w:w="938" w:type="pct"/>
                  <w:shd w:val="clear" w:color="auto" w:fill="F3F3F3"/>
                  <w:tcMar>
                    <w:left w:w="57" w:type="dxa"/>
                    <w:right w:w="28" w:type="dxa"/>
                  </w:tcMar>
                  <w:vAlign w:val="center"/>
                </w:tcPr>
                <w:p w14:paraId="40E6E82B"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60%</w:t>
                  </w:r>
                </w:p>
              </w:tc>
              <w:tc>
                <w:tcPr>
                  <w:tcW w:w="1094" w:type="pct"/>
                  <w:shd w:val="clear" w:color="auto" w:fill="F3F3F3"/>
                  <w:tcMar>
                    <w:left w:w="57" w:type="dxa"/>
                    <w:right w:w="28" w:type="dxa"/>
                  </w:tcMar>
                  <w:vAlign w:val="center"/>
                </w:tcPr>
                <w:p w14:paraId="756582F9" w14:textId="77777777" w:rsidR="00922731" w:rsidRPr="00D0327A" w:rsidRDefault="00922731" w:rsidP="00922731">
                  <w:pPr>
                    <w:pStyle w:val="ChartTableFooter"/>
                    <w:keepNext/>
                    <w:jc w:val="left"/>
                    <w:rPr>
                      <w:color w:val="BFBFBF" w:themeColor="background1" w:themeShade="BF"/>
                      <w:lang w:val="en-GB"/>
                    </w:rPr>
                  </w:pPr>
                  <w:r w:rsidRPr="00D0327A">
                    <w:rPr>
                      <w:color w:val="BFBFBF" w:themeColor="background1" w:themeShade="BF"/>
                      <w:lang w:val="en-GB"/>
                    </w:rPr>
                    <w:t>80%</w:t>
                  </w:r>
                </w:p>
              </w:tc>
            </w:tr>
          </w:tbl>
          <w:p w14:paraId="0EFA72BB" w14:textId="77777777" w:rsidR="00922731" w:rsidRPr="00D0327A" w:rsidRDefault="00922731" w:rsidP="00922731">
            <w:pPr>
              <w:pStyle w:val="ChartTableFooter"/>
              <w:keepNext/>
              <w:rPr>
                <w:lang w:val="en-GB"/>
              </w:rPr>
            </w:pPr>
          </w:p>
        </w:tc>
        <w:tc>
          <w:tcPr>
            <w:tcW w:w="907" w:type="dxa"/>
            <w:tcBorders>
              <w:top w:val="single" w:sz="4" w:space="0" w:color="BFBFBF" w:themeColor="background1" w:themeShade="BF"/>
              <w:left w:val="nil"/>
              <w:bottom w:val="nil"/>
              <w:right w:val="nil"/>
            </w:tcBorders>
            <w:shd w:val="clear" w:color="auto" w:fill="E0E0E0"/>
            <w:tcMar>
              <w:top w:w="115" w:type="dxa"/>
              <w:left w:w="115" w:type="dxa"/>
              <w:bottom w:w="115" w:type="dxa"/>
              <w:right w:w="115" w:type="dxa"/>
            </w:tcMar>
          </w:tcPr>
          <w:p w14:paraId="3910200A" w14:textId="77777777" w:rsidR="00922731" w:rsidRPr="00D0327A" w:rsidRDefault="00922731" w:rsidP="00922731">
            <w:pPr>
              <w:pStyle w:val="ChartTableFooter"/>
              <w:keepNext/>
              <w:rPr>
                <w:lang w:val="en-GB"/>
              </w:rPr>
            </w:pPr>
          </w:p>
        </w:tc>
      </w:tr>
    </w:tbl>
    <w:p w14:paraId="239B423D" w14:textId="77777777" w:rsidR="00922731" w:rsidRDefault="00922731" w:rsidP="00922731">
      <w:pPr>
        <w:spacing w:before="160"/>
        <w:rPr>
          <w:lang w:val="en-GB"/>
        </w:rPr>
      </w:pPr>
    </w:p>
    <w:p w14:paraId="1648DB88"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Считам, че можеше да се работи с прозрачни референтни стойности за множество дейности, така както се работеше по програмите за трансгранично сътрудничество. Бяха заложени точно определени суми в рамките, на които бенефициентът трябваше да достигне даден резултат. Всеки кандидатстващ ще си прави изчисления дали може да инвестира по-голяма сума от тази, която е референтната посочена стойност и да постигне по-високо качество. За мен сегашното положение с неизвестни референтни стойности/които впоследствие 'орязват' инвестицията до някаква стойност - неизвестна до момента на изпълнение от бенефициента, е в противоречие с Регламента на ЕК и дава една допълнителна несигурност и напрежение при работата още при изготвяне на проекта. Освен това кара потенциалните бенефициенти да не вярват в собствените си възможности и да търсят други начини, които в някои случаи не могат да контролират.</w:t>
      </w:r>
    </w:p>
    <w:p w14:paraId="041A9AD2"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Спазване на нормативно определените срокове, спазване на индикативните графици за прием</w:t>
      </w:r>
    </w:p>
    <w:p w14:paraId="0BB2166D"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Процесът по договаряне, контрол и верификация на проектите да се осъществява по-бързо и по-улеснено</w:t>
      </w:r>
    </w:p>
    <w:p w14:paraId="4A13068C"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Нямаме препоръки</w:t>
      </w:r>
    </w:p>
    <w:p w14:paraId="56EF167A"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Кандидатстването с проектни предложения да се извършва чрез ИСУН 2020, да се осигури прозрачност при оценяването на проектните предложения, да се актуализира сайта на ПРСР 2014-2020, така че информацията за подготовка и изпълнение на проектите да е достъпна до всички заинтересовани; да се даде възможност на бенефициентите да получават необходимата им информация от съответните звена в ПРСР по телефон или на място.</w:t>
      </w:r>
    </w:p>
    <w:p w14:paraId="2D3E3C8F"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се променят критериите за оценка, според които населените места до 6000 жители няма да получат никакво финансиране, да се иска преразпределение на ресурс за м. 7.2 от други мерки, в т.ч. и по-добре да се разпределят инвестициите по м.6.4.1 като не отпадат местата за настаняване, но да се финансират според жизнеспособността на проектите. Да има по-добра форма на комуникация с УО, както е при повечето други програми.</w:t>
      </w:r>
    </w:p>
    <w:p w14:paraId="47A6058D"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Въвеждане на ИСУН и за ПРСР.</w:t>
      </w:r>
    </w:p>
    <w:p w14:paraId="472FD6A0"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има мерки за финансиране на всичко, което се вменява на общините и излиза от ангажимента на държавата</w:t>
      </w:r>
    </w:p>
    <w:p w14:paraId="1149A141"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Много се бави процеса на оценка и последващо сключване на договори</w:t>
      </w:r>
    </w:p>
    <w:p w14:paraId="50BBE805"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Експедитивна работа.</w:t>
      </w:r>
    </w:p>
    <w:p w14:paraId="53C0E480"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По-бърза комуникация с управляващия орган</w:t>
      </w:r>
    </w:p>
    <w:p w14:paraId="2A0AF6CA"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Финансиране на туристически дейности, на дейности насочени към подобряване на жизнената среда в домашни условия на лица, попадащи в целевата група - лица с увреждания, с чужда помощ, в невъзможност за самостоятелно придвижване и силна зависимост.</w:t>
      </w:r>
    </w:p>
    <w:p w14:paraId="01AA79A1"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Нямам препоръки.</w:t>
      </w:r>
    </w:p>
    <w:p w14:paraId="0408CB97"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Повече информация за процеса на кандидатстване.</w:t>
      </w:r>
    </w:p>
    <w:p w14:paraId="607718E0"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се вземат параметри на оценяване, които са реални спрямо малките общини.</w:t>
      </w:r>
    </w:p>
    <w:p w14:paraId="540242F9"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Критериите за допустимост са ограничаващи относно допустимостта на всички общини, приоритет се дава на общините в Северозападна България</w:t>
      </w:r>
    </w:p>
    <w:p w14:paraId="75D033CE"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По-кратки срокове при разглеждане на документи</w:t>
      </w:r>
    </w:p>
    <w:p w14:paraId="4F604E83"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Подобряване качеството на живота и увеличаване на възможностите за заетост в селските райони.</w:t>
      </w:r>
    </w:p>
    <w:p w14:paraId="3CB0C7FD"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Механизми за оптимизиране на контрола и предотвратяване на сериозни грешки в бъдеще</w:t>
      </w:r>
    </w:p>
    <w:p w14:paraId="64F50AED"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се избягват промените в изискванията към кандидатите по време на оценка на проектните предложения. При оценка на внесените проектни предложения да се спазват сроковете посочени в ЗУСЕИФ.</w:t>
      </w:r>
    </w:p>
    <w:p w14:paraId="27B11405"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Да се премахнат ограниченията относно броя на проектите, които една община може да изпълнява по подмярка 7.2</w:t>
      </w:r>
    </w:p>
    <w:p w14:paraId="4F59C933"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Критерият за брой население да отпадне.</w:t>
      </w:r>
    </w:p>
    <w:p w14:paraId="42888B02"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Повече внимание към малките общини. Населението там също има нужда от нормални условия на живот.</w:t>
      </w:r>
    </w:p>
    <w:p w14:paraId="0B49B1A2" w14:textId="77777777" w:rsidR="00922731" w:rsidRPr="00371135" w:rsidRDefault="00922731" w:rsidP="00371135">
      <w:pPr>
        <w:numPr>
          <w:ilvl w:val="0"/>
          <w:numId w:val="52"/>
        </w:numPr>
        <w:pBdr>
          <w:bottom w:val="dashed" w:sz="6" w:space="8" w:color="DDDDDD"/>
        </w:pBdr>
        <w:spacing w:after="120" w:line="240" w:lineRule="auto"/>
        <w:ind w:left="0" w:hanging="357"/>
        <w:rPr>
          <w:rFonts w:ascii="Arial" w:hAnsi="Arial" w:cs="Arial"/>
          <w:sz w:val="20"/>
          <w:szCs w:val="20"/>
          <w:lang w:eastAsia="bg-BG"/>
        </w:rPr>
      </w:pPr>
      <w:r w:rsidRPr="00371135">
        <w:rPr>
          <w:rFonts w:ascii="Arial" w:hAnsi="Arial" w:cs="Arial"/>
          <w:sz w:val="20"/>
          <w:szCs w:val="20"/>
          <w:lang w:eastAsia="bg-BG"/>
        </w:rPr>
        <w:t>По-малко ограничителни условия, при кандидатстване и опростен начин на отчитане.</w:t>
      </w:r>
    </w:p>
    <w:p w14:paraId="6D783013" w14:textId="74DB11E7" w:rsidR="004D7C9E" w:rsidRPr="009D54CA" w:rsidRDefault="004D7C9E" w:rsidP="000A70F3">
      <w:pPr>
        <w:pStyle w:val="DefaultText"/>
        <w:jc w:val="left"/>
        <w:rPr>
          <w:lang w:val="bg-BG"/>
        </w:rPr>
      </w:pPr>
    </w:p>
    <w:sectPr w:rsidR="004D7C9E" w:rsidRPr="009D54CA" w:rsidSect="00922731">
      <w:footerReference w:type="default" r:id="rId79"/>
      <w:pgSz w:w="11906" w:h="16838"/>
      <w:pgMar w:top="1417" w:right="1417" w:bottom="1417" w:left="1417"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62C11C5" w16cid:durableId="1E35B2A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9BA747C" w14:textId="77777777" w:rsidR="000161DB" w:rsidRDefault="000161DB" w:rsidP="00E8617E">
      <w:pPr>
        <w:spacing w:after="0" w:line="240" w:lineRule="auto"/>
      </w:pPr>
      <w:r>
        <w:separator/>
      </w:r>
    </w:p>
  </w:endnote>
  <w:endnote w:type="continuationSeparator" w:id="0">
    <w:p w14:paraId="26E2C10B" w14:textId="77777777" w:rsidR="000161DB" w:rsidRDefault="000161DB" w:rsidP="00E8617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3" w:usb1="08070000" w:usb2="00000010" w:usb3="00000000" w:csb0="00020005"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2FF" w:usb1="400004FF" w:usb2="00000000" w:usb3="00000000" w:csb0="0000019F" w:csb1="00000000"/>
  </w:font>
  <w:font w:name="TimesNewRomanPSMT">
    <w:altName w:val="Arial Unicode MS"/>
    <w:panose1 w:val="00000000000000000000"/>
    <w:charset w:val="80"/>
    <w:family w:val="auto"/>
    <w:notTrueType/>
    <w:pitch w:val="default"/>
    <w:sig w:usb0="00000003" w:usb1="08070000" w:usb2="00000010" w:usb3="00000000" w:csb0="00020001" w:csb1="00000000"/>
  </w:font>
  <w:font w:name="Wingdings 2">
    <w:panose1 w:val="05020102010507070707"/>
    <w:charset w:val="02"/>
    <w:family w:val="roman"/>
    <w:pitch w:val="variable"/>
    <w:sig w:usb0="00000000" w:usb1="10000000" w:usb2="00000000" w:usb3="00000000" w:csb0="8000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eiryo">
    <w:panose1 w:val="020B0604030504040204"/>
    <w:charset w:val="80"/>
    <w:family w:val="swiss"/>
    <w:pitch w:val="variable"/>
    <w:sig w:usb0="E10102FF" w:usb1="EAC7FFFF" w:usb2="00010012" w:usb3="00000000" w:csb0="0002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4643"/>
      <w:gridCol w:w="4643"/>
    </w:tblGrid>
    <w:tr w:rsidR="00886DDF" w14:paraId="68FEA893" w14:textId="77777777" w:rsidTr="00922731">
      <w:tc>
        <w:tcPr>
          <w:tcW w:w="2500" w:type="pct"/>
          <w:vAlign w:val="center"/>
        </w:tcPr>
        <w:p w14:paraId="38D65C72"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3FC254E6" wp14:editId="1D3FC390">
                <wp:extent cx="646532" cy="293426"/>
                <wp:effectExtent l="0" t="0" r="1270" b="0"/>
                <wp:docPr id="14336" name="Picture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12A542C1" w14:textId="77777777" w:rsidR="00886DDF" w:rsidRDefault="00886DDF" w:rsidP="00922731">
          <w:pPr>
            <w:pStyle w:val="Footer"/>
            <w:jc w:val="right"/>
          </w:pPr>
          <w:r>
            <w:rPr>
              <w:noProof/>
              <w:lang w:val="en-US" w:eastAsia="en-US"/>
            </w:rPr>
            <w:drawing>
              <wp:inline distT="0" distB="0" distL="0" distR="0" wp14:anchorId="323E3425" wp14:editId="17633833">
                <wp:extent cx="1413510" cy="328723"/>
                <wp:effectExtent l="0" t="0" r="0" b="0"/>
                <wp:docPr id="14337" name="Picture 14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0C95EDAA" w14:textId="3ABCEB37"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1</w:t>
    </w:r>
    <w:r w:rsidRPr="00F44328">
      <w:rPr>
        <w:noProof/>
        <w:sz w:val="16"/>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7109"/>
      <w:gridCol w:w="7109"/>
    </w:tblGrid>
    <w:tr w:rsidR="00886DDF" w14:paraId="7A9332D2" w14:textId="77777777" w:rsidTr="00922731">
      <w:tc>
        <w:tcPr>
          <w:tcW w:w="2500" w:type="pct"/>
          <w:vAlign w:val="center"/>
        </w:tcPr>
        <w:p w14:paraId="6753C108"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7E054CB8" wp14:editId="2C5D3232">
                <wp:extent cx="646532" cy="293426"/>
                <wp:effectExtent l="0" t="0" r="1270" b="0"/>
                <wp:docPr id="14355" name="Picture 14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13212B9F" w14:textId="77777777" w:rsidR="00886DDF" w:rsidRDefault="00886DDF" w:rsidP="00922731">
          <w:pPr>
            <w:pStyle w:val="Footer"/>
            <w:jc w:val="right"/>
          </w:pPr>
          <w:r>
            <w:rPr>
              <w:noProof/>
              <w:lang w:val="en-US" w:eastAsia="en-US"/>
            </w:rPr>
            <w:drawing>
              <wp:inline distT="0" distB="0" distL="0" distR="0" wp14:anchorId="0E5B6BAE" wp14:editId="643E9893">
                <wp:extent cx="1413510" cy="328723"/>
                <wp:effectExtent l="0" t="0" r="0" b="0"/>
                <wp:docPr id="14356" name="Picture 14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7C11AE1A" w14:textId="31653B3A"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64</w:t>
    </w:r>
    <w:r w:rsidRPr="00F44328">
      <w:rPr>
        <w:noProof/>
        <w:sz w:val="16"/>
      </w:rPr>
      <w:fldChar w:fldCharType="end"/>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4643"/>
      <w:gridCol w:w="4643"/>
    </w:tblGrid>
    <w:tr w:rsidR="00886DDF" w14:paraId="5A1C1A0E" w14:textId="77777777" w:rsidTr="00922731">
      <w:tc>
        <w:tcPr>
          <w:tcW w:w="2500" w:type="pct"/>
          <w:vAlign w:val="center"/>
        </w:tcPr>
        <w:p w14:paraId="3B4E04AC"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5070193E" wp14:editId="77853131">
                <wp:extent cx="646532" cy="293426"/>
                <wp:effectExtent l="0" t="0" r="1270" b="0"/>
                <wp:docPr id="14357" name="Picture 14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3B161B24" w14:textId="77777777" w:rsidR="00886DDF" w:rsidRDefault="00886DDF" w:rsidP="00922731">
          <w:pPr>
            <w:pStyle w:val="Footer"/>
            <w:jc w:val="right"/>
          </w:pPr>
          <w:r>
            <w:rPr>
              <w:noProof/>
              <w:lang w:val="en-US" w:eastAsia="en-US"/>
            </w:rPr>
            <w:drawing>
              <wp:inline distT="0" distB="0" distL="0" distR="0" wp14:anchorId="4BBD248E" wp14:editId="323029E3">
                <wp:extent cx="1413510" cy="328723"/>
                <wp:effectExtent l="0" t="0" r="0" b="0"/>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03206D19" w14:textId="18E62044"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67</w:t>
    </w:r>
    <w:r w:rsidRPr="00F44328">
      <w:rPr>
        <w:noProof/>
        <w:sz w:val="16"/>
      </w:rPr>
      <w:fldChar w:fldCharType="end"/>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4643"/>
      <w:gridCol w:w="4644"/>
    </w:tblGrid>
    <w:tr w:rsidR="00886DDF" w14:paraId="58703AB4" w14:textId="77777777" w:rsidTr="00922731">
      <w:tc>
        <w:tcPr>
          <w:tcW w:w="2500" w:type="pct"/>
          <w:vAlign w:val="center"/>
        </w:tcPr>
        <w:p w14:paraId="1694DA0B"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7CC3BC2F" wp14:editId="7C17454A">
                <wp:extent cx="646532" cy="293426"/>
                <wp:effectExtent l="0" t="0" r="127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677D9955" w14:textId="77777777" w:rsidR="00886DDF" w:rsidRDefault="00886DDF" w:rsidP="00922731">
          <w:pPr>
            <w:pStyle w:val="Footer"/>
            <w:jc w:val="right"/>
          </w:pPr>
          <w:r>
            <w:rPr>
              <w:noProof/>
              <w:lang w:val="en-US" w:eastAsia="en-US"/>
            </w:rPr>
            <w:drawing>
              <wp:inline distT="0" distB="0" distL="0" distR="0" wp14:anchorId="23CA2F94" wp14:editId="1E9018CF">
                <wp:extent cx="1413510" cy="328723"/>
                <wp:effectExtent l="0" t="0" r="0" b="0"/>
                <wp:docPr id="14360" name="Picture 14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6488E9A6" w14:textId="7AD0DB82"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94</w:t>
    </w:r>
    <w:r w:rsidRPr="00F44328">
      <w:rPr>
        <w:noProof/>
        <w:sz w:val="16"/>
      </w:rPr>
      <w:fldChar w:fldCharType="end"/>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7110"/>
      <w:gridCol w:w="7110"/>
    </w:tblGrid>
    <w:tr w:rsidR="00886DDF" w14:paraId="1C43D3B7" w14:textId="77777777" w:rsidTr="00922731">
      <w:tc>
        <w:tcPr>
          <w:tcW w:w="2500" w:type="pct"/>
          <w:vAlign w:val="center"/>
        </w:tcPr>
        <w:p w14:paraId="6ECC7EBF"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19148116" wp14:editId="42A8F233">
                <wp:extent cx="646532" cy="293426"/>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362749B7" w14:textId="77777777" w:rsidR="00886DDF" w:rsidRDefault="00886DDF" w:rsidP="00922731">
          <w:pPr>
            <w:pStyle w:val="Footer"/>
            <w:jc w:val="right"/>
          </w:pPr>
          <w:r>
            <w:rPr>
              <w:noProof/>
              <w:lang w:val="en-US" w:eastAsia="en-US"/>
            </w:rPr>
            <w:drawing>
              <wp:inline distT="0" distB="0" distL="0" distR="0" wp14:anchorId="666053C2" wp14:editId="187A3363">
                <wp:extent cx="1413510" cy="32872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711DCBF9" w14:textId="5B2B0D95"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5B729E">
      <w:rPr>
        <w:noProof/>
        <w:sz w:val="16"/>
      </w:rPr>
      <w:t>214</w:t>
    </w:r>
    <w:r w:rsidRPr="00F44328">
      <w:rPr>
        <w:noProof/>
        <w:sz w:val="16"/>
      </w:rPr>
      <w:fldChar w:fldCharType="end"/>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4644"/>
      <w:gridCol w:w="4644"/>
    </w:tblGrid>
    <w:tr w:rsidR="00886DDF" w14:paraId="702F1754" w14:textId="77777777" w:rsidTr="00922731">
      <w:tc>
        <w:tcPr>
          <w:tcW w:w="2500" w:type="pct"/>
          <w:vAlign w:val="center"/>
        </w:tcPr>
        <w:p w14:paraId="38515AFD"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231224C0" wp14:editId="0A188DAE">
                <wp:extent cx="646532" cy="293426"/>
                <wp:effectExtent l="0" t="0" r="1270" b="0"/>
                <wp:docPr id="5157" name="Picture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241C63D8" w14:textId="77777777" w:rsidR="00886DDF" w:rsidRDefault="00886DDF" w:rsidP="00922731">
          <w:pPr>
            <w:pStyle w:val="Footer"/>
            <w:jc w:val="right"/>
          </w:pPr>
          <w:r>
            <w:rPr>
              <w:noProof/>
              <w:lang w:val="en-US" w:eastAsia="en-US"/>
            </w:rPr>
            <w:drawing>
              <wp:inline distT="0" distB="0" distL="0" distR="0" wp14:anchorId="6AFFFAF7" wp14:editId="794BBCC1">
                <wp:extent cx="1413510" cy="328723"/>
                <wp:effectExtent l="0" t="0" r="0" b="0"/>
                <wp:docPr id="5168" name="Picture 5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599EE4C1" w14:textId="26F8314F"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5B729E">
      <w:rPr>
        <w:noProof/>
        <w:sz w:val="16"/>
      </w:rPr>
      <w:t>225</w:t>
    </w:r>
    <w:r w:rsidRPr="00F44328">
      <w:rPr>
        <w:noProof/>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7109"/>
      <w:gridCol w:w="7109"/>
    </w:tblGrid>
    <w:tr w:rsidR="00886DDF" w14:paraId="55614F16" w14:textId="77777777" w:rsidTr="00922731">
      <w:tc>
        <w:tcPr>
          <w:tcW w:w="2500" w:type="pct"/>
          <w:vAlign w:val="center"/>
        </w:tcPr>
        <w:p w14:paraId="0A37DC1B"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546FBE50" wp14:editId="5DE4EF55">
                <wp:extent cx="646532" cy="293426"/>
                <wp:effectExtent l="0" t="0" r="1270" b="0"/>
                <wp:docPr id="14338" name="Picture 14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1C03B5C7" w14:textId="77777777" w:rsidR="00886DDF" w:rsidRDefault="00886DDF" w:rsidP="00922731">
          <w:pPr>
            <w:pStyle w:val="Footer"/>
            <w:jc w:val="right"/>
          </w:pPr>
          <w:r>
            <w:rPr>
              <w:noProof/>
              <w:lang w:val="en-US" w:eastAsia="en-US"/>
            </w:rPr>
            <w:drawing>
              <wp:inline distT="0" distB="0" distL="0" distR="0" wp14:anchorId="32BE7BC7" wp14:editId="509F4A59">
                <wp:extent cx="1413510" cy="328723"/>
                <wp:effectExtent l="0" t="0" r="0" b="0"/>
                <wp:docPr id="14339" name="Picture 14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1123D6E3" w14:textId="7D2D8953"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39</w:t>
    </w:r>
    <w:r w:rsidRPr="00F44328">
      <w:rPr>
        <w:noProof/>
        <w:sz w:val="16"/>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4643"/>
      <w:gridCol w:w="4643"/>
    </w:tblGrid>
    <w:tr w:rsidR="00886DDF" w14:paraId="5BA02826" w14:textId="77777777" w:rsidTr="00922731">
      <w:tc>
        <w:tcPr>
          <w:tcW w:w="2500" w:type="pct"/>
          <w:vAlign w:val="center"/>
        </w:tcPr>
        <w:p w14:paraId="7ED34BF4"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09F415FF" wp14:editId="73FC8D0F">
                <wp:extent cx="646532" cy="293426"/>
                <wp:effectExtent l="0" t="0" r="1270" b="0"/>
                <wp:docPr id="14340" name="Picture 14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0B15BA7E" w14:textId="77777777" w:rsidR="00886DDF" w:rsidRDefault="00886DDF" w:rsidP="00922731">
          <w:pPr>
            <w:pStyle w:val="Footer"/>
            <w:jc w:val="right"/>
          </w:pPr>
          <w:r>
            <w:rPr>
              <w:noProof/>
              <w:lang w:val="en-US" w:eastAsia="en-US"/>
            </w:rPr>
            <w:drawing>
              <wp:inline distT="0" distB="0" distL="0" distR="0" wp14:anchorId="3ABC65D8" wp14:editId="689BF0CC">
                <wp:extent cx="1413510" cy="328723"/>
                <wp:effectExtent l="0" t="0" r="0" b="0"/>
                <wp:docPr id="14341" name="Picture 14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2A31125F" w14:textId="0AF42BB7"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42</w:t>
    </w:r>
    <w:r w:rsidRPr="00F44328">
      <w:rPr>
        <w:noProof/>
        <w:sz w:val="16"/>
      </w:rP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7109"/>
      <w:gridCol w:w="7109"/>
    </w:tblGrid>
    <w:tr w:rsidR="00886DDF" w14:paraId="1FBE6E22" w14:textId="77777777" w:rsidTr="00922731">
      <w:tc>
        <w:tcPr>
          <w:tcW w:w="2500" w:type="pct"/>
          <w:vAlign w:val="center"/>
        </w:tcPr>
        <w:p w14:paraId="404BC249"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4171C070" wp14:editId="43F06BF8">
                <wp:extent cx="646532" cy="293426"/>
                <wp:effectExtent l="0" t="0" r="1270" b="0"/>
                <wp:docPr id="14343" name="Picture 14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35693260" w14:textId="77777777" w:rsidR="00886DDF" w:rsidRDefault="00886DDF" w:rsidP="00922731">
          <w:pPr>
            <w:pStyle w:val="Footer"/>
            <w:jc w:val="right"/>
          </w:pPr>
          <w:r>
            <w:rPr>
              <w:noProof/>
              <w:lang w:val="en-US" w:eastAsia="en-US"/>
            </w:rPr>
            <w:drawing>
              <wp:inline distT="0" distB="0" distL="0" distR="0" wp14:anchorId="796AD66B" wp14:editId="12B0B219">
                <wp:extent cx="1413510" cy="328723"/>
                <wp:effectExtent l="0" t="0" r="0" b="0"/>
                <wp:docPr id="14344" name="Picture 14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6793DF59" w14:textId="608006EA"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43</w:t>
    </w:r>
    <w:r w:rsidRPr="00F44328">
      <w:rPr>
        <w:noProof/>
        <w:sz w:val="16"/>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4643"/>
      <w:gridCol w:w="4643"/>
    </w:tblGrid>
    <w:tr w:rsidR="00886DDF" w14:paraId="5AFD5029" w14:textId="77777777" w:rsidTr="00922731">
      <w:tc>
        <w:tcPr>
          <w:tcW w:w="2500" w:type="pct"/>
          <w:vAlign w:val="center"/>
        </w:tcPr>
        <w:p w14:paraId="387C3940"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1FAD19DD" wp14:editId="4EC5F047">
                <wp:extent cx="646532" cy="293426"/>
                <wp:effectExtent l="0" t="0" r="127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10AD14A2" w14:textId="77777777" w:rsidR="00886DDF" w:rsidRDefault="00886DDF" w:rsidP="00922731">
          <w:pPr>
            <w:pStyle w:val="Footer"/>
            <w:jc w:val="right"/>
          </w:pPr>
          <w:r>
            <w:rPr>
              <w:noProof/>
              <w:lang w:val="en-US" w:eastAsia="en-US"/>
            </w:rPr>
            <w:drawing>
              <wp:inline distT="0" distB="0" distL="0" distR="0" wp14:anchorId="1A9FA817" wp14:editId="7A003B17">
                <wp:extent cx="1413510" cy="328723"/>
                <wp:effectExtent l="0" t="0" r="0" b="0"/>
                <wp:docPr id="14346" name="Picture 14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42F90F68" w14:textId="201AF9E4"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46</w:t>
    </w:r>
    <w:r w:rsidRPr="00F44328">
      <w:rPr>
        <w:noProof/>
        <w:sz w:val="16"/>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7109"/>
      <w:gridCol w:w="7109"/>
    </w:tblGrid>
    <w:tr w:rsidR="00886DDF" w14:paraId="13BE8C82" w14:textId="77777777" w:rsidTr="00922731">
      <w:tc>
        <w:tcPr>
          <w:tcW w:w="2500" w:type="pct"/>
          <w:vAlign w:val="center"/>
        </w:tcPr>
        <w:p w14:paraId="55FFA380"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75E7DF28" wp14:editId="5B6900D5">
                <wp:extent cx="646532" cy="293426"/>
                <wp:effectExtent l="0" t="0" r="1270" b="0"/>
                <wp:docPr id="14347" name="Picture 14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4B303719" w14:textId="77777777" w:rsidR="00886DDF" w:rsidRDefault="00886DDF" w:rsidP="00922731">
          <w:pPr>
            <w:pStyle w:val="Footer"/>
            <w:jc w:val="right"/>
          </w:pPr>
          <w:r>
            <w:rPr>
              <w:noProof/>
              <w:lang w:val="en-US" w:eastAsia="en-US"/>
            </w:rPr>
            <w:drawing>
              <wp:inline distT="0" distB="0" distL="0" distR="0" wp14:anchorId="6651DC98" wp14:editId="6D889EAA">
                <wp:extent cx="1413510" cy="328723"/>
                <wp:effectExtent l="0" t="0" r="0" b="0"/>
                <wp:docPr id="14348" name="Picture 14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10210336" w14:textId="5A70F6D4"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47</w:t>
    </w:r>
    <w:r w:rsidRPr="00F44328">
      <w:rPr>
        <w:noProof/>
        <w:sz w:val="16"/>
      </w:rP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4643"/>
      <w:gridCol w:w="4643"/>
    </w:tblGrid>
    <w:tr w:rsidR="00886DDF" w14:paraId="104856C1" w14:textId="77777777" w:rsidTr="00922731">
      <w:tc>
        <w:tcPr>
          <w:tcW w:w="2500" w:type="pct"/>
          <w:vAlign w:val="center"/>
        </w:tcPr>
        <w:p w14:paraId="51777B23"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2D3BCBBB" wp14:editId="6A039508">
                <wp:extent cx="646532" cy="293426"/>
                <wp:effectExtent l="0" t="0" r="1270" b="0"/>
                <wp:docPr id="14349" name="Picture 14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6FBBBCD6" w14:textId="77777777" w:rsidR="00886DDF" w:rsidRDefault="00886DDF" w:rsidP="00922731">
          <w:pPr>
            <w:pStyle w:val="Footer"/>
            <w:jc w:val="right"/>
          </w:pPr>
          <w:r>
            <w:rPr>
              <w:noProof/>
              <w:lang w:val="en-US" w:eastAsia="en-US"/>
            </w:rPr>
            <w:drawing>
              <wp:inline distT="0" distB="0" distL="0" distR="0" wp14:anchorId="2679346A" wp14:editId="12DC9E8D">
                <wp:extent cx="1413510" cy="328723"/>
                <wp:effectExtent l="0" t="0" r="0" b="0"/>
                <wp:docPr id="14350" name="Picture 14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4234EB14" w14:textId="0DEC5ACD"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48</w:t>
    </w:r>
    <w:r w:rsidRPr="00F44328">
      <w:rPr>
        <w:noProof/>
        <w:sz w:val="16"/>
      </w:rPr>
      <w:fldChar w:fldCharType="end"/>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7109"/>
      <w:gridCol w:w="7109"/>
    </w:tblGrid>
    <w:tr w:rsidR="00886DDF" w14:paraId="421C7D66" w14:textId="77777777" w:rsidTr="00922731">
      <w:tc>
        <w:tcPr>
          <w:tcW w:w="2500" w:type="pct"/>
          <w:vAlign w:val="center"/>
        </w:tcPr>
        <w:p w14:paraId="291A77C1"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34BB4B1C" wp14:editId="103D3A61">
                <wp:extent cx="646532" cy="293426"/>
                <wp:effectExtent l="0" t="0" r="1270" b="0"/>
                <wp:docPr id="14351" name="Picture 14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7770EC0C" w14:textId="77777777" w:rsidR="00886DDF" w:rsidRDefault="00886DDF" w:rsidP="00922731">
          <w:pPr>
            <w:pStyle w:val="Footer"/>
            <w:jc w:val="right"/>
          </w:pPr>
          <w:r>
            <w:rPr>
              <w:noProof/>
              <w:lang w:val="en-US" w:eastAsia="en-US"/>
            </w:rPr>
            <w:drawing>
              <wp:inline distT="0" distB="0" distL="0" distR="0" wp14:anchorId="17F5607A" wp14:editId="3B82D581">
                <wp:extent cx="1413510" cy="328723"/>
                <wp:effectExtent l="0" t="0" r="0" b="0"/>
                <wp:docPr id="14352" name="Picture 14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5A038167" w14:textId="7EF4C3E9"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49</w:t>
    </w:r>
    <w:r w:rsidRPr="00F44328">
      <w:rPr>
        <w:noProof/>
        <w:sz w:val="16"/>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Look w:val="04A0" w:firstRow="1" w:lastRow="0" w:firstColumn="1" w:lastColumn="0" w:noHBand="0" w:noVBand="1"/>
    </w:tblPr>
    <w:tblGrid>
      <w:gridCol w:w="4643"/>
      <w:gridCol w:w="4643"/>
    </w:tblGrid>
    <w:tr w:rsidR="00886DDF" w14:paraId="51ACDFFF" w14:textId="77777777" w:rsidTr="00922731">
      <w:tc>
        <w:tcPr>
          <w:tcW w:w="2500" w:type="pct"/>
          <w:vAlign w:val="center"/>
        </w:tcPr>
        <w:p w14:paraId="2B3E8BFC" w14:textId="77777777" w:rsidR="00886DDF" w:rsidRPr="00667E0B" w:rsidRDefault="00886DDF" w:rsidP="00922731">
          <w:pPr>
            <w:pStyle w:val="Footer"/>
            <w:rPr>
              <w:lang w:val="bg-BG"/>
            </w:rPr>
          </w:pPr>
          <w:r w:rsidRPr="00A6611B">
            <w:rPr>
              <w:noProof/>
              <w:szCs w:val="24"/>
              <w:lang w:val="en-US" w:eastAsia="en-US"/>
            </w:rPr>
            <w:drawing>
              <wp:inline distT="0" distB="0" distL="0" distR="0" wp14:anchorId="25457DA6" wp14:editId="75F1FD3A">
                <wp:extent cx="646532" cy="293426"/>
                <wp:effectExtent l="0" t="0" r="1270" b="0"/>
                <wp:docPr id="14353" name="Picture 14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649160" cy="294619"/>
                        </a:xfrm>
                        <a:prstGeom prst="rect">
                          <a:avLst/>
                        </a:prstGeom>
                      </pic:spPr>
                    </pic:pic>
                  </a:graphicData>
                </a:graphic>
              </wp:inline>
            </w:drawing>
          </w:r>
        </w:p>
      </w:tc>
      <w:tc>
        <w:tcPr>
          <w:tcW w:w="2500" w:type="pct"/>
          <w:vAlign w:val="center"/>
        </w:tcPr>
        <w:p w14:paraId="198D02B0" w14:textId="77777777" w:rsidR="00886DDF" w:rsidRDefault="00886DDF" w:rsidP="00922731">
          <w:pPr>
            <w:pStyle w:val="Footer"/>
            <w:jc w:val="right"/>
          </w:pPr>
          <w:r>
            <w:rPr>
              <w:noProof/>
              <w:lang w:val="en-US" w:eastAsia="en-US"/>
            </w:rPr>
            <w:drawing>
              <wp:inline distT="0" distB="0" distL="0" distR="0" wp14:anchorId="5F8C958D" wp14:editId="2F522940">
                <wp:extent cx="1413510" cy="328723"/>
                <wp:effectExtent l="0" t="0" r="0" b="0"/>
                <wp:docPr id="14354" name="Picture 14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BIM logo.jpg"/>
                        <pic:cNvPicPr/>
                      </pic:nvPicPr>
                      <pic:blipFill>
                        <a:blip r:embed="rId2">
                          <a:extLst>
                            <a:ext uri="{28A0092B-C50C-407E-A947-70E740481C1C}">
                              <a14:useLocalDpi xmlns:a14="http://schemas.microsoft.com/office/drawing/2010/main" val="0"/>
                            </a:ext>
                          </a:extLst>
                        </a:blip>
                        <a:stretch>
                          <a:fillRect/>
                        </a:stretch>
                      </pic:blipFill>
                      <pic:spPr>
                        <a:xfrm>
                          <a:off x="0" y="0"/>
                          <a:ext cx="1427012" cy="331863"/>
                        </a:xfrm>
                        <a:prstGeom prst="rect">
                          <a:avLst/>
                        </a:prstGeom>
                      </pic:spPr>
                    </pic:pic>
                  </a:graphicData>
                </a:graphic>
              </wp:inline>
            </w:drawing>
          </w:r>
        </w:p>
      </w:tc>
    </w:tr>
  </w:tbl>
  <w:p w14:paraId="701A0D1B" w14:textId="232E9B95" w:rsidR="00886DDF" w:rsidRPr="00930F84" w:rsidRDefault="00886DDF" w:rsidP="00922731">
    <w:pPr>
      <w:pStyle w:val="Footer"/>
      <w:jc w:val="center"/>
      <w:rPr>
        <w:sz w:val="16"/>
        <w:lang w:val="bg-BG"/>
      </w:rPr>
    </w:pPr>
    <w:r w:rsidRPr="00F44328">
      <w:rPr>
        <w:sz w:val="16"/>
      </w:rPr>
      <w:fldChar w:fldCharType="begin"/>
    </w:r>
    <w:r w:rsidRPr="00F44328">
      <w:rPr>
        <w:sz w:val="16"/>
      </w:rPr>
      <w:instrText xml:space="preserve"> PAGE   \* MERGEFORMAT </w:instrText>
    </w:r>
    <w:r w:rsidRPr="00F44328">
      <w:rPr>
        <w:sz w:val="16"/>
      </w:rPr>
      <w:fldChar w:fldCharType="separate"/>
    </w:r>
    <w:r w:rsidR="00F458E5">
      <w:rPr>
        <w:noProof/>
        <w:sz w:val="16"/>
      </w:rPr>
      <w:t>60</w:t>
    </w:r>
    <w:r w:rsidRPr="00F44328">
      <w:rPr>
        <w:noProof/>
        <w:sz w:val="16"/>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A36FBB2" w14:textId="77777777" w:rsidR="000161DB" w:rsidRDefault="000161DB" w:rsidP="00E8617E">
      <w:pPr>
        <w:spacing w:after="0" w:line="240" w:lineRule="auto"/>
      </w:pPr>
      <w:r>
        <w:separator/>
      </w:r>
    </w:p>
  </w:footnote>
  <w:footnote w:type="continuationSeparator" w:id="0">
    <w:p w14:paraId="0C941118" w14:textId="77777777" w:rsidR="000161DB" w:rsidRDefault="000161DB" w:rsidP="00E8617E">
      <w:pPr>
        <w:spacing w:after="0" w:line="240" w:lineRule="auto"/>
      </w:pPr>
      <w:r>
        <w:continuationSeparator/>
      </w:r>
    </w:p>
  </w:footnote>
  <w:footnote w:id="1">
    <w:p w14:paraId="69952F06" w14:textId="77777777" w:rsidR="00886DDF" w:rsidRDefault="00886DDF" w:rsidP="004D4F2D">
      <w:pPr>
        <w:pStyle w:val="FootnoteText"/>
      </w:pPr>
      <w:r>
        <w:rPr>
          <w:rStyle w:val="FootnoteReference"/>
        </w:rPr>
        <w:footnoteRef/>
      </w:r>
      <w:r>
        <w:t xml:space="preserve"> </w:t>
      </w:r>
      <w:r w:rsidRPr="006978A9">
        <w:rPr>
          <w:rFonts w:ascii="Arial" w:hAnsi="Arial" w:cs="Arial"/>
          <w:sz w:val="18"/>
          <w:szCs w:val="18"/>
        </w:rPr>
        <w:t>Оценката е осъществена в рамките на 1 месец през ноември 2017 г.</w:t>
      </w:r>
      <w:r>
        <w:rPr>
          <w:rFonts w:ascii="Arial" w:hAnsi="Arial" w:cs="Arial"/>
          <w:sz w:val="18"/>
          <w:szCs w:val="18"/>
        </w:rPr>
        <w:t xml:space="preserve"> и след това допълнена в рамките на крайния срок за изпълнение до края на януари 2018 г.</w:t>
      </w:r>
    </w:p>
  </w:footnote>
  <w:footnote w:id="2">
    <w:p w14:paraId="1B39DD36" w14:textId="77777777" w:rsidR="00886DDF" w:rsidRPr="00430842" w:rsidRDefault="00886DDF" w:rsidP="004D4F2D">
      <w:pPr>
        <w:pStyle w:val="FootnoteText"/>
      </w:pPr>
      <w:r>
        <w:rPr>
          <w:rStyle w:val="FootnoteReference"/>
        </w:rPr>
        <w:footnoteRef/>
      </w:r>
      <w:r>
        <w:t xml:space="preserve"> </w:t>
      </w:r>
      <w:hyperlink r:id="rId1" w:history="1">
        <w:r w:rsidRPr="00430842">
          <w:rPr>
            <w:rStyle w:val="Hyperlink"/>
            <w:rFonts w:ascii="Arial" w:hAnsi="Arial"/>
            <w:sz w:val="18"/>
            <w:szCs w:val="18"/>
            <w:lang w:val="en-GB" w:eastAsia="nl-NL"/>
          </w:rPr>
          <w:t>Guidelines for the ex post evaluation of 2007-2013 RDPs, European Evaluation Network for Rural Development</w:t>
        </w:r>
        <w:r w:rsidRPr="00430842">
          <w:rPr>
            <w:rStyle w:val="Hyperlink"/>
            <w:rFonts w:ascii="Arial" w:hAnsi="Arial"/>
            <w:sz w:val="18"/>
            <w:szCs w:val="18"/>
            <w:lang w:eastAsia="nl-NL"/>
          </w:rPr>
          <w:t>, 2014</w:t>
        </w:r>
      </w:hyperlink>
    </w:p>
  </w:footnote>
  <w:footnote w:id="3">
    <w:p w14:paraId="15E826E7" w14:textId="77777777" w:rsidR="00886DDF" w:rsidRPr="00430842" w:rsidRDefault="00886DDF" w:rsidP="00E8617E">
      <w:pPr>
        <w:pStyle w:val="FootnoteText"/>
      </w:pPr>
      <w:r>
        <w:rPr>
          <w:rStyle w:val="FootnoteReference"/>
        </w:rPr>
        <w:footnoteRef/>
      </w:r>
      <w:r>
        <w:t xml:space="preserve"> </w:t>
      </w:r>
      <w:hyperlink r:id="rId2" w:history="1">
        <w:r w:rsidRPr="00430842">
          <w:rPr>
            <w:rStyle w:val="Hyperlink"/>
            <w:rFonts w:ascii="Arial" w:hAnsi="Arial"/>
            <w:sz w:val="18"/>
            <w:szCs w:val="18"/>
            <w:lang w:val="en-GB" w:eastAsia="nl-NL"/>
          </w:rPr>
          <w:t>Guidelines for the ex post evaluation of 2007-2013 RDPs, European Evaluation Network for Rural Development</w:t>
        </w:r>
        <w:r w:rsidRPr="00430842">
          <w:rPr>
            <w:rStyle w:val="Hyperlink"/>
            <w:rFonts w:ascii="Arial" w:hAnsi="Arial"/>
            <w:sz w:val="18"/>
            <w:szCs w:val="18"/>
            <w:lang w:eastAsia="nl-NL"/>
          </w:rPr>
          <w:t>, 2014</w:t>
        </w:r>
      </w:hyperlink>
    </w:p>
  </w:footnote>
  <w:footnote w:id="4">
    <w:p w14:paraId="06292DEF" w14:textId="33E9E111" w:rsidR="00886DDF" w:rsidRDefault="00886DDF" w:rsidP="00E8617E">
      <w:pPr>
        <w:pStyle w:val="FootnoteText"/>
      </w:pPr>
      <w:r>
        <w:rPr>
          <w:rStyle w:val="FootnoteReference"/>
        </w:rPr>
        <w:footnoteRef/>
      </w:r>
      <w:r>
        <w:t xml:space="preserve"> </w:t>
      </w:r>
      <w:r w:rsidRPr="00DB4CAA">
        <w:rPr>
          <w:rFonts w:ascii="Arial" w:hAnsi="Arial" w:cs="Arial"/>
          <w:sz w:val="18"/>
          <w:szCs w:val="18"/>
        </w:rPr>
        <w:t>Националната дефиниция определя като селски райони общините (Евростат - Местни административни единици (</w:t>
      </w:r>
      <w:r w:rsidRPr="00DB4CAA">
        <w:rPr>
          <w:rFonts w:ascii="Arial" w:hAnsi="Arial" w:cs="Arial"/>
          <w:sz w:val="18"/>
          <w:szCs w:val="18"/>
          <w:lang w:val="en-US"/>
        </w:rPr>
        <w:t>Local</w:t>
      </w:r>
      <w:r w:rsidRPr="0049526E">
        <w:rPr>
          <w:rFonts w:ascii="Arial" w:hAnsi="Arial" w:cs="Arial"/>
          <w:sz w:val="18"/>
          <w:szCs w:val="18"/>
        </w:rPr>
        <w:t xml:space="preserve"> </w:t>
      </w:r>
      <w:r w:rsidRPr="00DB4CAA">
        <w:rPr>
          <w:rFonts w:ascii="Arial" w:hAnsi="Arial" w:cs="Arial"/>
          <w:sz w:val="18"/>
          <w:szCs w:val="18"/>
          <w:lang w:val="en-US"/>
        </w:rPr>
        <w:t>administrative</w:t>
      </w:r>
      <w:r w:rsidRPr="0049526E">
        <w:rPr>
          <w:rFonts w:ascii="Arial" w:hAnsi="Arial" w:cs="Arial"/>
          <w:sz w:val="18"/>
          <w:szCs w:val="18"/>
        </w:rPr>
        <w:t xml:space="preserve"> </w:t>
      </w:r>
      <w:r w:rsidRPr="00DB4CAA">
        <w:rPr>
          <w:rFonts w:ascii="Arial" w:hAnsi="Arial" w:cs="Arial"/>
          <w:sz w:val="18"/>
          <w:szCs w:val="18"/>
          <w:lang w:val="en-US"/>
        </w:rPr>
        <w:t>units</w:t>
      </w:r>
      <w:r w:rsidRPr="00DB4CAA">
        <w:rPr>
          <w:rFonts w:ascii="Arial" w:hAnsi="Arial" w:cs="Arial"/>
          <w:sz w:val="18"/>
          <w:szCs w:val="18"/>
        </w:rPr>
        <w:t xml:space="preserve"> LAU 1), в които няма населено място с население над 30</w:t>
      </w:r>
      <w:r>
        <w:rPr>
          <w:rFonts w:ascii="Arial" w:hAnsi="Arial" w:cs="Arial"/>
          <w:sz w:val="18"/>
          <w:szCs w:val="18"/>
        </w:rPr>
        <w:t> </w:t>
      </w:r>
      <w:r w:rsidRPr="00DB4CAA">
        <w:rPr>
          <w:rFonts w:ascii="Arial" w:hAnsi="Arial" w:cs="Arial"/>
          <w:sz w:val="18"/>
          <w:szCs w:val="18"/>
        </w:rPr>
        <w:t>000 души</w:t>
      </w:r>
      <w:r w:rsidRPr="00B10BBC">
        <w:t>.</w:t>
      </w:r>
    </w:p>
  </w:footnote>
  <w:footnote w:id="5">
    <w:p w14:paraId="74D3DE45" w14:textId="77777777" w:rsidR="00886DDF" w:rsidRPr="00E53FAB" w:rsidRDefault="00886DDF" w:rsidP="00E8617E">
      <w:pPr>
        <w:pStyle w:val="FootnoteText"/>
      </w:pPr>
      <w:r>
        <w:rPr>
          <w:rStyle w:val="FootnoteReference"/>
        </w:rPr>
        <w:footnoteRef/>
      </w:r>
      <w:r>
        <w:t xml:space="preserve"> </w:t>
      </w:r>
      <w:r w:rsidRPr="00E8617E">
        <w:rPr>
          <w:rFonts w:ascii="Arial" w:hAnsi="Arial" w:cs="Arial"/>
          <w:sz w:val="18"/>
          <w:szCs w:val="18"/>
        </w:rPr>
        <w:t>УО е на мнение, че не е необходимо всички служители на дирекцията да имат достъп до системата</w:t>
      </w:r>
    </w:p>
  </w:footnote>
  <w:footnote w:id="6">
    <w:p w14:paraId="7F0302F6" w14:textId="77777777" w:rsidR="00886DDF" w:rsidRPr="006978A9" w:rsidRDefault="00886DDF" w:rsidP="00E8617E">
      <w:pPr>
        <w:pStyle w:val="FootnoteText"/>
        <w:rPr>
          <w:rFonts w:ascii="Arial" w:hAnsi="Arial" w:cs="Arial"/>
          <w:sz w:val="18"/>
          <w:szCs w:val="18"/>
        </w:rPr>
      </w:pPr>
      <w:r>
        <w:rPr>
          <w:rStyle w:val="FootnoteReference"/>
        </w:rPr>
        <w:footnoteRef/>
      </w:r>
      <w:r>
        <w:t xml:space="preserve"> </w:t>
      </w:r>
      <w:r w:rsidRPr="006978A9">
        <w:rPr>
          <w:rFonts w:ascii="Arial" w:eastAsia="Cambria" w:hAnsi="Arial" w:cs="Arial"/>
          <w:color w:val="000000"/>
          <w:sz w:val="18"/>
          <w:szCs w:val="18"/>
        </w:rPr>
        <w:t xml:space="preserve">Ръководство за последваща оценка на програмите за развитие на селските райони (2007-2013 г.) - </w:t>
      </w:r>
      <w:r w:rsidRPr="006978A9">
        <w:rPr>
          <w:rFonts w:ascii="Arial" w:eastAsia="Cambria" w:hAnsi="Arial" w:cs="Arial"/>
          <w:i/>
          <w:color w:val="000000"/>
          <w:sz w:val="18"/>
          <w:szCs w:val="18"/>
        </w:rPr>
        <w:t>Guidelines for the ex post evaluation of 2007-2013 RDPs</w:t>
      </w:r>
      <w:r w:rsidRPr="006978A9">
        <w:rPr>
          <w:rFonts w:ascii="Arial" w:eastAsia="Cambria" w:hAnsi="Arial" w:cs="Arial"/>
          <w:color w:val="000000"/>
          <w:sz w:val="18"/>
          <w:szCs w:val="18"/>
        </w:rPr>
        <w:t xml:space="preserve">, изготвено от  Европейската мрежа за оценка на развитието на селските райони - </w:t>
      </w:r>
      <w:r w:rsidRPr="006978A9">
        <w:rPr>
          <w:rFonts w:ascii="Arial" w:eastAsia="Cambria" w:hAnsi="Arial" w:cs="Arial"/>
          <w:i/>
          <w:color w:val="000000"/>
          <w:sz w:val="18"/>
          <w:szCs w:val="18"/>
        </w:rPr>
        <w:t>European Evaluation Network for Rural Development</w:t>
      </w:r>
    </w:p>
  </w:footnote>
  <w:footnote w:id="7">
    <w:p w14:paraId="319587FC" w14:textId="77777777" w:rsidR="00886DDF" w:rsidRDefault="00886DDF" w:rsidP="00E8617E">
      <w:pPr>
        <w:pStyle w:val="FootnoteText"/>
      </w:pPr>
      <w:r w:rsidRPr="006978A9">
        <w:rPr>
          <w:rStyle w:val="FootnoteReference"/>
          <w:rFonts w:ascii="Arial" w:hAnsi="Arial" w:cs="Arial"/>
          <w:sz w:val="18"/>
          <w:szCs w:val="18"/>
        </w:rPr>
        <w:footnoteRef/>
      </w:r>
      <w:r w:rsidRPr="006978A9">
        <w:rPr>
          <w:rFonts w:ascii="Arial" w:hAnsi="Arial" w:cs="Arial"/>
          <w:sz w:val="18"/>
          <w:szCs w:val="18"/>
        </w:rPr>
        <w:t xml:space="preserve"> Оценката е осъществена в рамките на 1 месец през ноември 2017 г.</w:t>
      </w:r>
      <w:r>
        <w:rPr>
          <w:rFonts w:ascii="Arial" w:hAnsi="Arial" w:cs="Arial"/>
          <w:sz w:val="18"/>
          <w:szCs w:val="18"/>
        </w:rPr>
        <w:t xml:space="preserve"> и след това допълнена в рамките на крайния срок за изпълнение до края на януари 2018 г. </w:t>
      </w:r>
    </w:p>
  </w:footnote>
  <w:footnote w:id="8">
    <w:p w14:paraId="508EA8AF" w14:textId="77777777" w:rsidR="00886DDF" w:rsidRDefault="00886DDF" w:rsidP="00E8617E">
      <w:pPr>
        <w:pStyle w:val="FootnoteText"/>
      </w:pPr>
      <w:r>
        <w:rPr>
          <w:rStyle w:val="FootnoteReference"/>
        </w:rPr>
        <w:footnoteRef/>
      </w:r>
      <w:r>
        <w:t xml:space="preserve"> </w:t>
      </w:r>
      <w:r w:rsidRPr="004413FF">
        <w:rPr>
          <w:rFonts w:ascii="Arial" w:hAnsi="Arial" w:cs="Arial"/>
          <w:sz w:val="18"/>
          <w:szCs w:val="18"/>
        </w:rPr>
        <w:t>Регламент (ЕО) № 1698/2005;</w:t>
      </w:r>
      <w:r w:rsidRPr="004413FF">
        <w:rPr>
          <w:rFonts w:ascii="Arial" w:eastAsia="Cambria" w:hAnsi="Arial" w:cs="Arial"/>
          <w:color w:val="000000"/>
          <w:sz w:val="18"/>
          <w:szCs w:val="18"/>
        </w:rPr>
        <w:t xml:space="preserve"> Регламент (ЕО) № 1974/2006</w:t>
      </w:r>
    </w:p>
  </w:footnote>
  <w:footnote w:id="9">
    <w:p w14:paraId="0BEA2F1F" w14:textId="77777777" w:rsidR="00886DDF" w:rsidRDefault="00886DDF" w:rsidP="00E8617E">
      <w:pPr>
        <w:pStyle w:val="FootnoteText"/>
      </w:pPr>
      <w:r>
        <w:rPr>
          <w:rStyle w:val="FootnoteReference"/>
        </w:rPr>
        <w:footnoteRef/>
      </w:r>
      <w:r>
        <w:t xml:space="preserve"> </w:t>
      </w:r>
      <w:r w:rsidRPr="00301FE3">
        <w:rPr>
          <w:rFonts w:ascii="Arial" w:hAnsi="Arial" w:cs="Arial"/>
          <w:sz w:val="18"/>
          <w:szCs w:val="18"/>
        </w:rPr>
        <w:t>Изработването на годишните доклади е възлагано на външни изпълнители</w:t>
      </w:r>
    </w:p>
  </w:footnote>
  <w:footnote w:id="10">
    <w:p w14:paraId="321E812B" w14:textId="77777777" w:rsidR="00886DDF" w:rsidRDefault="00886DDF" w:rsidP="00E8617E">
      <w:pPr>
        <w:pStyle w:val="FootnoteText"/>
      </w:pPr>
      <w:r>
        <w:rPr>
          <w:rStyle w:val="FootnoteReference"/>
        </w:rPr>
        <w:footnoteRef/>
      </w:r>
      <w:r>
        <w:t xml:space="preserve"> </w:t>
      </w:r>
      <w:r w:rsidRPr="00AB2B2B">
        <w:rPr>
          <w:rFonts w:ascii="Arial" w:hAnsi="Arial" w:cs="Arial"/>
          <w:sz w:val="18"/>
          <w:szCs w:val="18"/>
        </w:rPr>
        <w:t>Договор за уреждане на правата и задълженията във връзка с прилагане на ПРСР 2007-2013, 14.04.2008 г.</w:t>
      </w:r>
    </w:p>
  </w:footnote>
  <w:footnote w:id="11">
    <w:p w14:paraId="574E1E58" w14:textId="77777777" w:rsidR="00886DDF" w:rsidRDefault="00886DDF" w:rsidP="00E8617E">
      <w:pPr>
        <w:pStyle w:val="FootnoteText"/>
      </w:pPr>
      <w:r>
        <w:rPr>
          <w:rStyle w:val="FootnoteReference"/>
        </w:rPr>
        <w:footnoteRef/>
      </w:r>
      <w:r>
        <w:t xml:space="preserve"> </w:t>
      </w:r>
      <w:r w:rsidRPr="006D5BAE">
        <w:rPr>
          <w:rFonts w:ascii="Arial" w:hAnsi="Arial" w:cs="Arial"/>
          <w:sz w:val="18"/>
          <w:szCs w:val="18"/>
        </w:rPr>
        <w:t>Електронен бюлетин на НСМ 1/2013</w:t>
      </w:r>
    </w:p>
  </w:footnote>
  <w:footnote w:id="12">
    <w:p w14:paraId="6AEEF9FF" w14:textId="77777777" w:rsidR="00886DDF" w:rsidRDefault="00886DDF" w:rsidP="00E8617E">
      <w:pPr>
        <w:pStyle w:val="FootnoteText"/>
      </w:pPr>
      <w:r>
        <w:rPr>
          <w:rStyle w:val="FootnoteReference"/>
        </w:rPr>
        <w:footnoteRef/>
      </w:r>
      <w:r>
        <w:t xml:space="preserve"> </w:t>
      </w:r>
      <w:r w:rsidRPr="00C47868">
        <w:rPr>
          <w:rFonts w:ascii="Arial" w:hAnsi="Arial" w:cs="Arial"/>
          <w:sz w:val="18"/>
          <w:szCs w:val="18"/>
        </w:rPr>
        <w:t>ПРСР 2014-2020</w:t>
      </w:r>
      <w:r>
        <w:t xml:space="preserve"> </w:t>
      </w:r>
    </w:p>
  </w:footnote>
  <w:footnote w:id="13">
    <w:p w14:paraId="6CF99848" w14:textId="77777777" w:rsidR="00886DDF" w:rsidRPr="00C05094" w:rsidRDefault="00886DDF" w:rsidP="00E8617E">
      <w:pPr>
        <w:pStyle w:val="FootnoteText"/>
        <w:rPr>
          <w:rFonts w:ascii="Arial" w:hAnsi="Arial" w:cs="Arial"/>
          <w:sz w:val="18"/>
          <w:szCs w:val="18"/>
        </w:rPr>
      </w:pPr>
      <w:r>
        <w:rPr>
          <w:rStyle w:val="FootnoteReference"/>
        </w:rPr>
        <w:footnoteRef/>
      </w:r>
      <w:r>
        <w:t xml:space="preserve"> </w:t>
      </w:r>
      <w:hyperlink r:id="rId3" w:history="1">
        <w:r w:rsidRPr="00C05094">
          <w:rPr>
            <w:rStyle w:val="Hyperlink"/>
            <w:rFonts w:ascii="Arial" w:hAnsi="Arial" w:cs="Arial"/>
            <w:sz w:val="18"/>
            <w:szCs w:val="18"/>
          </w:rPr>
          <w:t>https://www.eufunds.bg/archive/documents/1259310779.pdf</w:t>
        </w:r>
      </w:hyperlink>
      <w:r w:rsidRPr="00C05094">
        <w:rPr>
          <w:rFonts w:ascii="Arial" w:hAnsi="Arial" w:cs="Arial"/>
          <w:sz w:val="18"/>
          <w:szCs w:val="18"/>
        </w:rPr>
        <w:t xml:space="preserve"> </w:t>
      </w:r>
    </w:p>
  </w:footnote>
  <w:footnote w:id="14">
    <w:p w14:paraId="3E53EAAF" w14:textId="77777777" w:rsidR="00886DDF" w:rsidRPr="00C05094" w:rsidRDefault="00886DDF" w:rsidP="00E8617E">
      <w:pPr>
        <w:pStyle w:val="FootnoteText"/>
        <w:rPr>
          <w:rFonts w:ascii="Arial" w:hAnsi="Arial" w:cs="Arial"/>
          <w:sz w:val="18"/>
          <w:szCs w:val="18"/>
        </w:rPr>
      </w:pPr>
      <w:r w:rsidRPr="00C05094">
        <w:rPr>
          <w:rStyle w:val="FootnoteReference"/>
          <w:rFonts w:ascii="Arial" w:hAnsi="Arial" w:cs="Arial"/>
          <w:sz w:val="18"/>
          <w:szCs w:val="18"/>
        </w:rPr>
        <w:footnoteRef/>
      </w:r>
      <w:r w:rsidRPr="00C05094">
        <w:rPr>
          <w:rFonts w:ascii="Arial" w:hAnsi="Arial" w:cs="Arial"/>
          <w:sz w:val="18"/>
          <w:szCs w:val="18"/>
        </w:rPr>
        <w:t xml:space="preserve"> </w:t>
      </w:r>
      <w:hyperlink r:id="rId4" w:history="1">
        <w:r w:rsidRPr="00C05094">
          <w:rPr>
            <w:rStyle w:val="Hyperlink"/>
            <w:rFonts w:ascii="Arial" w:hAnsi="Arial" w:cs="Arial"/>
            <w:sz w:val="18"/>
            <w:szCs w:val="18"/>
          </w:rPr>
          <w:t>http://ec.europa.eu/regional_policy/sources/docoffic/2007/osc/l_29120061021en00110032.pdf</w:t>
        </w:r>
      </w:hyperlink>
      <w:r w:rsidRPr="00C05094">
        <w:rPr>
          <w:rFonts w:ascii="Arial" w:hAnsi="Arial" w:cs="Arial"/>
          <w:sz w:val="18"/>
          <w:szCs w:val="18"/>
        </w:rPr>
        <w:t xml:space="preserve"> </w:t>
      </w:r>
    </w:p>
  </w:footnote>
  <w:footnote w:id="15">
    <w:p w14:paraId="345EFE09" w14:textId="77777777" w:rsidR="00886DDF" w:rsidRDefault="00886DDF" w:rsidP="00E8617E">
      <w:pPr>
        <w:pStyle w:val="FootnoteText"/>
      </w:pPr>
      <w:r w:rsidRPr="00C05094">
        <w:rPr>
          <w:rStyle w:val="FootnoteReference"/>
          <w:rFonts w:ascii="Arial" w:hAnsi="Arial" w:cs="Arial"/>
          <w:sz w:val="18"/>
          <w:szCs w:val="18"/>
        </w:rPr>
        <w:footnoteRef/>
      </w:r>
      <w:r w:rsidRPr="00C05094">
        <w:rPr>
          <w:rFonts w:ascii="Arial" w:hAnsi="Arial" w:cs="Arial"/>
          <w:sz w:val="18"/>
          <w:szCs w:val="18"/>
        </w:rPr>
        <w:t xml:space="preserve"> Регламент </w:t>
      </w:r>
      <w:r w:rsidRPr="00C05094">
        <w:rPr>
          <w:rFonts w:ascii="Arial" w:hAnsi="Arial" w:cs="Arial"/>
          <w:sz w:val="18"/>
          <w:szCs w:val="18"/>
          <w:lang w:val="nl-NL"/>
        </w:rPr>
        <w:t>на Съвета от 20 септември 2005 г. относно подпомагане на развитието на селските райони от Европейския земеделски фонд за разв</w:t>
      </w:r>
      <w:r>
        <w:rPr>
          <w:rFonts w:ascii="Arial" w:hAnsi="Arial" w:cs="Arial"/>
          <w:sz w:val="18"/>
          <w:szCs w:val="18"/>
          <w:lang w:val="nl-NL"/>
        </w:rPr>
        <w:t>итие на селските райони</w:t>
      </w:r>
    </w:p>
  </w:footnote>
  <w:footnote w:id="16">
    <w:p w14:paraId="3B447D88" w14:textId="77777777" w:rsidR="00886DDF" w:rsidRDefault="00886DDF" w:rsidP="00E8617E">
      <w:pPr>
        <w:pStyle w:val="FootnoteText"/>
      </w:pPr>
      <w:r>
        <w:rPr>
          <w:rStyle w:val="FootnoteReference"/>
        </w:rPr>
        <w:footnoteRef/>
      </w:r>
      <w:r>
        <w:t xml:space="preserve"> </w:t>
      </w:r>
      <w:r w:rsidRPr="00146052">
        <w:rPr>
          <w:rFonts w:ascii="Arial" w:hAnsi="Arial" w:cs="Arial"/>
          <w:sz w:val="18"/>
          <w:szCs w:val="18"/>
        </w:rPr>
        <w:t xml:space="preserve">Общо </w:t>
      </w:r>
      <w:r w:rsidRPr="00150136">
        <w:rPr>
          <w:rFonts w:ascii="Arial" w:hAnsi="Arial" w:cs="Arial"/>
          <w:sz w:val="18"/>
          <w:szCs w:val="18"/>
        </w:rPr>
        <w:t>16 предложени</w:t>
      </w:r>
      <w:r>
        <w:rPr>
          <w:rFonts w:ascii="Arial" w:hAnsi="Arial" w:cs="Arial"/>
          <w:sz w:val="18"/>
          <w:szCs w:val="18"/>
        </w:rPr>
        <w:t>я за промени в програмата,</w:t>
      </w:r>
      <w:r w:rsidRPr="00150136">
        <w:rPr>
          <w:rFonts w:ascii="Arial" w:hAnsi="Arial" w:cs="Arial"/>
          <w:sz w:val="18"/>
          <w:szCs w:val="18"/>
        </w:rPr>
        <w:t xml:space="preserve"> едно от които отхвърлено от ЕК.</w:t>
      </w:r>
    </w:p>
  </w:footnote>
  <w:footnote w:id="17">
    <w:p w14:paraId="4D909137" w14:textId="77777777" w:rsidR="00886DDF" w:rsidRDefault="00886DDF" w:rsidP="00E8617E">
      <w:pPr>
        <w:pStyle w:val="FootnoteText"/>
      </w:pPr>
      <w:r>
        <w:rPr>
          <w:rStyle w:val="FootnoteReference"/>
        </w:rPr>
        <w:footnoteRef/>
      </w:r>
      <w:r>
        <w:t xml:space="preserve"> Към 2005 година</w:t>
      </w:r>
    </w:p>
  </w:footnote>
  <w:footnote w:id="18">
    <w:p w14:paraId="3E1FB768" w14:textId="77777777" w:rsidR="00886DDF" w:rsidRPr="00E81313" w:rsidRDefault="00886DDF" w:rsidP="00E8617E">
      <w:pPr>
        <w:pStyle w:val="FootnoteText"/>
        <w:jc w:val="both"/>
        <w:rPr>
          <w:rFonts w:ascii="Arial" w:hAnsi="Arial" w:cs="Arial"/>
          <w:sz w:val="18"/>
        </w:rPr>
      </w:pPr>
      <w:r>
        <w:rPr>
          <w:rStyle w:val="FootnoteReference"/>
        </w:rPr>
        <w:footnoteRef/>
      </w:r>
      <w:r>
        <w:t xml:space="preserve"> </w:t>
      </w:r>
      <w:r>
        <w:rPr>
          <w:rFonts w:ascii="Arial" w:hAnsi="Arial" w:cs="Arial"/>
          <w:sz w:val="18"/>
        </w:rPr>
        <w:t>Ч</w:t>
      </w:r>
      <w:r w:rsidRPr="00E81313">
        <w:rPr>
          <w:rFonts w:ascii="Arial" w:hAnsi="Arial" w:cs="Arial"/>
          <w:sz w:val="18"/>
        </w:rPr>
        <w:t xml:space="preserve">лен 29 (1) от Регламент (ЕО) </w:t>
      </w:r>
      <w:r>
        <w:rPr>
          <w:rFonts w:ascii="Arial" w:hAnsi="Arial" w:cs="Arial"/>
          <w:sz w:val="18"/>
        </w:rPr>
        <w:t xml:space="preserve">№ </w:t>
      </w:r>
      <w:r w:rsidRPr="00E81313">
        <w:rPr>
          <w:rFonts w:ascii="Arial" w:hAnsi="Arial" w:cs="Arial"/>
          <w:sz w:val="18"/>
        </w:rPr>
        <w:t>1290/2005 на Съвета</w:t>
      </w:r>
      <w:r>
        <w:rPr>
          <w:rFonts w:ascii="Arial" w:hAnsi="Arial" w:cs="Arial"/>
          <w:sz w:val="18"/>
        </w:rPr>
        <w:t xml:space="preserve"> </w:t>
      </w:r>
      <w:r w:rsidRPr="00E81313">
        <w:rPr>
          <w:rFonts w:ascii="Arial" w:hAnsi="Arial" w:cs="Arial"/>
          <w:sz w:val="18"/>
        </w:rPr>
        <w:t>предвижда Комисията автоматично да отмени всяка част от бюджетния ангажимент, която не е била използвана за целите на предварително финансиране или за междинни плащания, или за която не била представена декларация за разходи във връзка с разходите, направени най-късно до 31 декември на втората година след поемането на бюджетния ангажимент</w:t>
      </w:r>
    </w:p>
  </w:footnote>
  <w:footnote w:id="19">
    <w:p w14:paraId="61CBF51C" w14:textId="4F9C1B43" w:rsidR="00886DDF" w:rsidRPr="00A04E61" w:rsidRDefault="00886DDF" w:rsidP="00E8617E">
      <w:pPr>
        <w:pStyle w:val="FootnoteText"/>
        <w:rPr>
          <w:rFonts w:ascii="Arial" w:hAnsi="Arial" w:cs="Arial"/>
          <w:sz w:val="18"/>
          <w:szCs w:val="18"/>
        </w:rPr>
      </w:pPr>
      <w:r w:rsidRPr="00A04E61">
        <w:rPr>
          <w:rStyle w:val="FootnoteReference"/>
          <w:rFonts w:ascii="Arial" w:hAnsi="Arial" w:cs="Arial"/>
          <w:sz w:val="18"/>
          <w:szCs w:val="18"/>
        </w:rPr>
        <w:footnoteRef/>
      </w:r>
      <w:r w:rsidRPr="00A04E61">
        <w:rPr>
          <w:rFonts w:ascii="Arial" w:hAnsi="Arial" w:cs="Arial"/>
          <w:sz w:val="18"/>
          <w:szCs w:val="18"/>
        </w:rPr>
        <w:t xml:space="preserve"> Одобрено на 16 дек</w:t>
      </w:r>
      <w:r>
        <w:rPr>
          <w:rFonts w:ascii="Arial" w:hAnsi="Arial" w:cs="Arial"/>
          <w:sz w:val="18"/>
          <w:szCs w:val="18"/>
        </w:rPr>
        <w:t>ември</w:t>
      </w:r>
      <w:r w:rsidRPr="00A04E61">
        <w:rPr>
          <w:rFonts w:ascii="Arial" w:hAnsi="Arial" w:cs="Arial"/>
          <w:sz w:val="18"/>
          <w:szCs w:val="18"/>
        </w:rPr>
        <w:t xml:space="preserve"> 2015 г.</w:t>
      </w:r>
    </w:p>
  </w:footnote>
  <w:footnote w:id="20">
    <w:p w14:paraId="68871553" w14:textId="77777777" w:rsidR="00886DDF" w:rsidRPr="007A177C" w:rsidRDefault="00886DDF" w:rsidP="00E8617E">
      <w:pPr>
        <w:pStyle w:val="FootnoteText"/>
      </w:pPr>
      <w:r w:rsidRPr="00A04E61">
        <w:rPr>
          <w:rStyle w:val="FootnoteReference"/>
          <w:rFonts w:ascii="Arial" w:hAnsi="Arial" w:cs="Arial"/>
          <w:sz w:val="18"/>
          <w:szCs w:val="18"/>
        </w:rPr>
        <w:footnoteRef/>
      </w:r>
      <w:r w:rsidRPr="00A04E61">
        <w:rPr>
          <w:rFonts w:ascii="Arial" w:hAnsi="Arial" w:cs="Arial"/>
          <w:sz w:val="18"/>
          <w:szCs w:val="18"/>
        </w:rPr>
        <w:t xml:space="preserve"> Към първоначалния бюджет са включени и средствата по ЕПИВ (трето изменение на програмата</w:t>
      </w:r>
      <w:r>
        <w:rPr>
          <w:rFonts w:ascii="Arial" w:hAnsi="Arial" w:cs="Arial"/>
          <w:sz w:val="18"/>
          <w:szCs w:val="18"/>
        </w:rPr>
        <w:t>)</w:t>
      </w:r>
    </w:p>
  </w:footnote>
  <w:footnote w:id="21">
    <w:p w14:paraId="214A0F69" w14:textId="77777777" w:rsidR="00886DDF" w:rsidRPr="00A12059" w:rsidRDefault="00886DDF" w:rsidP="00E8617E">
      <w:pPr>
        <w:pStyle w:val="FootnoteText"/>
        <w:rPr>
          <w:rFonts w:ascii="Arial" w:hAnsi="Arial" w:cs="Arial"/>
          <w:sz w:val="18"/>
        </w:rPr>
      </w:pPr>
      <w:r w:rsidRPr="00A12059">
        <w:rPr>
          <w:rStyle w:val="FootnoteReference"/>
          <w:rFonts w:ascii="Arial" w:hAnsi="Arial" w:cs="Arial"/>
          <w:sz w:val="18"/>
        </w:rPr>
        <w:footnoteRef/>
      </w:r>
      <w:r w:rsidRPr="00A12059">
        <w:rPr>
          <w:rFonts w:ascii="Arial" w:hAnsi="Arial" w:cs="Arial"/>
          <w:sz w:val="18"/>
        </w:rPr>
        <w:t xml:space="preserve"> Към първоначалния бюджет на програмата са включени и средствата по ЕПИВ</w:t>
      </w:r>
    </w:p>
  </w:footnote>
  <w:footnote w:id="22">
    <w:p w14:paraId="313DE518" w14:textId="77777777" w:rsidR="00886DDF" w:rsidRPr="00A12059" w:rsidRDefault="00886DDF" w:rsidP="00E8617E">
      <w:pPr>
        <w:pStyle w:val="FootnoteText"/>
        <w:rPr>
          <w:rFonts w:ascii="Arial" w:hAnsi="Arial" w:cs="Arial"/>
          <w:sz w:val="18"/>
        </w:rPr>
      </w:pPr>
      <w:r w:rsidRPr="00A12059">
        <w:rPr>
          <w:rStyle w:val="FootnoteReference"/>
          <w:rFonts w:ascii="Arial" w:hAnsi="Arial" w:cs="Arial"/>
          <w:sz w:val="18"/>
        </w:rPr>
        <w:footnoteRef/>
      </w:r>
      <w:r w:rsidRPr="00A12059">
        <w:rPr>
          <w:rFonts w:ascii="Arial" w:hAnsi="Arial" w:cs="Arial"/>
          <w:sz w:val="18"/>
        </w:rPr>
        <w:t xml:space="preserve"> Към първоначалния бюджет на програмата са включени и средствата по ЕПИВ</w:t>
      </w:r>
    </w:p>
  </w:footnote>
  <w:footnote w:id="23">
    <w:p w14:paraId="2E8A9B2B" w14:textId="77777777" w:rsidR="00886DDF" w:rsidRDefault="00886DDF" w:rsidP="00E8617E">
      <w:pPr>
        <w:pStyle w:val="FootnoteText"/>
      </w:pPr>
      <w:r>
        <w:rPr>
          <w:rStyle w:val="FootnoteReference"/>
        </w:rPr>
        <w:footnoteRef/>
      </w:r>
      <w:r>
        <w:t xml:space="preserve"> </w:t>
      </w:r>
      <w:r>
        <w:rPr>
          <w:rFonts w:ascii="Arial" w:hAnsi="Arial" w:cs="Arial"/>
          <w:sz w:val="18"/>
          <w:szCs w:val="18"/>
        </w:rPr>
        <w:t>Съгласно Г</w:t>
      </w:r>
      <w:r w:rsidRPr="00E0481D">
        <w:rPr>
          <w:rFonts w:ascii="Arial" w:hAnsi="Arial" w:cs="Arial"/>
          <w:sz w:val="18"/>
          <w:szCs w:val="18"/>
        </w:rPr>
        <w:t>одишните доклади  за състоянието и развитието  на земеделието използваната земеделска площ варира от 5 087 948 ha през 2011 г. до 5 011 494 ha през 2015 г.</w:t>
      </w:r>
    </w:p>
  </w:footnote>
  <w:footnote w:id="24">
    <w:p w14:paraId="166F851C" w14:textId="77777777" w:rsidR="00886DDF" w:rsidRDefault="00886DDF" w:rsidP="00E8617E">
      <w:pPr>
        <w:pStyle w:val="FootnoteText"/>
      </w:pPr>
      <w:r>
        <w:rPr>
          <w:rStyle w:val="FootnoteReference"/>
        </w:rPr>
        <w:footnoteRef/>
      </w:r>
      <w:r>
        <w:t xml:space="preserve"> </w:t>
      </w:r>
      <w:r w:rsidRPr="00E0481D">
        <w:rPr>
          <w:rFonts w:ascii="Arial" w:hAnsi="Arial" w:cs="Arial"/>
          <w:sz w:val="18"/>
          <w:szCs w:val="18"/>
        </w:rPr>
        <w:t>Съгласно данни от Националния доклад за състоянието и опазването на околната среда в Р. България 2105 г, (ИАОС) относно Индекс за състоянието на популациите на птиците, обитаващи земеделски земи</w:t>
      </w:r>
    </w:p>
  </w:footnote>
  <w:footnote w:id="25">
    <w:p w14:paraId="4F523765" w14:textId="77777777" w:rsidR="00886DDF" w:rsidRDefault="00886DDF" w:rsidP="00E8617E">
      <w:pPr>
        <w:pStyle w:val="FootnoteText"/>
      </w:pPr>
      <w:r>
        <w:rPr>
          <w:rStyle w:val="FootnoteReference"/>
        </w:rPr>
        <w:footnoteRef/>
      </w:r>
      <w:r>
        <w:t xml:space="preserve"> </w:t>
      </w:r>
      <w:r w:rsidRPr="001002A3">
        <w:rPr>
          <w:rFonts w:ascii="Arial" w:hAnsi="Arial" w:cs="Arial"/>
          <w:sz w:val="18"/>
          <w:szCs w:val="18"/>
        </w:rPr>
        <w:t>Секторите на ХВП в България са с четири (храни и напитки) до шест пъти (тютюни) с по-ниска производителност от средната за ЕС.</w:t>
      </w:r>
    </w:p>
  </w:footnote>
  <w:footnote w:id="26">
    <w:p w14:paraId="20240EAF" w14:textId="77777777" w:rsidR="00886DDF" w:rsidRDefault="00886DDF" w:rsidP="00E8617E">
      <w:pPr>
        <w:pStyle w:val="FootnoteText"/>
      </w:pPr>
      <w:r>
        <w:rPr>
          <w:rStyle w:val="FootnoteReference"/>
        </w:rPr>
        <w:footnoteRef/>
      </w:r>
      <w:r>
        <w:t xml:space="preserve"> </w:t>
      </w:r>
      <w:r w:rsidRPr="00F3142F">
        <w:rPr>
          <w:rFonts w:ascii="Arial" w:hAnsi="Arial" w:cs="Arial"/>
          <w:sz w:val="20"/>
          <w:szCs w:val="20"/>
        </w:rPr>
        <w:t>Съгласно данни в Годишния доклад за изпълнение на програмата за 2015 г.</w:t>
      </w:r>
    </w:p>
  </w:footnote>
  <w:footnote w:id="27">
    <w:p w14:paraId="2254261E" w14:textId="77777777" w:rsidR="00886DDF" w:rsidRDefault="00886DDF" w:rsidP="00E8617E">
      <w:pPr>
        <w:pStyle w:val="FootnoteText"/>
      </w:pPr>
      <w:r>
        <w:rPr>
          <w:rStyle w:val="FootnoteReference"/>
        </w:rPr>
        <w:footnoteRef/>
      </w:r>
      <w:r>
        <w:t xml:space="preserve"> </w:t>
      </w:r>
      <w:r w:rsidRPr="00D67B86">
        <w:rPr>
          <w:rFonts w:ascii="Arial" w:hAnsi="Arial" w:cs="Arial"/>
          <w:sz w:val="18"/>
          <w:szCs w:val="18"/>
        </w:rPr>
        <w:t>Годишен доклад за изпълнението на ПРСР 2007-2013 г. за 2015г.</w:t>
      </w:r>
    </w:p>
  </w:footnote>
  <w:footnote w:id="28">
    <w:p w14:paraId="11471EE0" w14:textId="77777777" w:rsidR="00886DDF" w:rsidRDefault="00886DDF" w:rsidP="00E8617E">
      <w:pPr>
        <w:spacing w:after="0"/>
        <w:jc w:val="both"/>
      </w:pPr>
      <w:r>
        <w:rPr>
          <w:rStyle w:val="FootnoteReference"/>
        </w:rPr>
        <w:footnoteRef/>
      </w:r>
      <w:r>
        <w:t xml:space="preserve"> </w:t>
      </w:r>
      <w:r w:rsidRPr="001B274E">
        <w:rPr>
          <w:rFonts w:ascii="Arial" w:hAnsi="Arial" w:cs="Arial"/>
          <w:sz w:val="18"/>
          <w:szCs w:val="18"/>
        </w:rPr>
        <w:t>За всяка от мерките от ос 3 (Член 52(a) на 1698/2005), включени в ПРСР</w:t>
      </w:r>
    </w:p>
  </w:footnote>
  <w:footnote w:id="29">
    <w:p w14:paraId="70781FE9" w14:textId="77777777" w:rsidR="00886DDF" w:rsidRDefault="00886DDF" w:rsidP="00E8617E">
      <w:pPr>
        <w:pStyle w:val="FootnoteText"/>
      </w:pPr>
      <w:r>
        <w:rPr>
          <w:rStyle w:val="FootnoteReference"/>
        </w:rPr>
        <w:footnoteRef/>
      </w:r>
      <w:r>
        <w:t xml:space="preserve"> </w:t>
      </w:r>
      <w:r w:rsidRPr="00F72F6A">
        <w:rPr>
          <w:rFonts w:ascii="Arial" w:hAnsi="Arial"/>
          <w:sz w:val="18"/>
          <w:szCs w:val="18"/>
          <w:lang w:eastAsia="nl-NL"/>
        </w:rPr>
        <w:t>Основни изводи от прилагането на програма за развитие на селските райони за периода 2007-2013 г.</w:t>
      </w:r>
    </w:p>
  </w:footnote>
  <w:footnote w:id="30">
    <w:p w14:paraId="4B6D11C0" w14:textId="77777777" w:rsidR="00886DDF" w:rsidRDefault="00886DDF" w:rsidP="00E8617E">
      <w:pPr>
        <w:pStyle w:val="FootnoteText"/>
      </w:pPr>
      <w:r>
        <w:rPr>
          <w:rStyle w:val="FootnoteReference"/>
        </w:rPr>
        <w:footnoteRef/>
      </w:r>
      <w:r>
        <w:t xml:space="preserve"> </w:t>
      </w:r>
      <w:r w:rsidRPr="00352E27">
        <w:rPr>
          <w:rFonts w:ascii="Arial" w:hAnsi="Arial" w:cs="Arial"/>
          <w:sz w:val="18"/>
          <w:szCs w:val="18"/>
        </w:rPr>
        <w:t>Влияние на общата селскостопанска политика на ЕС върху българското земеделие</w:t>
      </w:r>
    </w:p>
  </w:footnote>
  <w:footnote w:id="31">
    <w:p w14:paraId="324EC001" w14:textId="77777777" w:rsidR="00886DDF" w:rsidRDefault="00886DDF" w:rsidP="00E8617E">
      <w:pPr>
        <w:pStyle w:val="FootnoteText"/>
      </w:pPr>
      <w:r>
        <w:rPr>
          <w:rStyle w:val="FootnoteReference"/>
        </w:rPr>
        <w:footnoteRef/>
      </w:r>
      <w:r>
        <w:t xml:space="preserve"> </w:t>
      </w:r>
      <w:r w:rsidRPr="001B274E">
        <w:rPr>
          <w:rFonts w:ascii="Arial" w:hAnsi="Arial" w:cs="Arial"/>
          <w:sz w:val="18"/>
          <w:szCs w:val="18"/>
        </w:rPr>
        <w:t>За всяка от мерките от ос 3 (Член 52(a) на 1698/2005), включени в ПРСР</w:t>
      </w:r>
    </w:p>
  </w:footnote>
  <w:footnote w:id="32">
    <w:p w14:paraId="1228A442" w14:textId="77777777" w:rsidR="00886DDF" w:rsidRPr="00577EE8" w:rsidRDefault="00886DDF" w:rsidP="00E8617E">
      <w:pPr>
        <w:pStyle w:val="FootnoteText"/>
        <w:rPr>
          <w:rFonts w:ascii="Arial" w:hAnsi="Arial" w:cs="Arial"/>
          <w:sz w:val="18"/>
          <w:szCs w:val="18"/>
        </w:rPr>
      </w:pPr>
      <w:r w:rsidRPr="00577EE8">
        <w:rPr>
          <w:rStyle w:val="FootnoteReference"/>
          <w:rFonts w:ascii="Arial" w:hAnsi="Arial" w:cs="Arial"/>
          <w:sz w:val="18"/>
          <w:szCs w:val="18"/>
        </w:rPr>
        <w:footnoteRef/>
      </w:r>
      <w:r w:rsidRPr="00577EE8">
        <w:rPr>
          <w:rFonts w:ascii="Arial" w:hAnsi="Arial" w:cs="Arial"/>
          <w:sz w:val="18"/>
          <w:szCs w:val="18"/>
        </w:rPr>
        <w:t xml:space="preserve"> „Влияние на общата селскостопанска политика на ЕС върху българското земеделие“, МЗХГ</w:t>
      </w:r>
    </w:p>
  </w:footnote>
  <w:footnote w:id="33">
    <w:p w14:paraId="3C322CCD" w14:textId="77777777" w:rsidR="00886DDF" w:rsidRDefault="00886DDF" w:rsidP="00E8617E">
      <w:pPr>
        <w:pStyle w:val="FootnoteText"/>
      </w:pPr>
      <w:r>
        <w:rPr>
          <w:rStyle w:val="FootnoteReference"/>
        </w:rPr>
        <w:footnoteRef/>
      </w:r>
      <w:r>
        <w:t xml:space="preserve"> </w:t>
      </w:r>
      <w:r w:rsidRPr="00A523D5">
        <w:rPr>
          <w:rFonts w:ascii="Arial" w:hAnsi="Arial" w:cs="Arial"/>
          <w:sz w:val="18"/>
          <w:szCs w:val="18"/>
        </w:rPr>
        <w:t>За всяка от мерките от ос</w:t>
      </w:r>
      <w:r w:rsidRPr="003A0F89">
        <w:rPr>
          <w:rFonts w:ascii="Arial" w:hAnsi="Arial" w:cs="Arial"/>
          <w:sz w:val="18"/>
          <w:szCs w:val="18"/>
        </w:rPr>
        <w:t xml:space="preserve"> </w:t>
      </w:r>
      <w:r w:rsidRPr="00A523D5">
        <w:rPr>
          <w:rFonts w:ascii="Arial" w:hAnsi="Arial" w:cs="Arial"/>
          <w:sz w:val="18"/>
          <w:szCs w:val="18"/>
        </w:rPr>
        <w:t xml:space="preserve">3 </w:t>
      </w:r>
      <w:r w:rsidRPr="003A0F89">
        <w:rPr>
          <w:rFonts w:ascii="Arial" w:hAnsi="Arial" w:cs="Arial"/>
          <w:sz w:val="18"/>
          <w:szCs w:val="18"/>
        </w:rPr>
        <w:t>(</w:t>
      </w:r>
      <w:r w:rsidRPr="00A523D5">
        <w:rPr>
          <w:rFonts w:ascii="Arial" w:hAnsi="Arial" w:cs="Arial"/>
          <w:sz w:val="18"/>
          <w:szCs w:val="18"/>
        </w:rPr>
        <w:t>Член</w:t>
      </w:r>
      <w:r w:rsidRPr="003A0F89">
        <w:rPr>
          <w:rFonts w:ascii="Arial" w:hAnsi="Arial" w:cs="Arial"/>
          <w:sz w:val="18"/>
          <w:szCs w:val="18"/>
        </w:rPr>
        <w:t xml:space="preserve"> 52(</w:t>
      </w:r>
      <w:r w:rsidRPr="00A523D5">
        <w:rPr>
          <w:rFonts w:ascii="Arial" w:hAnsi="Arial" w:cs="Arial"/>
          <w:sz w:val="18"/>
          <w:szCs w:val="18"/>
        </w:rPr>
        <w:t>б</w:t>
      </w:r>
      <w:r w:rsidRPr="003A0F89">
        <w:rPr>
          <w:rFonts w:ascii="Arial" w:hAnsi="Arial" w:cs="Arial"/>
          <w:sz w:val="18"/>
          <w:szCs w:val="18"/>
        </w:rPr>
        <w:t xml:space="preserve">) </w:t>
      </w:r>
      <w:r w:rsidRPr="00A523D5">
        <w:rPr>
          <w:rFonts w:ascii="Arial" w:hAnsi="Arial" w:cs="Arial"/>
          <w:sz w:val="18"/>
          <w:szCs w:val="18"/>
        </w:rPr>
        <w:t>от</w:t>
      </w:r>
      <w:r w:rsidRPr="003A0F89">
        <w:rPr>
          <w:rFonts w:ascii="Arial" w:hAnsi="Arial" w:cs="Arial"/>
          <w:sz w:val="18"/>
          <w:szCs w:val="18"/>
        </w:rPr>
        <w:t xml:space="preserve"> 1698/2005)</w:t>
      </w:r>
      <w:r w:rsidRPr="00A523D5">
        <w:rPr>
          <w:rFonts w:ascii="Arial" w:hAnsi="Arial" w:cs="Arial"/>
          <w:sz w:val="18"/>
          <w:szCs w:val="18"/>
        </w:rPr>
        <w:t>, включени в ПРСР</w:t>
      </w:r>
    </w:p>
  </w:footnote>
  <w:footnote w:id="34">
    <w:p w14:paraId="6BED907B" w14:textId="77777777" w:rsidR="00886DDF" w:rsidRDefault="00886DDF" w:rsidP="00E8617E">
      <w:pPr>
        <w:pStyle w:val="FootnoteText"/>
      </w:pPr>
      <w:r>
        <w:rPr>
          <w:rStyle w:val="FootnoteReference"/>
        </w:rPr>
        <w:footnoteRef/>
      </w:r>
      <w:r>
        <w:t xml:space="preserve"> </w:t>
      </w:r>
      <w:r w:rsidRPr="00A523D5">
        <w:rPr>
          <w:rFonts w:ascii="Arial" w:hAnsi="Arial" w:cs="Arial"/>
          <w:sz w:val="18"/>
          <w:szCs w:val="18"/>
        </w:rPr>
        <w:t>За всяка от мерките от ос</w:t>
      </w:r>
      <w:r w:rsidRPr="00535876">
        <w:rPr>
          <w:rFonts w:ascii="Arial" w:hAnsi="Arial" w:cs="Arial"/>
          <w:sz w:val="18"/>
          <w:szCs w:val="18"/>
        </w:rPr>
        <w:t xml:space="preserve"> </w:t>
      </w:r>
      <w:r w:rsidRPr="00A523D5">
        <w:rPr>
          <w:rFonts w:ascii="Arial" w:hAnsi="Arial" w:cs="Arial"/>
          <w:sz w:val="18"/>
          <w:szCs w:val="18"/>
        </w:rPr>
        <w:t xml:space="preserve">3 </w:t>
      </w:r>
      <w:r w:rsidRPr="00535876">
        <w:rPr>
          <w:rFonts w:ascii="Arial" w:hAnsi="Arial" w:cs="Arial"/>
          <w:sz w:val="18"/>
          <w:szCs w:val="18"/>
        </w:rPr>
        <w:t>(</w:t>
      </w:r>
      <w:r w:rsidRPr="00A523D5">
        <w:rPr>
          <w:rFonts w:ascii="Arial" w:hAnsi="Arial" w:cs="Arial"/>
          <w:sz w:val="18"/>
          <w:szCs w:val="18"/>
        </w:rPr>
        <w:t>Член</w:t>
      </w:r>
      <w:r w:rsidRPr="00535876">
        <w:rPr>
          <w:rFonts w:ascii="Arial" w:hAnsi="Arial" w:cs="Arial"/>
          <w:sz w:val="18"/>
          <w:szCs w:val="18"/>
        </w:rPr>
        <w:t xml:space="preserve"> 52(</w:t>
      </w:r>
      <w:r w:rsidRPr="00A523D5">
        <w:rPr>
          <w:rFonts w:ascii="Arial" w:hAnsi="Arial" w:cs="Arial"/>
          <w:sz w:val="18"/>
          <w:szCs w:val="18"/>
        </w:rPr>
        <w:t>б</w:t>
      </w:r>
      <w:r w:rsidRPr="00535876">
        <w:rPr>
          <w:rFonts w:ascii="Arial" w:hAnsi="Arial" w:cs="Arial"/>
          <w:sz w:val="18"/>
          <w:szCs w:val="18"/>
        </w:rPr>
        <w:t xml:space="preserve">) </w:t>
      </w:r>
      <w:r w:rsidRPr="00A523D5">
        <w:rPr>
          <w:rFonts w:ascii="Arial" w:hAnsi="Arial" w:cs="Arial"/>
          <w:sz w:val="18"/>
          <w:szCs w:val="18"/>
        </w:rPr>
        <w:t>от</w:t>
      </w:r>
      <w:r w:rsidRPr="00535876">
        <w:rPr>
          <w:rFonts w:ascii="Arial" w:hAnsi="Arial" w:cs="Arial"/>
          <w:sz w:val="18"/>
          <w:szCs w:val="18"/>
        </w:rPr>
        <w:t xml:space="preserve"> </w:t>
      </w:r>
      <w:r>
        <w:rPr>
          <w:rFonts w:ascii="Arial" w:hAnsi="Arial" w:cs="Arial"/>
          <w:sz w:val="18"/>
          <w:szCs w:val="18"/>
        </w:rPr>
        <w:t xml:space="preserve">Регламент (ЕО) № </w:t>
      </w:r>
      <w:r w:rsidRPr="00535876">
        <w:rPr>
          <w:rFonts w:ascii="Arial" w:hAnsi="Arial" w:cs="Arial"/>
          <w:sz w:val="18"/>
          <w:szCs w:val="18"/>
        </w:rPr>
        <w:t>1698/2005)</w:t>
      </w:r>
      <w:r w:rsidRPr="00A523D5">
        <w:rPr>
          <w:rFonts w:ascii="Arial" w:hAnsi="Arial" w:cs="Arial"/>
          <w:sz w:val="18"/>
          <w:szCs w:val="18"/>
        </w:rPr>
        <w:t>, включени в ПРСР</w:t>
      </w:r>
    </w:p>
  </w:footnote>
  <w:footnote w:id="35">
    <w:p w14:paraId="13CCC0FD" w14:textId="77777777" w:rsidR="00886DDF" w:rsidRPr="003A0F89" w:rsidRDefault="00886DDF" w:rsidP="00E8617E">
      <w:pPr>
        <w:pStyle w:val="FootnoteText"/>
      </w:pPr>
      <w:r>
        <w:rPr>
          <w:rStyle w:val="FootnoteReference"/>
        </w:rPr>
        <w:footnoteRef/>
      </w:r>
      <w:r>
        <w:t xml:space="preserve"> </w:t>
      </w:r>
      <w:r w:rsidRPr="00FC17A3">
        <w:rPr>
          <w:rFonts w:ascii="Arial" w:hAnsi="Arial" w:cs="Arial"/>
          <w:sz w:val="18"/>
          <w:szCs w:val="18"/>
        </w:rPr>
        <w:t xml:space="preserve">По данни от докладваните индикатори към годишните доклади на програмата, таблица </w:t>
      </w:r>
      <w:r w:rsidRPr="00FC17A3">
        <w:rPr>
          <w:rFonts w:ascii="Arial" w:hAnsi="Arial" w:cs="Arial"/>
          <w:sz w:val="18"/>
          <w:szCs w:val="18"/>
          <w:lang w:val="en-US"/>
        </w:rPr>
        <w:t>G</w:t>
      </w:r>
      <w:r w:rsidRPr="003A0F89">
        <w:rPr>
          <w:rFonts w:ascii="Arial" w:hAnsi="Arial" w:cs="Arial"/>
          <w:sz w:val="18"/>
          <w:szCs w:val="18"/>
        </w:rPr>
        <w:t>3</w:t>
      </w:r>
    </w:p>
  </w:footnote>
  <w:footnote w:id="36">
    <w:p w14:paraId="31145897" w14:textId="77777777" w:rsidR="00886DDF" w:rsidRDefault="00886DDF">
      <w:pPr>
        <w:pStyle w:val="FootnoteText"/>
      </w:pPr>
      <w:r>
        <w:rPr>
          <w:rStyle w:val="FootnoteReference"/>
        </w:rPr>
        <w:footnoteRef/>
      </w:r>
      <w:r>
        <w:t xml:space="preserve"> </w:t>
      </w:r>
      <w:r w:rsidRPr="009D6552">
        <w:rPr>
          <w:rFonts w:ascii="Arial" w:hAnsi="Arial" w:cs="Arial"/>
          <w:sz w:val="18"/>
          <w:szCs w:val="18"/>
        </w:rPr>
        <w:t>Годишен доклад за изпълнение на ПРСР за 2015 г.</w:t>
      </w:r>
    </w:p>
  </w:footnote>
  <w:footnote w:id="37">
    <w:p w14:paraId="749778E9" w14:textId="77777777" w:rsidR="00886DDF" w:rsidRPr="005D1E5D" w:rsidRDefault="00886DDF" w:rsidP="005D1E5D">
      <w:pPr>
        <w:spacing w:after="0" w:line="240" w:lineRule="auto"/>
        <w:rPr>
          <w:rFonts w:ascii="Arial" w:hAnsi="Arial" w:cs="Arial"/>
          <w:sz w:val="18"/>
          <w:szCs w:val="18"/>
        </w:rPr>
      </w:pPr>
      <w:r>
        <w:rPr>
          <w:rStyle w:val="FootnoteReference"/>
        </w:rPr>
        <w:footnoteRef/>
      </w:r>
      <w:r>
        <w:t xml:space="preserve"> </w:t>
      </w:r>
      <w:r w:rsidRPr="005D1E5D">
        <w:rPr>
          <w:rFonts w:ascii="Arial" w:hAnsi="Arial" w:cs="Arial"/>
          <w:sz w:val="18"/>
          <w:szCs w:val="18"/>
        </w:rPr>
        <w:t xml:space="preserve">До данни на МЗГХ, Основни изводи от прилагането на </w:t>
      </w:r>
      <w:r>
        <w:rPr>
          <w:rFonts w:ascii="Arial" w:hAnsi="Arial" w:cs="Arial"/>
          <w:sz w:val="18"/>
          <w:szCs w:val="18"/>
        </w:rPr>
        <w:t>П</w:t>
      </w:r>
      <w:r w:rsidRPr="005D1E5D">
        <w:rPr>
          <w:rFonts w:ascii="Arial" w:hAnsi="Arial" w:cs="Arial"/>
          <w:sz w:val="18"/>
          <w:szCs w:val="18"/>
        </w:rPr>
        <w:t>рограма за развитие на селските райони за периода 2007-2013 г</w:t>
      </w:r>
      <w:r>
        <w:rPr>
          <w:rFonts w:ascii="Arial" w:hAnsi="Arial" w:cs="Arial"/>
          <w:sz w:val="18"/>
          <w:szCs w:val="18"/>
        </w:rPr>
        <w:t>.</w:t>
      </w:r>
    </w:p>
  </w:footnote>
  <w:footnote w:id="38">
    <w:p w14:paraId="72067D99" w14:textId="77777777" w:rsidR="00886DDF" w:rsidRDefault="00886DDF">
      <w:pPr>
        <w:pStyle w:val="FootnoteText"/>
      </w:pPr>
      <w:r>
        <w:rPr>
          <w:rStyle w:val="FootnoteReference"/>
        </w:rPr>
        <w:footnoteRef/>
      </w:r>
      <w:r>
        <w:t xml:space="preserve"> </w:t>
      </w:r>
      <w:r w:rsidRPr="005D1E5D">
        <w:rPr>
          <w:rFonts w:ascii="Arial" w:hAnsi="Arial" w:cs="Arial"/>
          <w:sz w:val="18"/>
          <w:szCs w:val="18"/>
        </w:rPr>
        <w:t>По данни на ДФЗ- РА</w:t>
      </w:r>
    </w:p>
  </w:footnote>
  <w:footnote w:id="39">
    <w:p w14:paraId="7E0D59A1" w14:textId="77777777" w:rsidR="00886DDF" w:rsidRPr="00C00537" w:rsidRDefault="00886DDF" w:rsidP="00E8617E">
      <w:pPr>
        <w:pStyle w:val="FootnoteText"/>
        <w:rPr>
          <w:rFonts w:ascii="Arial" w:hAnsi="Arial" w:cs="Arial"/>
        </w:rPr>
      </w:pPr>
      <w:r>
        <w:rPr>
          <w:rStyle w:val="FootnoteReference"/>
        </w:rPr>
        <w:footnoteRef/>
      </w:r>
      <w:r>
        <w:t xml:space="preserve"> </w:t>
      </w:r>
      <w:r w:rsidRPr="00A70D6F">
        <w:rPr>
          <w:rFonts w:ascii="Arial" w:hAnsi="Arial" w:cs="Arial"/>
          <w:sz w:val="18"/>
          <w:szCs w:val="18"/>
        </w:rPr>
        <w:t>Източник: Предоставени данни от ДФЗ-РА</w:t>
      </w:r>
    </w:p>
  </w:footnote>
  <w:footnote w:id="40">
    <w:p w14:paraId="613469DA" w14:textId="77777777" w:rsidR="00886DDF" w:rsidRDefault="00886DDF">
      <w:pPr>
        <w:pStyle w:val="FootnoteText"/>
      </w:pPr>
      <w:r>
        <w:rPr>
          <w:rStyle w:val="FootnoteReference"/>
        </w:rPr>
        <w:footnoteRef/>
      </w:r>
      <w:r>
        <w:t xml:space="preserve"> </w:t>
      </w:r>
      <w:r w:rsidRPr="002C08B5">
        <w:rPr>
          <w:rFonts w:ascii="Arial" w:hAnsi="Arial" w:cs="Arial"/>
          <w:sz w:val="18"/>
          <w:szCs w:val="18"/>
        </w:rPr>
        <w:t>Изброените трудности са виждане на бенефициенти МИГ, споделени по време на проведената фокус- група</w:t>
      </w:r>
    </w:p>
  </w:footnote>
  <w:footnote w:id="41">
    <w:p w14:paraId="32CDAD7B" w14:textId="77777777" w:rsidR="00886DDF" w:rsidRDefault="00886DDF" w:rsidP="00E8617E">
      <w:pPr>
        <w:pStyle w:val="FootnoteText"/>
      </w:pPr>
      <w:r>
        <w:rPr>
          <w:rStyle w:val="FootnoteReference"/>
        </w:rPr>
        <w:footnoteRef/>
      </w:r>
      <w:r>
        <w:t xml:space="preserve"> </w:t>
      </w:r>
      <w:r w:rsidRPr="00FC714F">
        <w:rPr>
          <w:rFonts w:ascii="Arial" w:hAnsi="Arial" w:cs="Arial"/>
          <w:sz w:val="18"/>
          <w:szCs w:val="18"/>
        </w:rPr>
        <w:t>Електрони бюлетини на НСМ</w:t>
      </w:r>
    </w:p>
  </w:footnote>
  <w:footnote w:id="42">
    <w:p w14:paraId="178526FF" w14:textId="66B5E79C" w:rsidR="00886DDF" w:rsidRPr="001F0778" w:rsidRDefault="00886DDF" w:rsidP="00E8617E">
      <w:pPr>
        <w:pStyle w:val="FootnoteText"/>
        <w:rPr>
          <w:sz w:val="16"/>
          <w:szCs w:val="16"/>
        </w:rPr>
      </w:pPr>
      <w:r w:rsidRPr="001F0778">
        <w:rPr>
          <w:rStyle w:val="FootnoteReference"/>
          <w:sz w:val="16"/>
          <w:szCs w:val="16"/>
        </w:rPr>
        <w:footnoteRef/>
      </w:r>
      <w:r w:rsidRPr="001F0778">
        <w:rPr>
          <w:sz w:val="16"/>
          <w:szCs w:val="16"/>
        </w:rPr>
        <w:t xml:space="preserve"> </w:t>
      </w:r>
      <w:r>
        <w:rPr>
          <w:rFonts w:ascii="Arial" w:hAnsi="Arial" w:cs="Arial"/>
          <w:color w:val="000000"/>
          <w:sz w:val="18"/>
          <w:szCs w:val="18"/>
          <w:shd w:val="clear" w:color="auto" w:fill="FEFEFE"/>
        </w:rPr>
        <w:t>П</w:t>
      </w:r>
      <w:r w:rsidRPr="00F93DC5">
        <w:rPr>
          <w:rFonts w:ascii="Arial" w:hAnsi="Arial" w:cs="Arial"/>
          <w:color w:val="000000"/>
          <w:sz w:val="18"/>
          <w:szCs w:val="18"/>
          <w:shd w:val="clear" w:color="auto" w:fill="FEFEFE"/>
        </w:rPr>
        <w:t xml:space="preserve">рилагат </w:t>
      </w:r>
      <w:r>
        <w:rPr>
          <w:rFonts w:ascii="Arial" w:hAnsi="Arial" w:cs="Arial"/>
          <w:color w:val="000000"/>
          <w:sz w:val="18"/>
          <w:szCs w:val="18"/>
          <w:shd w:val="clear" w:color="auto" w:fill="FEFEFE"/>
        </w:rPr>
        <w:t xml:space="preserve">се </w:t>
      </w:r>
      <w:r w:rsidRPr="00F93DC5">
        <w:rPr>
          <w:rFonts w:ascii="Arial" w:hAnsi="Arial" w:cs="Arial"/>
          <w:color w:val="000000"/>
          <w:sz w:val="18"/>
          <w:szCs w:val="18"/>
          <w:shd w:val="clear" w:color="auto" w:fill="FEFEFE"/>
        </w:rPr>
        <w:t>разпоредбите на </w:t>
      </w:r>
      <w:r w:rsidRPr="00F93DC5">
        <w:rPr>
          <w:rStyle w:val="newdocreference"/>
          <w:rFonts w:ascii="Arial" w:hAnsi="Arial" w:cs="Arial"/>
          <w:color w:val="000000"/>
          <w:sz w:val="18"/>
          <w:szCs w:val="18"/>
          <w:shd w:val="clear" w:color="auto" w:fill="FEFEFE"/>
        </w:rPr>
        <w:t>Наредбата за командировките в страната</w:t>
      </w:r>
      <w:r w:rsidRPr="00F93DC5">
        <w:rPr>
          <w:rFonts w:ascii="Arial" w:hAnsi="Arial" w:cs="Arial"/>
          <w:color w:val="000000"/>
          <w:sz w:val="18"/>
          <w:szCs w:val="18"/>
          <w:shd w:val="clear" w:color="auto" w:fill="FEFEFE"/>
        </w:rPr>
        <w:t> и/или </w:t>
      </w:r>
      <w:r w:rsidRPr="00F93DC5">
        <w:rPr>
          <w:rStyle w:val="newdocreference"/>
          <w:rFonts w:ascii="Arial" w:hAnsi="Arial" w:cs="Arial"/>
          <w:color w:val="000000"/>
          <w:sz w:val="18"/>
          <w:szCs w:val="18"/>
          <w:shd w:val="clear" w:color="auto" w:fill="FEFEFE"/>
        </w:rPr>
        <w:t>Наредбата за служебните командировки и  специализации в чужбина</w:t>
      </w:r>
      <w:r w:rsidRPr="00F93DC5">
        <w:rPr>
          <w:rFonts w:ascii="Arial" w:hAnsi="Arial" w:cs="Arial"/>
          <w:color w:val="000000"/>
          <w:sz w:val="18"/>
          <w:szCs w:val="18"/>
          <w:shd w:val="clear" w:color="auto" w:fill="FEFEFE"/>
        </w:rPr>
        <w:t xml:space="preserve">;  покриват се разходи за участие в комисии за определяне на изпълнител на обществени поръчки за доставки или услуги, както и в комисии за оценка и избор на проекти по Мярка 111 от ос 1 и по ос 4 ЛИДЕР от ПРСР, се прилага създадената вътрешноведомствена организация в </w:t>
      </w:r>
      <w:r>
        <w:rPr>
          <w:rFonts w:ascii="Arial" w:hAnsi="Arial" w:cs="Arial"/>
          <w:color w:val="000000"/>
          <w:sz w:val="18"/>
          <w:szCs w:val="18"/>
          <w:shd w:val="clear" w:color="auto" w:fill="FEFEFE"/>
        </w:rPr>
        <w:t>МЗХГ</w:t>
      </w:r>
      <w:r w:rsidRPr="00F93DC5">
        <w:rPr>
          <w:rFonts w:ascii="Arial" w:hAnsi="Arial" w:cs="Arial"/>
          <w:color w:val="000000"/>
          <w:sz w:val="18"/>
          <w:szCs w:val="18"/>
          <w:shd w:val="clear" w:color="auto" w:fill="FEFEFE"/>
        </w:rPr>
        <w:t>, съответно в ДФЗ;</w:t>
      </w:r>
    </w:p>
  </w:footnote>
  <w:footnote w:id="43">
    <w:p w14:paraId="6A35B9E9" w14:textId="77777777" w:rsidR="00886DDF" w:rsidRDefault="00886DDF" w:rsidP="00E8617E">
      <w:pPr>
        <w:pStyle w:val="FootnoteText"/>
      </w:pPr>
      <w:r>
        <w:rPr>
          <w:rStyle w:val="FootnoteReference"/>
        </w:rPr>
        <w:footnoteRef/>
      </w:r>
      <w:r>
        <w:t xml:space="preserve"> </w:t>
      </w:r>
      <w:r w:rsidRPr="00162423">
        <w:rPr>
          <w:rFonts w:ascii="Arial" w:eastAsia="Calibri" w:hAnsi="Arial" w:cs="Arial"/>
          <w:sz w:val="18"/>
          <w:szCs w:val="18"/>
        </w:rPr>
        <w:t>AGROTEC S.p.A</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F77C1"/>
    <w:multiLevelType w:val="hybridMultilevel"/>
    <w:tmpl w:val="141CB8C6"/>
    <w:lvl w:ilvl="0" w:tplc="04020001">
      <w:start w:val="1"/>
      <w:numFmt w:val="bullet"/>
      <w:lvlText w:val=""/>
      <w:lvlJc w:val="left"/>
      <w:pPr>
        <w:ind w:left="1080" w:hanging="360"/>
      </w:pPr>
      <w:rPr>
        <w:rFonts w:ascii="Symbol" w:hAnsi="Symbol" w:hint="default"/>
      </w:rPr>
    </w:lvl>
    <w:lvl w:ilvl="1" w:tplc="04020003" w:tentative="1">
      <w:start w:val="1"/>
      <w:numFmt w:val="bullet"/>
      <w:lvlText w:val="o"/>
      <w:lvlJc w:val="left"/>
      <w:pPr>
        <w:ind w:left="1800" w:hanging="360"/>
      </w:pPr>
      <w:rPr>
        <w:rFonts w:ascii="Courier New" w:hAnsi="Courier New" w:cs="Courier New" w:hint="default"/>
      </w:rPr>
    </w:lvl>
    <w:lvl w:ilvl="2" w:tplc="04020005" w:tentative="1">
      <w:start w:val="1"/>
      <w:numFmt w:val="bullet"/>
      <w:lvlText w:val=""/>
      <w:lvlJc w:val="left"/>
      <w:pPr>
        <w:ind w:left="2520" w:hanging="360"/>
      </w:pPr>
      <w:rPr>
        <w:rFonts w:ascii="Wingdings" w:hAnsi="Wingdings" w:hint="default"/>
      </w:rPr>
    </w:lvl>
    <w:lvl w:ilvl="3" w:tplc="04020001" w:tentative="1">
      <w:start w:val="1"/>
      <w:numFmt w:val="bullet"/>
      <w:lvlText w:val=""/>
      <w:lvlJc w:val="left"/>
      <w:pPr>
        <w:ind w:left="3240" w:hanging="360"/>
      </w:pPr>
      <w:rPr>
        <w:rFonts w:ascii="Symbol" w:hAnsi="Symbol" w:hint="default"/>
      </w:rPr>
    </w:lvl>
    <w:lvl w:ilvl="4" w:tplc="04020003" w:tentative="1">
      <w:start w:val="1"/>
      <w:numFmt w:val="bullet"/>
      <w:lvlText w:val="o"/>
      <w:lvlJc w:val="left"/>
      <w:pPr>
        <w:ind w:left="3960" w:hanging="360"/>
      </w:pPr>
      <w:rPr>
        <w:rFonts w:ascii="Courier New" w:hAnsi="Courier New" w:cs="Courier New" w:hint="default"/>
      </w:rPr>
    </w:lvl>
    <w:lvl w:ilvl="5" w:tplc="04020005" w:tentative="1">
      <w:start w:val="1"/>
      <w:numFmt w:val="bullet"/>
      <w:lvlText w:val=""/>
      <w:lvlJc w:val="left"/>
      <w:pPr>
        <w:ind w:left="4680" w:hanging="360"/>
      </w:pPr>
      <w:rPr>
        <w:rFonts w:ascii="Wingdings" w:hAnsi="Wingdings" w:hint="default"/>
      </w:rPr>
    </w:lvl>
    <w:lvl w:ilvl="6" w:tplc="04020001" w:tentative="1">
      <w:start w:val="1"/>
      <w:numFmt w:val="bullet"/>
      <w:lvlText w:val=""/>
      <w:lvlJc w:val="left"/>
      <w:pPr>
        <w:ind w:left="5400" w:hanging="360"/>
      </w:pPr>
      <w:rPr>
        <w:rFonts w:ascii="Symbol" w:hAnsi="Symbol" w:hint="default"/>
      </w:rPr>
    </w:lvl>
    <w:lvl w:ilvl="7" w:tplc="04020003" w:tentative="1">
      <w:start w:val="1"/>
      <w:numFmt w:val="bullet"/>
      <w:lvlText w:val="o"/>
      <w:lvlJc w:val="left"/>
      <w:pPr>
        <w:ind w:left="6120" w:hanging="360"/>
      </w:pPr>
      <w:rPr>
        <w:rFonts w:ascii="Courier New" w:hAnsi="Courier New" w:cs="Courier New" w:hint="default"/>
      </w:rPr>
    </w:lvl>
    <w:lvl w:ilvl="8" w:tplc="04020005" w:tentative="1">
      <w:start w:val="1"/>
      <w:numFmt w:val="bullet"/>
      <w:lvlText w:val=""/>
      <w:lvlJc w:val="left"/>
      <w:pPr>
        <w:ind w:left="6840" w:hanging="360"/>
      </w:pPr>
      <w:rPr>
        <w:rFonts w:ascii="Wingdings" w:hAnsi="Wingdings" w:hint="default"/>
      </w:rPr>
    </w:lvl>
  </w:abstractNum>
  <w:abstractNum w:abstractNumId="1">
    <w:nsid w:val="03DD5CA0"/>
    <w:multiLevelType w:val="hybridMultilevel"/>
    <w:tmpl w:val="8D78AC30"/>
    <w:lvl w:ilvl="0" w:tplc="49B64486">
      <w:start w:val="1"/>
      <w:numFmt w:val="decimal"/>
      <w:lvlText w:val="%1."/>
      <w:lvlJc w:val="left"/>
      <w:pPr>
        <w:ind w:left="720" w:hanging="360"/>
      </w:pPr>
      <w:rPr>
        <w:rFonts w:ascii="Times New Roman" w:hAnsi="Times New Roman" w:cs="Times New Roman" w:hint="default"/>
        <w:b w:val="0"/>
        <w:color w:val="auto"/>
        <w:sz w:val="24"/>
        <w:szCs w:val="24"/>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
    <w:nsid w:val="04F37DD1"/>
    <w:multiLevelType w:val="multilevel"/>
    <w:tmpl w:val="151C48D8"/>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
    <w:nsid w:val="050719E8"/>
    <w:multiLevelType w:val="multilevel"/>
    <w:tmpl w:val="1E32C0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59A1611"/>
    <w:multiLevelType w:val="hybridMultilevel"/>
    <w:tmpl w:val="F1BC490A"/>
    <w:lvl w:ilvl="0" w:tplc="E1203B20">
      <w:start w:val="1"/>
      <w:numFmt w:val="decimal"/>
      <w:lvlText w:val="%1."/>
      <w:lvlJc w:val="left"/>
      <w:pPr>
        <w:ind w:left="720" w:hanging="360"/>
      </w:pPr>
      <w:rPr>
        <w:rFonts w:hint="default"/>
        <w:b w:val="0"/>
      </w:rPr>
    </w:lvl>
    <w:lvl w:ilvl="1" w:tplc="86587168">
      <w:numFmt w:val="bullet"/>
      <w:lvlText w:val="-"/>
      <w:lvlJc w:val="left"/>
      <w:pPr>
        <w:ind w:left="1440" w:hanging="360"/>
      </w:pPr>
      <w:rPr>
        <w:rFonts w:ascii="Arial" w:eastAsia="Times New Roman" w:hAnsi="Arial" w:cs="Arial" w:hint="default"/>
      </w:r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nsid w:val="05F12776"/>
    <w:multiLevelType w:val="hybridMultilevel"/>
    <w:tmpl w:val="3FBEC5AE"/>
    <w:lvl w:ilvl="0" w:tplc="04020001">
      <w:start w:val="1"/>
      <w:numFmt w:val="bullet"/>
      <w:lvlText w:val=""/>
      <w:lvlJc w:val="left"/>
      <w:pPr>
        <w:ind w:left="1800" w:hanging="360"/>
      </w:pPr>
      <w:rPr>
        <w:rFonts w:ascii="Symbol" w:hAnsi="Symbol" w:hint="default"/>
      </w:rPr>
    </w:lvl>
    <w:lvl w:ilvl="1" w:tplc="04020003" w:tentative="1">
      <w:start w:val="1"/>
      <w:numFmt w:val="bullet"/>
      <w:lvlText w:val="o"/>
      <w:lvlJc w:val="left"/>
      <w:pPr>
        <w:ind w:left="2520" w:hanging="360"/>
      </w:pPr>
      <w:rPr>
        <w:rFonts w:ascii="Courier New" w:hAnsi="Courier New" w:cs="Courier New" w:hint="default"/>
      </w:rPr>
    </w:lvl>
    <w:lvl w:ilvl="2" w:tplc="04020005" w:tentative="1">
      <w:start w:val="1"/>
      <w:numFmt w:val="bullet"/>
      <w:lvlText w:val=""/>
      <w:lvlJc w:val="left"/>
      <w:pPr>
        <w:ind w:left="3240" w:hanging="360"/>
      </w:pPr>
      <w:rPr>
        <w:rFonts w:ascii="Wingdings" w:hAnsi="Wingdings" w:hint="default"/>
      </w:rPr>
    </w:lvl>
    <w:lvl w:ilvl="3" w:tplc="04020001" w:tentative="1">
      <w:start w:val="1"/>
      <w:numFmt w:val="bullet"/>
      <w:lvlText w:val=""/>
      <w:lvlJc w:val="left"/>
      <w:pPr>
        <w:ind w:left="3960" w:hanging="360"/>
      </w:pPr>
      <w:rPr>
        <w:rFonts w:ascii="Symbol" w:hAnsi="Symbol" w:hint="default"/>
      </w:rPr>
    </w:lvl>
    <w:lvl w:ilvl="4" w:tplc="04020003" w:tentative="1">
      <w:start w:val="1"/>
      <w:numFmt w:val="bullet"/>
      <w:lvlText w:val="o"/>
      <w:lvlJc w:val="left"/>
      <w:pPr>
        <w:ind w:left="4680" w:hanging="360"/>
      </w:pPr>
      <w:rPr>
        <w:rFonts w:ascii="Courier New" w:hAnsi="Courier New" w:cs="Courier New" w:hint="default"/>
      </w:rPr>
    </w:lvl>
    <w:lvl w:ilvl="5" w:tplc="04020005" w:tentative="1">
      <w:start w:val="1"/>
      <w:numFmt w:val="bullet"/>
      <w:lvlText w:val=""/>
      <w:lvlJc w:val="left"/>
      <w:pPr>
        <w:ind w:left="5400" w:hanging="360"/>
      </w:pPr>
      <w:rPr>
        <w:rFonts w:ascii="Wingdings" w:hAnsi="Wingdings" w:hint="default"/>
      </w:rPr>
    </w:lvl>
    <w:lvl w:ilvl="6" w:tplc="04020001" w:tentative="1">
      <w:start w:val="1"/>
      <w:numFmt w:val="bullet"/>
      <w:lvlText w:val=""/>
      <w:lvlJc w:val="left"/>
      <w:pPr>
        <w:ind w:left="6120" w:hanging="360"/>
      </w:pPr>
      <w:rPr>
        <w:rFonts w:ascii="Symbol" w:hAnsi="Symbol" w:hint="default"/>
      </w:rPr>
    </w:lvl>
    <w:lvl w:ilvl="7" w:tplc="04020003" w:tentative="1">
      <w:start w:val="1"/>
      <w:numFmt w:val="bullet"/>
      <w:lvlText w:val="o"/>
      <w:lvlJc w:val="left"/>
      <w:pPr>
        <w:ind w:left="6840" w:hanging="360"/>
      </w:pPr>
      <w:rPr>
        <w:rFonts w:ascii="Courier New" w:hAnsi="Courier New" w:cs="Courier New" w:hint="default"/>
      </w:rPr>
    </w:lvl>
    <w:lvl w:ilvl="8" w:tplc="04020005" w:tentative="1">
      <w:start w:val="1"/>
      <w:numFmt w:val="bullet"/>
      <w:lvlText w:val=""/>
      <w:lvlJc w:val="left"/>
      <w:pPr>
        <w:ind w:left="7560" w:hanging="360"/>
      </w:pPr>
      <w:rPr>
        <w:rFonts w:ascii="Wingdings" w:hAnsi="Wingdings" w:hint="default"/>
      </w:rPr>
    </w:lvl>
  </w:abstractNum>
  <w:abstractNum w:abstractNumId="6">
    <w:nsid w:val="093F720D"/>
    <w:multiLevelType w:val="multilevel"/>
    <w:tmpl w:val="6D4444A6"/>
    <w:lvl w:ilvl="0">
      <w:start w:val="4"/>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2988" w:hanging="720"/>
      </w:pPr>
      <w:rPr>
        <w:rFonts w:hint="default"/>
      </w:rPr>
    </w:lvl>
    <w:lvl w:ilvl="3">
      <w:start w:val="1"/>
      <w:numFmt w:val="decimal"/>
      <w:lvlText w:val="%1.%2.%3.%4"/>
      <w:lvlJc w:val="left"/>
      <w:pPr>
        <w:ind w:left="4482" w:hanging="1080"/>
      </w:pPr>
      <w:rPr>
        <w:rFonts w:hint="default"/>
      </w:rPr>
    </w:lvl>
    <w:lvl w:ilvl="4">
      <w:start w:val="1"/>
      <w:numFmt w:val="decimal"/>
      <w:lvlText w:val="%1.%2.%3.%4.%5"/>
      <w:lvlJc w:val="left"/>
      <w:pPr>
        <w:ind w:left="5616" w:hanging="1080"/>
      </w:pPr>
      <w:rPr>
        <w:rFonts w:hint="default"/>
      </w:rPr>
    </w:lvl>
    <w:lvl w:ilvl="5">
      <w:start w:val="1"/>
      <w:numFmt w:val="decimal"/>
      <w:lvlText w:val="%1.%2.%3.%4.%5.%6"/>
      <w:lvlJc w:val="left"/>
      <w:pPr>
        <w:ind w:left="7110" w:hanging="1440"/>
      </w:pPr>
      <w:rPr>
        <w:rFonts w:hint="default"/>
      </w:rPr>
    </w:lvl>
    <w:lvl w:ilvl="6">
      <w:start w:val="1"/>
      <w:numFmt w:val="decimal"/>
      <w:lvlText w:val="%1.%2.%3.%4.%5.%6.%7"/>
      <w:lvlJc w:val="left"/>
      <w:pPr>
        <w:ind w:left="8244" w:hanging="1440"/>
      </w:pPr>
      <w:rPr>
        <w:rFonts w:hint="default"/>
      </w:rPr>
    </w:lvl>
    <w:lvl w:ilvl="7">
      <w:start w:val="1"/>
      <w:numFmt w:val="decimal"/>
      <w:lvlText w:val="%1.%2.%3.%4.%5.%6.%7.%8"/>
      <w:lvlJc w:val="left"/>
      <w:pPr>
        <w:ind w:left="9738" w:hanging="1800"/>
      </w:pPr>
      <w:rPr>
        <w:rFonts w:hint="default"/>
      </w:rPr>
    </w:lvl>
    <w:lvl w:ilvl="8">
      <w:start w:val="1"/>
      <w:numFmt w:val="decimal"/>
      <w:lvlText w:val="%1.%2.%3.%4.%5.%6.%7.%8.%9"/>
      <w:lvlJc w:val="left"/>
      <w:pPr>
        <w:ind w:left="10872" w:hanging="1800"/>
      </w:pPr>
      <w:rPr>
        <w:rFonts w:hint="default"/>
      </w:rPr>
    </w:lvl>
  </w:abstractNum>
  <w:abstractNum w:abstractNumId="7">
    <w:nsid w:val="0E2B46BD"/>
    <w:multiLevelType w:val="hybridMultilevel"/>
    <w:tmpl w:val="231A0384"/>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8">
    <w:nsid w:val="0F0B4943"/>
    <w:multiLevelType w:val="hybridMultilevel"/>
    <w:tmpl w:val="B950E294"/>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9">
    <w:nsid w:val="12AE4BB0"/>
    <w:multiLevelType w:val="hybridMultilevel"/>
    <w:tmpl w:val="18468744"/>
    <w:lvl w:ilvl="0" w:tplc="91D89FBA">
      <w:start w:val="1"/>
      <w:numFmt w:val="decimal"/>
      <w:lvlText w:val="%1."/>
      <w:lvlJc w:val="left"/>
      <w:pPr>
        <w:ind w:left="1068" w:hanging="360"/>
      </w:pPr>
      <w:rPr>
        <w:rFonts w:hint="default"/>
      </w:rPr>
    </w:lvl>
    <w:lvl w:ilvl="1" w:tplc="04020019" w:tentative="1">
      <w:start w:val="1"/>
      <w:numFmt w:val="lowerLetter"/>
      <w:lvlText w:val="%2."/>
      <w:lvlJc w:val="left"/>
      <w:pPr>
        <w:ind w:left="1788" w:hanging="360"/>
      </w:pPr>
    </w:lvl>
    <w:lvl w:ilvl="2" w:tplc="0402001B" w:tentative="1">
      <w:start w:val="1"/>
      <w:numFmt w:val="lowerRoman"/>
      <w:lvlText w:val="%3."/>
      <w:lvlJc w:val="right"/>
      <w:pPr>
        <w:ind w:left="2508" w:hanging="180"/>
      </w:pPr>
    </w:lvl>
    <w:lvl w:ilvl="3" w:tplc="0402000F" w:tentative="1">
      <w:start w:val="1"/>
      <w:numFmt w:val="decimal"/>
      <w:lvlText w:val="%4."/>
      <w:lvlJc w:val="left"/>
      <w:pPr>
        <w:ind w:left="3228" w:hanging="360"/>
      </w:pPr>
    </w:lvl>
    <w:lvl w:ilvl="4" w:tplc="04020019" w:tentative="1">
      <w:start w:val="1"/>
      <w:numFmt w:val="lowerLetter"/>
      <w:lvlText w:val="%5."/>
      <w:lvlJc w:val="left"/>
      <w:pPr>
        <w:ind w:left="3948" w:hanging="360"/>
      </w:pPr>
    </w:lvl>
    <w:lvl w:ilvl="5" w:tplc="0402001B" w:tentative="1">
      <w:start w:val="1"/>
      <w:numFmt w:val="lowerRoman"/>
      <w:lvlText w:val="%6."/>
      <w:lvlJc w:val="right"/>
      <w:pPr>
        <w:ind w:left="4668" w:hanging="180"/>
      </w:pPr>
    </w:lvl>
    <w:lvl w:ilvl="6" w:tplc="0402000F" w:tentative="1">
      <w:start w:val="1"/>
      <w:numFmt w:val="decimal"/>
      <w:lvlText w:val="%7."/>
      <w:lvlJc w:val="left"/>
      <w:pPr>
        <w:ind w:left="5388" w:hanging="360"/>
      </w:pPr>
    </w:lvl>
    <w:lvl w:ilvl="7" w:tplc="04020019" w:tentative="1">
      <w:start w:val="1"/>
      <w:numFmt w:val="lowerLetter"/>
      <w:lvlText w:val="%8."/>
      <w:lvlJc w:val="left"/>
      <w:pPr>
        <w:ind w:left="6108" w:hanging="360"/>
      </w:pPr>
    </w:lvl>
    <w:lvl w:ilvl="8" w:tplc="0402001B" w:tentative="1">
      <w:start w:val="1"/>
      <w:numFmt w:val="lowerRoman"/>
      <w:lvlText w:val="%9."/>
      <w:lvlJc w:val="right"/>
      <w:pPr>
        <w:ind w:left="6828" w:hanging="180"/>
      </w:pPr>
    </w:lvl>
  </w:abstractNum>
  <w:abstractNum w:abstractNumId="10">
    <w:nsid w:val="13264D27"/>
    <w:multiLevelType w:val="hybridMultilevel"/>
    <w:tmpl w:val="CCDA3FBC"/>
    <w:lvl w:ilvl="0" w:tplc="EC5AEA3E">
      <w:start w:val="1"/>
      <w:numFmt w:val="decimal"/>
      <w:pStyle w:val="Heading2"/>
      <w:lvlText w:val="1.%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1">
    <w:nsid w:val="13630220"/>
    <w:multiLevelType w:val="multilevel"/>
    <w:tmpl w:val="6278FCA8"/>
    <w:lvl w:ilvl="0">
      <w:start w:val="3"/>
      <w:numFmt w:val="decimal"/>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12">
    <w:nsid w:val="155102BE"/>
    <w:multiLevelType w:val="hybridMultilevel"/>
    <w:tmpl w:val="A476F6C8"/>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3">
    <w:nsid w:val="1A266BFB"/>
    <w:multiLevelType w:val="multilevel"/>
    <w:tmpl w:val="205E1E06"/>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pStyle w:val="Heading3"/>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4">
    <w:nsid w:val="1D3657AD"/>
    <w:multiLevelType w:val="hybridMultilevel"/>
    <w:tmpl w:val="A3C677F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5">
    <w:nsid w:val="1FA65C1D"/>
    <w:multiLevelType w:val="multilevel"/>
    <w:tmpl w:val="9388635E"/>
    <w:lvl w:ilvl="0">
      <w:start w:val="6"/>
      <w:numFmt w:val="decimal"/>
      <w:lvlText w:val="%1"/>
      <w:lvlJc w:val="left"/>
      <w:pPr>
        <w:ind w:left="360" w:hanging="360"/>
      </w:pPr>
      <w:rPr>
        <w:rFonts w:hint="default"/>
      </w:rPr>
    </w:lvl>
    <w:lvl w:ilvl="1">
      <w:start w:val="1"/>
      <w:numFmt w:val="decimal"/>
      <w:lvlText w:val="%1.%2"/>
      <w:lvlJc w:val="left"/>
      <w:pPr>
        <w:ind w:left="1920" w:hanging="360"/>
      </w:pPr>
      <w:rPr>
        <w:rFonts w:hint="default"/>
      </w:rPr>
    </w:lvl>
    <w:lvl w:ilvl="2">
      <w:start w:val="1"/>
      <w:numFmt w:val="decimal"/>
      <w:lvlText w:val="%1.%2.%3"/>
      <w:lvlJc w:val="left"/>
      <w:pPr>
        <w:ind w:left="3840" w:hanging="720"/>
      </w:pPr>
      <w:rPr>
        <w:rFonts w:hint="default"/>
      </w:rPr>
    </w:lvl>
    <w:lvl w:ilvl="3">
      <w:start w:val="1"/>
      <w:numFmt w:val="decimal"/>
      <w:lvlText w:val="%1.%2.%3.%4"/>
      <w:lvlJc w:val="left"/>
      <w:pPr>
        <w:ind w:left="5760" w:hanging="1080"/>
      </w:pPr>
      <w:rPr>
        <w:rFonts w:hint="default"/>
      </w:rPr>
    </w:lvl>
    <w:lvl w:ilvl="4">
      <w:start w:val="1"/>
      <w:numFmt w:val="decimal"/>
      <w:lvlText w:val="%1.%2.%3.%4.%5"/>
      <w:lvlJc w:val="left"/>
      <w:pPr>
        <w:ind w:left="7320" w:hanging="1080"/>
      </w:pPr>
      <w:rPr>
        <w:rFonts w:hint="default"/>
      </w:rPr>
    </w:lvl>
    <w:lvl w:ilvl="5">
      <w:start w:val="1"/>
      <w:numFmt w:val="decimal"/>
      <w:lvlText w:val="%1.%2.%3.%4.%5.%6"/>
      <w:lvlJc w:val="left"/>
      <w:pPr>
        <w:ind w:left="9240" w:hanging="1440"/>
      </w:pPr>
      <w:rPr>
        <w:rFonts w:hint="default"/>
      </w:rPr>
    </w:lvl>
    <w:lvl w:ilvl="6">
      <w:start w:val="1"/>
      <w:numFmt w:val="decimal"/>
      <w:lvlText w:val="%1.%2.%3.%4.%5.%6.%7"/>
      <w:lvlJc w:val="left"/>
      <w:pPr>
        <w:ind w:left="10800" w:hanging="1440"/>
      </w:pPr>
      <w:rPr>
        <w:rFonts w:hint="default"/>
      </w:rPr>
    </w:lvl>
    <w:lvl w:ilvl="7">
      <w:start w:val="1"/>
      <w:numFmt w:val="decimal"/>
      <w:lvlText w:val="%1.%2.%3.%4.%5.%6.%7.%8"/>
      <w:lvlJc w:val="left"/>
      <w:pPr>
        <w:ind w:left="12720" w:hanging="1800"/>
      </w:pPr>
      <w:rPr>
        <w:rFonts w:hint="default"/>
      </w:rPr>
    </w:lvl>
    <w:lvl w:ilvl="8">
      <w:start w:val="1"/>
      <w:numFmt w:val="decimal"/>
      <w:lvlText w:val="%1.%2.%3.%4.%5.%6.%7.%8.%9"/>
      <w:lvlJc w:val="left"/>
      <w:pPr>
        <w:ind w:left="14280" w:hanging="1800"/>
      </w:pPr>
      <w:rPr>
        <w:rFonts w:hint="default"/>
      </w:rPr>
    </w:lvl>
  </w:abstractNum>
  <w:abstractNum w:abstractNumId="16">
    <w:nsid w:val="21527591"/>
    <w:multiLevelType w:val="hybridMultilevel"/>
    <w:tmpl w:val="1430D3D8"/>
    <w:lvl w:ilvl="0" w:tplc="816C6B94">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17">
    <w:nsid w:val="215A4411"/>
    <w:multiLevelType w:val="multilevel"/>
    <w:tmpl w:val="F25094C2"/>
    <w:lvl w:ilvl="0">
      <w:start w:val="1"/>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18">
    <w:nsid w:val="28F33B33"/>
    <w:multiLevelType w:val="hybridMultilevel"/>
    <w:tmpl w:val="9B360E2C"/>
    <w:lvl w:ilvl="0" w:tplc="E1203B20">
      <w:start w:val="1"/>
      <w:numFmt w:val="decimal"/>
      <w:lvlText w:val="%1."/>
      <w:lvlJc w:val="left"/>
      <w:pPr>
        <w:ind w:left="720" w:hanging="360"/>
      </w:pPr>
      <w:rPr>
        <w:rFonts w:hint="default"/>
        <w:b w:val="0"/>
      </w:rPr>
    </w:lvl>
    <w:lvl w:ilvl="1" w:tplc="04020001">
      <w:start w:val="1"/>
      <w:numFmt w:val="bullet"/>
      <w:lvlText w:val=""/>
      <w:lvlJc w:val="left"/>
      <w:pPr>
        <w:ind w:left="1440" w:hanging="360"/>
      </w:pPr>
      <w:rPr>
        <w:rFonts w:ascii="Symbol" w:hAnsi="Symbol" w:hint="default"/>
      </w:rPr>
    </w:lvl>
    <w:lvl w:ilvl="2" w:tplc="044E654A">
      <w:numFmt w:val="bullet"/>
      <w:lvlText w:val="•"/>
      <w:lvlJc w:val="left"/>
      <w:pPr>
        <w:ind w:left="2685" w:hanging="705"/>
      </w:pPr>
      <w:rPr>
        <w:rFonts w:ascii="Arial" w:eastAsia="Times New Roman" w:hAnsi="Arial" w:cs="Arial" w:hint="default"/>
      </w:r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nsid w:val="2A2F134A"/>
    <w:multiLevelType w:val="hybridMultilevel"/>
    <w:tmpl w:val="9A147D4A"/>
    <w:lvl w:ilvl="0" w:tplc="61ECF73E">
      <w:start w:val="1"/>
      <w:numFmt w:val="bullet"/>
      <w:pStyle w:val="SubQuestionString"/>
      <w:lvlText w:val=""/>
      <w:lvlJc w:val="left"/>
      <w:pPr>
        <w:tabs>
          <w:tab w:val="num" w:pos="0"/>
        </w:tabs>
        <w:ind w:left="0" w:firstLine="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CC23D38"/>
    <w:multiLevelType w:val="hybridMultilevel"/>
    <w:tmpl w:val="D24C6B6C"/>
    <w:lvl w:ilvl="0" w:tplc="64B62622">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1">
    <w:nsid w:val="2F313465"/>
    <w:multiLevelType w:val="hybridMultilevel"/>
    <w:tmpl w:val="9EC6ADAE"/>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2">
    <w:nsid w:val="2FB72AE4"/>
    <w:multiLevelType w:val="multilevel"/>
    <w:tmpl w:val="2A8809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07D65D2"/>
    <w:multiLevelType w:val="hybridMultilevel"/>
    <w:tmpl w:val="D24C6B6C"/>
    <w:lvl w:ilvl="0" w:tplc="64B62622">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4">
    <w:nsid w:val="310D7B91"/>
    <w:multiLevelType w:val="hybridMultilevel"/>
    <w:tmpl w:val="5D526EE6"/>
    <w:lvl w:ilvl="0" w:tplc="E1203B20">
      <w:start w:val="1"/>
      <w:numFmt w:val="decimal"/>
      <w:lvlText w:val="%1."/>
      <w:lvlJc w:val="left"/>
      <w:pPr>
        <w:ind w:left="720" w:hanging="360"/>
      </w:pPr>
      <w:rPr>
        <w:rFonts w:hint="default"/>
        <w:b w:val="0"/>
      </w:rPr>
    </w:lvl>
    <w:lvl w:ilvl="1" w:tplc="04020001">
      <w:start w:val="1"/>
      <w:numFmt w:val="bullet"/>
      <w:lvlText w:val=""/>
      <w:lvlJc w:val="left"/>
      <w:pPr>
        <w:ind w:left="1440" w:hanging="360"/>
      </w:pPr>
      <w:rPr>
        <w:rFonts w:ascii="Symbol" w:hAnsi="Symbol" w:hint="default"/>
      </w:rPr>
    </w:lvl>
    <w:lvl w:ilvl="2" w:tplc="044E654A">
      <w:numFmt w:val="bullet"/>
      <w:lvlText w:val="•"/>
      <w:lvlJc w:val="left"/>
      <w:pPr>
        <w:ind w:left="2685" w:hanging="705"/>
      </w:pPr>
      <w:rPr>
        <w:rFonts w:ascii="Arial" w:eastAsia="Times New Roman" w:hAnsi="Arial" w:cs="Arial" w:hint="default"/>
      </w:r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nsid w:val="313B506E"/>
    <w:multiLevelType w:val="hybridMultilevel"/>
    <w:tmpl w:val="B15A43BE"/>
    <w:lvl w:ilvl="0" w:tplc="04020001">
      <w:start w:val="1"/>
      <w:numFmt w:val="bullet"/>
      <w:lvlText w:val=""/>
      <w:lvlJc w:val="left"/>
      <w:pPr>
        <w:ind w:left="1429" w:hanging="360"/>
      </w:pPr>
      <w:rPr>
        <w:rFonts w:ascii="Symbol" w:hAnsi="Symbol" w:hint="default"/>
      </w:rPr>
    </w:lvl>
    <w:lvl w:ilvl="1" w:tplc="04020003" w:tentative="1">
      <w:start w:val="1"/>
      <w:numFmt w:val="bullet"/>
      <w:lvlText w:val="o"/>
      <w:lvlJc w:val="left"/>
      <w:pPr>
        <w:ind w:left="2149" w:hanging="360"/>
      </w:pPr>
      <w:rPr>
        <w:rFonts w:ascii="Courier New" w:hAnsi="Courier New" w:cs="Courier New" w:hint="default"/>
      </w:rPr>
    </w:lvl>
    <w:lvl w:ilvl="2" w:tplc="04020005" w:tentative="1">
      <w:start w:val="1"/>
      <w:numFmt w:val="bullet"/>
      <w:lvlText w:val=""/>
      <w:lvlJc w:val="left"/>
      <w:pPr>
        <w:ind w:left="2869" w:hanging="360"/>
      </w:pPr>
      <w:rPr>
        <w:rFonts w:ascii="Wingdings" w:hAnsi="Wingdings" w:hint="default"/>
      </w:rPr>
    </w:lvl>
    <w:lvl w:ilvl="3" w:tplc="04020001" w:tentative="1">
      <w:start w:val="1"/>
      <w:numFmt w:val="bullet"/>
      <w:lvlText w:val=""/>
      <w:lvlJc w:val="left"/>
      <w:pPr>
        <w:ind w:left="3589" w:hanging="360"/>
      </w:pPr>
      <w:rPr>
        <w:rFonts w:ascii="Symbol" w:hAnsi="Symbol" w:hint="default"/>
      </w:rPr>
    </w:lvl>
    <w:lvl w:ilvl="4" w:tplc="04020003" w:tentative="1">
      <w:start w:val="1"/>
      <w:numFmt w:val="bullet"/>
      <w:lvlText w:val="o"/>
      <w:lvlJc w:val="left"/>
      <w:pPr>
        <w:ind w:left="4309" w:hanging="360"/>
      </w:pPr>
      <w:rPr>
        <w:rFonts w:ascii="Courier New" w:hAnsi="Courier New" w:cs="Courier New" w:hint="default"/>
      </w:rPr>
    </w:lvl>
    <w:lvl w:ilvl="5" w:tplc="04020005" w:tentative="1">
      <w:start w:val="1"/>
      <w:numFmt w:val="bullet"/>
      <w:lvlText w:val=""/>
      <w:lvlJc w:val="left"/>
      <w:pPr>
        <w:ind w:left="5029" w:hanging="360"/>
      </w:pPr>
      <w:rPr>
        <w:rFonts w:ascii="Wingdings" w:hAnsi="Wingdings" w:hint="default"/>
      </w:rPr>
    </w:lvl>
    <w:lvl w:ilvl="6" w:tplc="04020001" w:tentative="1">
      <w:start w:val="1"/>
      <w:numFmt w:val="bullet"/>
      <w:lvlText w:val=""/>
      <w:lvlJc w:val="left"/>
      <w:pPr>
        <w:ind w:left="5749" w:hanging="360"/>
      </w:pPr>
      <w:rPr>
        <w:rFonts w:ascii="Symbol" w:hAnsi="Symbol" w:hint="default"/>
      </w:rPr>
    </w:lvl>
    <w:lvl w:ilvl="7" w:tplc="04020003" w:tentative="1">
      <w:start w:val="1"/>
      <w:numFmt w:val="bullet"/>
      <w:lvlText w:val="o"/>
      <w:lvlJc w:val="left"/>
      <w:pPr>
        <w:ind w:left="6469" w:hanging="360"/>
      </w:pPr>
      <w:rPr>
        <w:rFonts w:ascii="Courier New" w:hAnsi="Courier New" w:cs="Courier New" w:hint="default"/>
      </w:rPr>
    </w:lvl>
    <w:lvl w:ilvl="8" w:tplc="04020005" w:tentative="1">
      <w:start w:val="1"/>
      <w:numFmt w:val="bullet"/>
      <w:lvlText w:val=""/>
      <w:lvlJc w:val="left"/>
      <w:pPr>
        <w:ind w:left="7189" w:hanging="360"/>
      </w:pPr>
      <w:rPr>
        <w:rFonts w:ascii="Wingdings" w:hAnsi="Wingdings" w:hint="default"/>
      </w:rPr>
    </w:lvl>
  </w:abstractNum>
  <w:abstractNum w:abstractNumId="26">
    <w:nsid w:val="321D52BA"/>
    <w:multiLevelType w:val="multilevel"/>
    <w:tmpl w:val="D4A8BB98"/>
    <w:lvl w:ilvl="0">
      <w:start w:val="1"/>
      <w:numFmt w:val="decimal"/>
      <w:lvlText w:val="%1."/>
      <w:lvlJc w:val="left"/>
      <w:pPr>
        <w:ind w:left="360" w:hanging="360"/>
      </w:pPr>
      <w:rPr>
        <w:rFonts w:hint="default"/>
        <w:sz w:val="18"/>
      </w:rPr>
    </w:lvl>
    <w:lvl w:ilvl="1">
      <w:start w:val="1"/>
      <w:numFmt w:val="decimal"/>
      <w:lvlText w:val="%1.%2."/>
      <w:lvlJc w:val="left"/>
      <w:pPr>
        <w:ind w:left="360" w:hanging="360"/>
      </w:pPr>
      <w:rPr>
        <w:rFonts w:hint="default"/>
        <w:sz w:val="18"/>
      </w:rPr>
    </w:lvl>
    <w:lvl w:ilvl="2">
      <w:start w:val="1"/>
      <w:numFmt w:val="decimal"/>
      <w:lvlText w:val="%1.%2.%3."/>
      <w:lvlJc w:val="left"/>
      <w:pPr>
        <w:ind w:left="720" w:hanging="720"/>
      </w:pPr>
      <w:rPr>
        <w:rFonts w:hint="default"/>
        <w:sz w:val="18"/>
      </w:rPr>
    </w:lvl>
    <w:lvl w:ilvl="3">
      <w:start w:val="1"/>
      <w:numFmt w:val="decimal"/>
      <w:lvlText w:val="%1.%2.%3.%4."/>
      <w:lvlJc w:val="left"/>
      <w:pPr>
        <w:ind w:left="720" w:hanging="720"/>
      </w:pPr>
      <w:rPr>
        <w:rFonts w:hint="default"/>
        <w:sz w:val="18"/>
      </w:rPr>
    </w:lvl>
    <w:lvl w:ilvl="4">
      <w:start w:val="1"/>
      <w:numFmt w:val="decimal"/>
      <w:lvlText w:val="%1.%2.%3.%4.%5."/>
      <w:lvlJc w:val="left"/>
      <w:pPr>
        <w:ind w:left="1080" w:hanging="1080"/>
      </w:pPr>
      <w:rPr>
        <w:rFonts w:hint="default"/>
        <w:sz w:val="18"/>
      </w:rPr>
    </w:lvl>
    <w:lvl w:ilvl="5">
      <w:start w:val="1"/>
      <w:numFmt w:val="decimal"/>
      <w:lvlText w:val="%1.%2.%3.%4.%5.%6."/>
      <w:lvlJc w:val="left"/>
      <w:pPr>
        <w:ind w:left="1080" w:hanging="1080"/>
      </w:pPr>
      <w:rPr>
        <w:rFonts w:hint="default"/>
        <w:sz w:val="18"/>
      </w:rPr>
    </w:lvl>
    <w:lvl w:ilvl="6">
      <w:start w:val="1"/>
      <w:numFmt w:val="decimal"/>
      <w:lvlText w:val="%1.%2.%3.%4.%5.%6.%7."/>
      <w:lvlJc w:val="left"/>
      <w:pPr>
        <w:ind w:left="1440" w:hanging="1440"/>
      </w:pPr>
      <w:rPr>
        <w:rFonts w:hint="default"/>
        <w:sz w:val="18"/>
      </w:rPr>
    </w:lvl>
    <w:lvl w:ilvl="7">
      <w:start w:val="1"/>
      <w:numFmt w:val="decimal"/>
      <w:lvlText w:val="%1.%2.%3.%4.%5.%6.%7.%8."/>
      <w:lvlJc w:val="left"/>
      <w:pPr>
        <w:ind w:left="1440" w:hanging="1440"/>
      </w:pPr>
      <w:rPr>
        <w:rFonts w:hint="default"/>
        <w:sz w:val="18"/>
      </w:rPr>
    </w:lvl>
    <w:lvl w:ilvl="8">
      <w:start w:val="1"/>
      <w:numFmt w:val="decimal"/>
      <w:lvlText w:val="%1.%2.%3.%4.%5.%6.%7.%8.%9."/>
      <w:lvlJc w:val="left"/>
      <w:pPr>
        <w:ind w:left="1800" w:hanging="1800"/>
      </w:pPr>
      <w:rPr>
        <w:rFonts w:hint="default"/>
        <w:sz w:val="18"/>
      </w:rPr>
    </w:lvl>
  </w:abstractNum>
  <w:abstractNum w:abstractNumId="27">
    <w:nsid w:val="37B442F4"/>
    <w:multiLevelType w:val="hybridMultilevel"/>
    <w:tmpl w:val="7CD21E28"/>
    <w:lvl w:ilvl="0" w:tplc="04020001">
      <w:start w:val="1"/>
      <w:numFmt w:val="bullet"/>
      <w:lvlText w:val=""/>
      <w:lvlJc w:val="left"/>
      <w:pPr>
        <w:ind w:left="1033" w:hanging="360"/>
      </w:pPr>
      <w:rPr>
        <w:rFonts w:ascii="Symbol" w:hAnsi="Symbol" w:hint="default"/>
      </w:rPr>
    </w:lvl>
    <w:lvl w:ilvl="1" w:tplc="04020003">
      <w:start w:val="1"/>
      <w:numFmt w:val="bullet"/>
      <w:lvlText w:val="o"/>
      <w:lvlJc w:val="left"/>
      <w:pPr>
        <w:ind w:left="1753" w:hanging="360"/>
      </w:pPr>
      <w:rPr>
        <w:rFonts w:ascii="Courier New" w:hAnsi="Courier New" w:cs="Courier New" w:hint="default"/>
      </w:rPr>
    </w:lvl>
    <w:lvl w:ilvl="2" w:tplc="04020005" w:tentative="1">
      <w:start w:val="1"/>
      <w:numFmt w:val="bullet"/>
      <w:lvlText w:val=""/>
      <w:lvlJc w:val="left"/>
      <w:pPr>
        <w:ind w:left="2473" w:hanging="360"/>
      </w:pPr>
      <w:rPr>
        <w:rFonts w:ascii="Wingdings" w:hAnsi="Wingdings" w:hint="default"/>
      </w:rPr>
    </w:lvl>
    <w:lvl w:ilvl="3" w:tplc="04020001" w:tentative="1">
      <w:start w:val="1"/>
      <w:numFmt w:val="bullet"/>
      <w:lvlText w:val=""/>
      <w:lvlJc w:val="left"/>
      <w:pPr>
        <w:ind w:left="3193" w:hanging="360"/>
      </w:pPr>
      <w:rPr>
        <w:rFonts w:ascii="Symbol" w:hAnsi="Symbol" w:hint="default"/>
      </w:rPr>
    </w:lvl>
    <w:lvl w:ilvl="4" w:tplc="04020003" w:tentative="1">
      <w:start w:val="1"/>
      <w:numFmt w:val="bullet"/>
      <w:lvlText w:val="o"/>
      <w:lvlJc w:val="left"/>
      <w:pPr>
        <w:ind w:left="3913" w:hanging="360"/>
      </w:pPr>
      <w:rPr>
        <w:rFonts w:ascii="Courier New" w:hAnsi="Courier New" w:cs="Courier New" w:hint="default"/>
      </w:rPr>
    </w:lvl>
    <w:lvl w:ilvl="5" w:tplc="04020005" w:tentative="1">
      <w:start w:val="1"/>
      <w:numFmt w:val="bullet"/>
      <w:lvlText w:val=""/>
      <w:lvlJc w:val="left"/>
      <w:pPr>
        <w:ind w:left="4633" w:hanging="360"/>
      </w:pPr>
      <w:rPr>
        <w:rFonts w:ascii="Wingdings" w:hAnsi="Wingdings" w:hint="default"/>
      </w:rPr>
    </w:lvl>
    <w:lvl w:ilvl="6" w:tplc="04020001" w:tentative="1">
      <w:start w:val="1"/>
      <w:numFmt w:val="bullet"/>
      <w:lvlText w:val=""/>
      <w:lvlJc w:val="left"/>
      <w:pPr>
        <w:ind w:left="5353" w:hanging="360"/>
      </w:pPr>
      <w:rPr>
        <w:rFonts w:ascii="Symbol" w:hAnsi="Symbol" w:hint="default"/>
      </w:rPr>
    </w:lvl>
    <w:lvl w:ilvl="7" w:tplc="04020003" w:tentative="1">
      <w:start w:val="1"/>
      <w:numFmt w:val="bullet"/>
      <w:lvlText w:val="o"/>
      <w:lvlJc w:val="left"/>
      <w:pPr>
        <w:ind w:left="6073" w:hanging="360"/>
      </w:pPr>
      <w:rPr>
        <w:rFonts w:ascii="Courier New" w:hAnsi="Courier New" w:cs="Courier New" w:hint="default"/>
      </w:rPr>
    </w:lvl>
    <w:lvl w:ilvl="8" w:tplc="04020005" w:tentative="1">
      <w:start w:val="1"/>
      <w:numFmt w:val="bullet"/>
      <w:lvlText w:val=""/>
      <w:lvlJc w:val="left"/>
      <w:pPr>
        <w:ind w:left="6793" w:hanging="360"/>
      </w:pPr>
      <w:rPr>
        <w:rFonts w:ascii="Wingdings" w:hAnsi="Wingdings" w:hint="default"/>
      </w:rPr>
    </w:lvl>
  </w:abstractNum>
  <w:abstractNum w:abstractNumId="28">
    <w:nsid w:val="38AA1AEB"/>
    <w:multiLevelType w:val="hybridMultilevel"/>
    <w:tmpl w:val="C140460A"/>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29">
    <w:nsid w:val="392C17B3"/>
    <w:multiLevelType w:val="hybridMultilevel"/>
    <w:tmpl w:val="A45AB1BC"/>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0">
    <w:nsid w:val="3994145D"/>
    <w:multiLevelType w:val="hybridMultilevel"/>
    <w:tmpl w:val="EC787F16"/>
    <w:lvl w:ilvl="0" w:tplc="04020001">
      <w:start w:val="1"/>
      <w:numFmt w:val="bullet"/>
      <w:lvlText w:val=""/>
      <w:lvlJc w:val="left"/>
      <w:pPr>
        <w:ind w:left="1428" w:hanging="360"/>
      </w:pPr>
      <w:rPr>
        <w:rFonts w:ascii="Symbol" w:hAnsi="Symbol" w:hint="default"/>
      </w:rPr>
    </w:lvl>
    <w:lvl w:ilvl="1" w:tplc="04020003" w:tentative="1">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1">
    <w:nsid w:val="420570E0"/>
    <w:multiLevelType w:val="hybridMultilevel"/>
    <w:tmpl w:val="A45AB1BC"/>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2">
    <w:nsid w:val="421A2F20"/>
    <w:multiLevelType w:val="multilevel"/>
    <w:tmpl w:val="B874E398"/>
    <w:lvl w:ilvl="0">
      <w:start w:val="1"/>
      <w:numFmt w:val="decimal"/>
      <w:lvlText w:val="%1."/>
      <w:lvlJc w:val="left"/>
      <w:pPr>
        <w:ind w:left="720" w:hanging="360"/>
      </w:pPr>
      <w:rPr>
        <w:rFonts w:hint="default"/>
        <w:i w:val="0"/>
      </w:rPr>
    </w:lvl>
    <w:lvl w:ilvl="1">
      <w:start w:val="2"/>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3">
    <w:nsid w:val="48DE35E4"/>
    <w:multiLevelType w:val="multilevel"/>
    <w:tmpl w:val="40F2E57C"/>
    <w:lvl w:ilvl="0">
      <w:start w:val="1"/>
      <w:numFmt w:val="bullet"/>
      <w:lvlText w:val=""/>
      <w:lvlJc w:val="left"/>
      <w:pPr>
        <w:ind w:left="360" w:hanging="360"/>
      </w:pPr>
      <w:rPr>
        <w:rFonts w:ascii="Symbol" w:hAnsi="Symbol" w:hint="default"/>
      </w:rPr>
    </w:lvl>
    <w:lvl w:ilvl="1">
      <w:start w:val="1"/>
      <w:numFmt w:val="decimal"/>
      <w:lvlText w:val="%1.%2"/>
      <w:lvlJc w:val="left"/>
      <w:pPr>
        <w:ind w:left="1440" w:hanging="360"/>
      </w:pPr>
      <w:rPr>
        <w:rFonts w:hint="default"/>
      </w:rPr>
    </w:lvl>
    <w:lvl w:ilvl="2">
      <w:start w:val="1"/>
      <w:numFmt w:val="decimal"/>
      <w:lvlText w:val="%1.%2.%3"/>
      <w:lvlJc w:val="left"/>
      <w:pPr>
        <w:ind w:left="2880" w:hanging="720"/>
      </w:pPr>
      <w:rPr>
        <w:rFonts w:hint="default"/>
      </w:rPr>
    </w:lvl>
    <w:lvl w:ilvl="3">
      <w:start w:val="1"/>
      <w:numFmt w:val="decimal"/>
      <w:lvlText w:val="%1.%2.%3.%4"/>
      <w:lvlJc w:val="left"/>
      <w:pPr>
        <w:ind w:left="4320" w:hanging="108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840" w:hanging="144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360" w:hanging="1800"/>
      </w:pPr>
      <w:rPr>
        <w:rFonts w:hint="default"/>
      </w:rPr>
    </w:lvl>
    <w:lvl w:ilvl="8">
      <w:start w:val="1"/>
      <w:numFmt w:val="decimal"/>
      <w:lvlText w:val="%1.%2.%3.%4.%5.%6.%7.%8.%9"/>
      <w:lvlJc w:val="left"/>
      <w:pPr>
        <w:ind w:left="10440" w:hanging="1800"/>
      </w:pPr>
      <w:rPr>
        <w:rFonts w:hint="default"/>
      </w:rPr>
    </w:lvl>
  </w:abstractNum>
  <w:abstractNum w:abstractNumId="34">
    <w:nsid w:val="4A4927CE"/>
    <w:multiLevelType w:val="hybridMultilevel"/>
    <w:tmpl w:val="C5B0AC80"/>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5">
    <w:nsid w:val="4A514612"/>
    <w:multiLevelType w:val="hybridMultilevel"/>
    <w:tmpl w:val="EBBE6EEC"/>
    <w:lvl w:ilvl="0" w:tplc="04020003">
      <w:start w:val="1"/>
      <w:numFmt w:val="bullet"/>
      <w:lvlText w:val="o"/>
      <w:lvlJc w:val="left"/>
      <w:pPr>
        <w:ind w:left="720" w:hanging="360"/>
      </w:pPr>
      <w:rPr>
        <w:rFonts w:ascii="Courier New" w:hAnsi="Courier New" w:cs="Courier New"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36">
    <w:nsid w:val="4CAD469B"/>
    <w:multiLevelType w:val="hybridMultilevel"/>
    <w:tmpl w:val="C1E612A0"/>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hint="default"/>
      </w:rPr>
    </w:lvl>
    <w:lvl w:ilvl="3" w:tplc="04020001">
      <w:start w:val="1"/>
      <w:numFmt w:val="bullet"/>
      <w:lvlText w:val=""/>
      <w:lvlJc w:val="left"/>
      <w:pPr>
        <w:ind w:left="2880" w:hanging="360"/>
      </w:pPr>
      <w:rPr>
        <w:rFonts w:ascii="Symbol" w:hAnsi="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hint="default"/>
      </w:rPr>
    </w:lvl>
    <w:lvl w:ilvl="6" w:tplc="04020001">
      <w:start w:val="1"/>
      <w:numFmt w:val="bullet"/>
      <w:lvlText w:val=""/>
      <w:lvlJc w:val="left"/>
      <w:pPr>
        <w:ind w:left="5040" w:hanging="360"/>
      </w:pPr>
      <w:rPr>
        <w:rFonts w:ascii="Symbol" w:hAnsi="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hint="default"/>
      </w:rPr>
    </w:lvl>
  </w:abstractNum>
  <w:abstractNum w:abstractNumId="37">
    <w:nsid w:val="4D475C62"/>
    <w:multiLevelType w:val="hybridMultilevel"/>
    <w:tmpl w:val="89CE12C2"/>
    <w:lvl w:ilvl="0" w:tplc="E1203B20">
      <w:start w:val="1"/>
      <w:numFmt w:val="decimal"/>
      <w:lvlText w:val="%1."/>
      <w:lvlJc w:val="left"/>
      <w:pPr>
        <w:ind w:left="720" w:hanging="360"/>
      </w:pPr>
      <w:rPr>
        <w:rFonts w:hint="default"/>
        <w:b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8">
    <w:nsid w:val="4EDF0814"/>
    <w:multiLevelType w:val="hybridMultilevel"/>
    <w:tmpl w:val="B97EBE8C"/>
    <w:lvl w:ilvl="0" w:tplc="04020001">
      <w:start w:val="1"/>
      <w:numFmt w:val="bullet"/>
      <w:lvlText w:val=""/>
      <w:lvlJc w:val="left"/>
      <w:pPr>
        <w:ind w:left="1428" w:hanging="360"/>
      </w:pPr>
      <w:rPr>
        <w:rFonts w:ascii="Symbol" w:hAnsi="Symbol" w:hint="default"/>
      </w:rPr>
    </w:lvl>
    <w:lvl w:ilvl="1" w:tplc="04020003">
      <w:start w:val="1"/>
      <w:numFmt w:val="bullet"/>
      <w:lvlText w:val="o"/>
      <w:lvlJc w:val="left"/>
      <w:pPr>
        <w:ind w:left="2148" w:hanging="360"/>
      </w:pPr>
      <w:rPr>
        <w:rFonts w:ascii="Courier New" w:hAnsi="Courier New" w:cs="Courier New" w:hint="default"/>
      </w:rPr>
    </w:lvl>
    <w:lvl w:ilvl="2" w:tplc="04020005" w:tentative="1">
      <w:start w:val="1"/>
      <w:numFmt w:val="bullet"/>
      <w:lvlText w:val=""/>
      <w:lvlJc w:val="left"/>
      <w:pPr>
        <w:ind w:left="2868" w:hanging="360"/>
      </w:pPr>
      <w:rPr>
        <w:rFonts w:ascii="Wingdings" w:hAnsi="Wingdings" w:hint="default"/>
      </w:rPr>
    </w:lvl>
    <w:lvl w:ilvl="3" w:tplc="04020001" w:tentative="1">
      <w:start w:val="1"/>
      <w:numFmt w:val="bullet"/>
      <w:lvlText w:val=""/>
      <w:lvlJc w:val="left"/>
      <w:pPr>
        <w:ind w:left="3588" w:hanging="360"/>
      </w:pPr>
      <w:rPr>
        <w:rFonts w:ascii="Symbol" w:hAnsi="Symbol" w:hint="default"/>
      </w:rPr>
    </w:lvl>
    <w:lvl w:ilvl="4" w:tplc="04020003" w:tentative="1">
      <w:start w:val="1"/>
      <w:numFmt w:val="bullet"/>
      <w:lvlText w:val="o"/>
      <w:lvlJc w:val="left"/>
      <w:pPr>
        <w:ind w:left="4308" w:hanging="360"/>
      </w:pPr>
      <w:rPr>
        <w:rFonts w:ascii="Courier New" w:hAnsi="Courier New" w:cs="Courier New" w:hint="default"/>
      </w:rPr>
    </w:lvl>
    <w:lvl w:ilvl="5" w:tplc="04020005" w:tentative="1">
      <w:start w:val="1"/>
      <w:numFmt w:val="bullet"/>
      <w:lvlText w:val=""/>
      <w:lvlJc w:val="left"/>
      <w:pPr>
        <w:ind w:left="5028" w:hanging="360"/>
      </w:pPr>
      <w:rPr>
        <w:rFonts w:ascii="Wingdings" w:hAnsi="Wingdings" w:hint="default"/>
      </w:rPr>
    </w:lvl>
    <w:lvl w:ilvl="6" w:tplc="04020001" w:tentative="1">
      <w:start w:val="1"/>
      <w:numFmt w:val="bullet"/>
      <w:lvlText w:val=""/>
      <w:lvlJc w:val="left"/>
      <w:pPr>
        <w:ind w:left="5748" w:hanging="360"/>
      </w:pPr>
      <w:rPr>
        <w:rFonts w:ascii="Symbol" w:hAnsi="Symbol" w:hint="default"/>
      </w:rPr>
    </w:lvl>
    <w:lvl w:ilvl="7" w:tplc="04020003" w:tentative="1">
      <w:start w:val="1"/>
      <w:numFmt w:val="bullet"/>
      <w:lvlText w:val="o"/>
      <w:lvlJc w:val="left"/>
      <w:pPr>
        <w:ind w:left="6468" w:hanging="360"/>
      </w:pPr>
      <w:rPr>
        <w:rFonts w:ascii="Courier New" w:hAnsi="Courier New" w:cs="Courier New" w:hint="default"/>
      </w:rPr>
    </w:lvl>
    <w:lvl w:ilvl="8" w:tplc="04020005" w:tentative="1">
      <w:start w:val="1"/>
      <w:numFmt w:val="bullet"/>
      <w:lvlText w:val=""/>
      <w:lvlJc w:val="left"/>
      <w:pPr>
        <w:ind w:left="7188" w:hanging="360"/>
      </w:pPr>
      <w:rPr>
        <w:rFonts w:ascii="Wingdings" w:hAnsi="Wingdings" w:hint="default"/>
      </w:rPr>
    </w:lvl>
  </w:abstractNum>
  <w:abstractNum w:abstractNumId="39">
    <w:nsid w:val="4F45582B"/>
    <w:multiLevelType w:val="hybridMultilevel"/>
    <w:tmpl w:val="A328C56E"/>
    <w:lvl w:ilvl="0" w:tplc="2C8414B4">
      <w:start w:val="1"/>
      <w:numFmt w:val="decimal"/>
      <w:lvlText w:val="%1."/>
      <w:lvlJc w:val="left"/>
      <w:pPr>
        <w:ind w:left="1074" w:hanging="360"/>
      </w:pPr>
      <w:rPr>
        <w:rFonts w:hint="default"/>
      </w:rPr>
    </w:lvl>
    <w:lvl w:ilvl="1" w:tplc="04020019" w:tentative="1">
      <w:start w:val="1"/>
      <w:numFmt w:val="lowerLetter"/>
      <w:lvlText w:val="%2."/>
      <w:lvlJc w:val="left"/>
      <w:pPr>
        <w:ind w:left="1794" w:hanging="360"/>
      </w:pPr>
    </w:lvl>
    <w:lvl w:ilvl="2" w:tplc="0402001B" w:tentative="1">
      <w:start w:val="1"/>
      <w:numFmt w:val="lowerRoman"/>
      <w:lvlText w:val="%3."/>
      <w:lvlJc w:val="right"/>
      <w:pPr>
        <w:ind w:left="2514" w:hanging="180"/>
      </w:pPr>
    </w:lvl>
    <w:lvl w:ilvl="3" w:tplc="0402000F" w:tentative="1">
      <w:start w:val="1"/>
      <w:numFmt w:val="decimal"/>
      <w:lvlText w:val="%4."/>
      <w:lvlJc w:val="left"/>
      <w:pPr>
        <w:ind w:left="3234" w:hanging="360"/>
      </w:pPr>
    </w:lvl>
    <w:lvl w:ilvl="4" w:tplc="04020019" w:tentative="1">
      <w:start w:val="1"/>
      <w:numFmt w:val="lowerLetter"/>
      <w:lvlText w:val="%5."/>
      <w:lvlJc w:val="left"/>
      <w:pPr>
        <w:ind w:left="3954" w:hanging="360"/>
      </w:pPr>
    </w:lvl>
    <w:lvl w:ilvl="5" w:tplc="0402001B" w:tentative="1">
      <w:start w:val="1"/>
      <w:numFmt w:val="lowerRoman"/>
      <w:lvlText w:val="%6."/>
      <w:lvlJc w:val="right"/>
      <w:pPr>
        <w:ind w:left="4674" w:hanging="180"/>
      </w:pPr>
    </w:lvl>
    <w:lvl w:ilvl="6" w:tplc="0402000F" w:tentative="1">
      <w:start w:val="1"/>
      <w:numFmt w:val="decimal"/>
      <w:lvlText w:val="%7."/>
      <w:lvlJc w:val="left"/>
      <w:pPr>
        <w:ind w:left="5394" w:hanging="360"/>
      </w:pPr>
    </w:lvl>
    <w:lvl w:ilvl="7" w:tplc="04020019" w:tentative="1">
      <w:start w:val="1"/>
      <w:numFmt w:val="lowerLetter"/>
      <w:lvlText w:val="%8."/>
      <w:lvlJc w:val="left"/>
      <w:pPr>
        <w:ind w:left="6114" w:hanging="360"/>
      </w:pPr>
    </w:lvl>
    <w:lvl w:ilvl="8" w:tplc="0402001B" w:tentative="1">
      <w:start w:val="1"/>
      <w:numFmt w:val="lowerRoman"/>
      <w:lvlText w:val="%9."/>
      <w:lvlJc w:val="right"/>
      <w:pPr>
        <w:ind w:left="6834" w:hanging="180"/>
      </w:pPr>
    </w:lvl>
  </w:abstractNum>
  <w:abstractNum w:abstractNumId="40">
    <w:nsid w:val="501F0A51"/>
    <w:multiLevelType w:val="hybridMultilevel"/>
    <w:tmpl w:val="7D5A8D68"/>
    <w:lvl w:ilvl="0" w:tplc="F65858EA">
      <w:start w:val="489"/>
      <w:numFmt w:val="bullet"/>
      <w:suff w:val="space"/>
      <w:lvlText w:val="-"/>
      <w:lvlJc w:val="left"/>
      <w:pPr>
        <w:ind w:left="360" w:hanging="360"/>
      </w:pPr>
      <w:rPr>
        <w:rFonts w:ascii="Arial" w:eastAsia="TimesNewRoman" w:hAnsi="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53540CE6"/>
    <w:multiLevelType w:val="hybridMultilevel"/>
    <w:tmpl w:val="E6CA6B62"/>
    <w:lvl w:ilvl="0" w:tplc="15C6BA42">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42">
    <w:nsid w:val="54EB13A9"/>
    <w:multiLevelType w:val="hybridMultilevel"/>
    <w:tmpl w:val="C5DAD8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59705C06"/>
    <w:multiLevelType w:val="hybridMultilevel"/>
    <w:tmpl w:val="51A0F4C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4">
    <w:nsid w:val="5B451FCE"/>
    <w:multiLevelType w:val="multilevel"/>
    <w:tmpl w:val="B874E398"/>
    <w:lvl w:ilvl="0">
      <w:start w:val="1"/>
      <w:numFmt w:val="decimal"/>
      <w:lvlText w:val="%1."/>
      <w:lvlJc w:val="left"/>
      <w:pPr>
        <w:ind w:left="720" w:hanging="360"/>
      </w:pPr>
      <w:rPr>
        <w:rFonts w:hint="default"/>
        <w:i w:val="0"/>
      </w:rPr>
    </w:lvl>
    <w:lvl w:ilvl="1">
      <w:start w:val="2"/>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45">
    <w:nsid w:val="5D6F2FE1"/>
    <w:multiLevelType w:val="hybridMultilevel"/>
    <w:tmpl w:val="AB706622"/>
    <w:lvl w:ilvl="0" w:tplc="837E1BF4">
      <w:start w:val="1"/>
      <w:numFmt w:val="decimal"/>
      <w:lvlText w:val="%1."/>
      <w:lvlJc w:val="left"/>
      <w:pPr>
        <w:ind w:left="720" w:hanging="360"/>
      </w:pPr>
      <w:rPr>
        <w:rFonts w:hint="default"/>
        <w:b w:val="0"/>
        <w:i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6">
    <w:nsid w:val="606E3656"/>
    <w:multiLevelType w:val="hybridMultilevel"/>
    <w:tmpl w:val="6F360DEA"/>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47">
    <w:nsid w:val="61206329"/>
    <w:multiLevelType w:val="multilevel"/>
    <w:tmpl w:val="C85AD3CE"/>
    <w:lvl w:ilvl="0">
      <w:start w:val="1"/>
      <w:numFmt w:val="decimal"/>
      <w:pStyle w:val="Heading1"/>
      <w:lvlText w:val="%1"/>
      <w:lvlJc w:val="left"/>
      <w:pPr>
        <w:tabs>
          <w:tab w:val="num" w:pos="538"/>
        </w:tabs>
        <w:ind w:left="567" w:hanging="567"/>
      </w:pPr>
      <w:rPr>
        <w:rFonts w:hint="default"/>
        <w:color w:val="006DB6"/>
        <w:sz w:val="36"/>
      </w:rPr>
    </w:lvl>
    <w:lvl w:ilvl="1">
      <w:start w:val="1"/>
      <w:numFmt w:val="decimal"/>
      <w:lvlText w:val="%1.%2"/>
      <w:lvlJc w:val="left"/>
      <w:pPr>
        <w:tabs>
          <w:tab w:val="num" w:pos="553"/>
        </w:tabs>
        <w:ind w:left="576" w:hanging="576"/>
      </w:pPr>
      <w:rPr>
        <w:rFonts w:hint="default"/>
        <w:color w:val="006DB6"/>
        <w:sz w:val="22"/>
      </w:rPr>
    </w:lvl>
    <w:lvl w:ilvl="2">
      <w:start w:val="1"/>
      <w:numFmt w:val="decimal"/>
      <w:lvlText w:val="%1.%2.%3"/>
      <w:lvlJc w:val="left"/>
      <w:pPr>
        <w:tabs>
          <w:tab w:val="num" w:pos="567"/>
        </w:tabs>
        <w:ind w:left="567" w:hanging="567"/>
      </w:pPr>
      <w:rPr>
        <w:rFonts w:hint="default"/>
        <w:color w:val="006DB6"/>
      </w:rPr>
    </w:lvl>
    <w:lvl w:ilvl="3">
      <w:start w:val="1"/>
      <w:numFmt w:val="decimal"/>
      <w:lvlText w:val="%1.%2.%3.%4"/>
      <w:lvlJc w:val="left"/>
      <w:pPr>
        <w:tabs>
          <w:tab w:val="num" w:pos="864"/>
        </w:tabs>
        <w:ind w:left="864" w:hanging="864"/>
      </w:pPr>
      <w:rPr>
        <w:rFonts w:hint="default"/>
        <w:color w:val="auto"/>
      </w:rPr>
    </w:lvl>
    <w:lvl w:ilvl="4">
      <w:start w:val="1"/>
      <w:numFmt w:val="decimal"/>
      <w:lvlText w:val="%1.%2.%3.%4.%5"/>
      <w:lvlJc w:val="left"/>
      <w:pPr>
        <w:tabs>
          <w:tab w:val="num" w:pos="1008"/>
        </w:tabs>
        <w:ind w:left="1008" w:hanging="1008"/>
      </w:pPr>
      <w:rPr>
        <w:rFonts w:hint="default"/>
        <w:color w:val="auto"/>
      </w:rPr>
    </w:lvl>
    <w:lvl w:ilvl="5">
      <w:start w:val="1"/>
      <w:numFmt w:val="decimal"/>
      <w:lvlText w:val="%1.%2.%3.%4.%5.%6"/>
      <w:lvlJc w:val="left"/>
      <w:pPr>
        <w:tabs>
          <w:tab w:val="num" w:pos="1152"/>
        </w:tabs>
        <w:ind w:left="1152" w:hanging="1152"/>
      </w:pPr>
      <w:rPr>
        <w:rFonts w:hint="default"/>
        <w:color w:val="auto"/>
      </w:rPr>
    </w:lvl>
    <w:lvl w:ilvl="6">
      <w:start w:val="1"/>
      <w:numFmt w:val="decimal"/>
      <w:lvlText w:val="%1.%2.%3.%4.%5.%6.%7"/>
      <w:lvlJc w:val="left"/>
      <w:pPr>
        <w:tabs>
          <w:tab w:val="num" w:pos="1296"/>
        </w:tabs>
        <w:ind w:left="1296" w:hanging="1296"/>
      </w:pPr>
      <w:rPr>
        <w:rFonts w:hint="default"/>
        <w:color w:val="000000"/>
      </w:rPr>
    </w:lvl>
    <w:lvl w:ilvl="7">
      <w:start w:val="1"/>
      <w:numFmt w:val="decimal"/>
      <w:lvlText w:val="%1.%2.%3.%4.%5.%6.%7.%8"/>
      <w:lvlJc w:val="left"/>
      <w:pPr>
        <w:tabs>
          <w:tab w:val="num" w:pos="1440"/>
        </w:tabs>
        <w:ind w:left="1440" w:hanging="1440"/>
      </w:pPr>
      <w:rPr>
        <w:rFonts w:hint="default"/>
        <w:color w:val="000000"/>
      </w:rPr>
    </w:lvl>
    <w:lvl w:ilvl="8">
      <w:start w:val="1"/>
      <w:numFmt w:val="decimal"/>
      <w:lvlText w:val="%1.%2.%3.%4.%5.%6.%7.%8.%9"/>
      <w:lvlJc w:val="left"/>
      <w:pPr>
        <w:tabs>
          <w:tab w:val="num" w:pos="1584"/>
        </w:tabs>
        <w:ind w:left="1584" w:hanging="1584"/>
      </w:pPr>
      <w:rPr>
        <w:rFonts w:hint="default"/>
        <w:color w:val="000000"/>
      </w:rPr>
    </w:lvl>
  </w:abstractNum>
  <w:abstractNum w:abstractNumId="48">
    <w:nsid w:val="623C6BD7"/>
    <w:multiLevelType w:val="hybridMultilevel"/>
    <w:tmpl w:val="AB706622"/>
    <w:lvl w:ilvl="0" w:tplc="837E1BF4">
      <w:start w:val="1"/>
      <w:numFmt w:val="decimal"/>
      <w:lvlText w:val="%1."/>
      <w:lvlJc w:val="left"/>
      <w:pPr>
        <w:ind w:left="720" w:hanging="360"/>
      </w:pPr>
      <w:rPr>
        <w:rFonts w:hint="default"/>
        <w:b w:val="0"/>
        <w:i w:val="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9">
    <w:nsid w:val="625D559F"/>
    <w:multiLevelType w:val="hybridMultilevel"/>
    <w:tmpl w:val="E6CA6B62"/>
    <w:lvl w:ilvl="0" w:tplc="15C6BA42">
      <w:start w:val="1"/>
      <w:numFmt w:val="decimal"/>
      <w:lvlText w:val="%1."/>
      <w:lvlJc w:val="left"/>
      <w:pPr>
        <w:ind w:left="1080" w:hanging="360"/>
      </w:pPr>
      <w:rPr>
        <w:rFonts w:hint="default"/>
      </w:rPr>
    </w:lvl>
    <w:lvl w:ilvl="1" w:tplc="04020019" w:tentative="1">
      <w:start w:val="1"/>
      <w:numFmt w:val="lowerLetter"/>
      <w:lvlText w:val="%2."/>
      <w:lvlJc w:val="left"/>
      <w:pPr>
        <w:ind w:left="1800" w:hanging="360"/>
      </w:pPr>
    </w:lvl>
    <w:lvl w:ilvl="2" w:tplc="0402001B" w:tentative="1">
      <w:start w:val="1"/>
      <w:numFmt w:val="lowerRoman"/>
      <w:lvlText w:val="%3."/>
      <w:lvlJc w:val="right"/>
      <w:pPr>
        <w:ind w:left="2520" w:hanging="180"/>
      </w:pPr>
    </w:lvl>
    <w:lvl w:ilvl="3" w:tplc="0402000F" w:tentative="1">
      <w:start w:val="1"/>
      <w:numFmt w:val="decimal"/>
      <w:lvlText w:val="%4."/>
      <w:lvlJc w:val="left"/>
      <w:pPr>
        <w:ind w:left="3240" w:hanging="360"/>
      </w:pPr>
    </w:lvl>
    <w:lvl w:ilvl="4" w:tplc="04020019" w:tentative="1">
      <w:start w:val="1"/>
      <w:numFmt w:val="lowerLetter"/>
      <w:lvlText w:val="%5."/>
      <w:lvlJc w:val="left"/>
      <w:pPr>
        <w:ind w:left="3960" w:hanging="360"/>
      </w:pPr>
    </w:lvl>
    <w:lvl w:ilvl="5" w:tplc="0402001B" w:tentative="1">
      <w:start w:val="1"/>
      <w:numFmt w:val="lowerRoman"/>
      <w:lvlText w:val="%6."/>
      <w:lvlJc w:val="right"/>
      <w:pPr>
        <w:ind w:left="4680" w:hanging="180"/>
      </w:pPr>
    </w:lvl>
    <w:lvl w:ilvl="6" w:tplc="0402000F" w:tentative="1">
      <w:start w:val="1"/>
      <w:numFmt w:val="decimal"/>
      <w:lvlText w:val="%7."/>
      <w:lvlJc w:val="left"/>
      <w:pPr>
        <w:ind w:left="5400" w:hanging="360"/>
      </w:pPr>
    </w:lvl>
    <w:lvl w:ilvl="7" w:tplc="04020019" w:tentative="1">
      <w:start w:val="1"/>
      <w:numFmt w:val="lowerLetter"/>
      <w:lvlText w:val="%8."/>
      <w:lvlJc w:val="left"/>
      <w:pPr>
        <w:ind w:left="6120" w:hanging="360"/>
      </w:pPr>
    </w:lvl>
    <w:lvl w:ilvl="8" w:tplc="0402001B" w:tentative="1">
      <w:start w:val="1"/>
      <w:numFmt w:val="lowerRoman"/>
      <w:lvlText w:val="%9."/>
      <w:lvlJc w:val="right"/>
      <w:pPr>
        <w:ind w:left="6840" w:hanging="180"/>
      </w:pPr>
    </w:lvl>
  </w:abstractNum>
  <w:abstractNum w:abstractNumId="50">
    <w:nsid w:val="65303B8B"/>
    <w:multiLevelType w:val="hybridMultilevel"/>
    <w:tmpl w:val="1DA4A1A4"/>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1">
    <w:nsid w:val="6B876A04"/>
    <w:multiLevelType w:val="hybridMultilevel"/>
    <w:tmpl w:val="5E507774"/>
    <w:lvl w:ilvl="0" w:tplc="96D04C30">
      <w:start w:val="1"/>
      <w:numFmt w:val="decimal"/>
      <w:lvlText w:val="%1."/>
      <w:lvlJc w:val="left"/>
      <w:pPr>
        <w:ind w:left="720" w:hanging="360"/>
      </w:pPr>
      <w:rPr>
        <w:rFonts w:cs="Arial" w:hint="default"/>
        <w:sz w:val="20"/>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2">
    <w:nsid w:val="6F450500"/>
    <w:multiLevelType w:val="hybridMultilevel"/>
    <w:tmpl w:val="1452E026"/>
    <w:lvl w:ilvl="0" w:tplc="04020001">
      <w:start w:val="1"/>
      <w:numFmt w:val="bullet"/>
      <w:lvlText w:val=""/>
      <w:lvlJc w:val="left"/>
      <w:pPr>
        <w:ind w:left="720" w:hanging="360"/>
      </w:pPr>
      <w:rPr>
        <w:rFonts w:ascii="Symbol" w:hAnsi="Symbol" w:hint="default"/>
      </w:rPr>
    </w:lvl>
    <w:lvl w:ilvl="1" w:tplc="04020003">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53">
    <w:nsid w:val="72352F57"/>
    <w:multiLevelType w:val="hybridMultilevel"/>
    <w:tmpl w:val="94AC1812"/>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num w:numId="1">
    <w:abstractNumId w:val="47"/>
  </w:num>
  <w:num w:numId="2">
    <w:abstractNumId w:val="10"/>
  </w:num>
  <w:num w:numId="3">
    <w:abstractNumId w:val="13"/>
  </w:num>
  <w:num w:numId="4">
    <w:abstractNumId w:val="17"/>
  </w:num>
  <w:num w:numId="5">
    <w:abstractNumId w:val="11"/>
  </w:num>
  <w:num w:numId="6">
    <w:abstractNumId w:val="6"/>
  </w:num>
  <w:num w:numId="7">
    <w:abstractNumId w:val="2"/>
  </w:num>
  <w:num w:numId="8">
    <w:abstractNumId w:val="15"/>
  </w:num>
  <w:num w:numId="9">
    <w:abstractNumId w:val="26"/>
  </w:num>
  <w:num w:numId="10">
    <w:abstractNumId w:val="46"/>
  </w:num>
  <w:num w:numId="11">
    <w:abstractNumId w:val="23"/>
  </w:num>
  <w:num w:numId="12">
    <w:abstractNumId w:val="32"/>
  </w:num>
  <w:num w:numId="13">
    <w:abstractNumId w:val="1"/>
  </w:num>
  <w:num w:numId="14">
    <w:abstractNumId w:val="45"/>
  </w:num>
  <w:num w:numId="15">
    <w:abstractNumId w:val="37"/>
  </w:num>
  <w:num w:numId="16">
    <w:abstractNumId w:val="4"/>
  </w:num>
  <w:num w:numId="17">
    <w:abstractNumId w:val="31"/>
  </w:num>
  <w:num w:numId="18">
    <w:abstractNumId w:val="20"/>
  </w:num>
  <w:num w:numId="19">
    <w:abstractNumId w:val="44"/>
  </w:num>
  <w:num w:numId="20">
    <w:abstractNumId w:val="48"/>
  </w:num>
  <w:num w:numId="21">
    <w:abstractNumId w:val="51"/>
  </w:num>
  <w:num w:numId="22">
    <w:abstractNumId w:val="49"/>
  </w:num>
  <w:num w:numId="23">
    <w:abstractNumId w:val="41"/>
  </w:num>
  <w:num w:numId="24">
    <w:abstractNumId w:val="30"/>
  </w:num>
  <w:num w:numId="25">
    <w:abstractNumId w:val="28"/>
  </w:num>
  <w:num w:numId="26">
    <w:abstractNumId w:val="36"/>
  </w:num>
  <w:num w:numId="27">
    <w:abstractNumId w:val="21"/>
  </w:num>
  <w:num w:numId="28">
    <w:abstractNumId w:val="7"/>
  </w:num>
  <w:num w:numId="29">
    <w:abstractNumId w:val="29"/>
  </w:num>
  <w:num w:numId="30">
    <w:abstractNumId w:val="27"/>
  </w:num>
  <w:num w:numId="31">
    <w:abstractNumId w:val="50"/>
  </w:num>
  <w:num w:numId="32">
    <w:abstractNumId w:val="8"/>
  </w:num>
  <w:num w:numId="33">
    <w:abstractNumId w:val="33"/>
  </w:num>
  <w:num w:numId="34">
    <w:abstractNumId w:val="9"/>
  </w:num>
  <w:num w:numId="35">
    <w:abstractNumId w:val="0"/>
  </w:num>
  <w:num w:numId="36">
    <w:abstractNumId w:val="42"/>
  </w:num>
  <w:num w:numId="37">
    <w:abstractNumId w:val="34"/>
  </w:num>
  <w:num w:numId="38">
    <w:abstractNumId w:val="25"/>
  </w:num>
  <w:num w:numId="39">
    <w:abstractNumId w:val="52"/>
  </w:num>
  <w:num w:numId="40">
    <w:abstractNumId w:val="16"/>
  </w:num>
  <w:num w:numId="41">
    <w:abstractNumId w:val="18"/>
  </w:num>
  <w:num w:numId="42">
    <w:abstractNumId w:val="24"/>
  </w:num>
  <w:num w:numId="43">
    <w:abstractNumId w:val="5"/>
  </w:num>
  <w:num w:numId="44">
    <w:abstractNumId w:val="12"/>
  </w:num>
  <w:num w:numId="45">
    <w:abstractNumId w:val="14"/>
  </w:num>
  <w:num w:numId="46">
    <w:abstractNumId w:val="43"/>
  </w:num>
  <w:num w:numId="47">
    <w:abstractNumId w:val="39"/>
  </w:num>
  <w:num w:numId="48">
    <w:abstractNumId w:val="38"/>
  </w:num>
  <w:num w:numId="49">
    <w:abstractNumId w:val="40"/>
  </w:num>
  <w:num w:numId="50">
    <w:abstractNumId w:val="35"/>
  </w:num>
  <w:num w:numId="51">
    <w:abstractNumId w:val="19"/>
  </w:num>
  <w:num w:numId="52">
    <w:abstractNumId w:val="22"/>
  </w:num>
  <w:num w:numId="53">
    <w:abstractNumId w:val="3"/>
  </w:num>
  <w:num w:numId="54">
    <w:abstractNumId w:val="13"/>
  </w:num>
  <w:num w:numId="55">
    <w:abstractNumId w:val="53"/>
  </w:num>
  <w:numIdMacAtCleanup w:val="5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EE">
    <w15:presenceInfo w15:providerId="None" w15:userId="SE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6"/>
  <w:hideGrammaticalError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617E"/>
    <w:rsid w:val="00002380"/>
    <w:rsid w:val="000024B6"/>
    <w:rsid w:val="000161DB"/>
    <w:rsid w:val="000162FF"/>
    <w:rsid w:val="00021FC9"/>
    <w:rsid w:val="00045479"/>
    <w:rsid w:val="00046AF8"/>
    <w:rsid w:val="00047E2D"/>
    <w:rsid w:val="00052C74"/>
    <w:rsid w:val="00052EFC"/>
    <w:rsid w:val="0005693E"/>
    <w:rsid w:val="00077260"/>
    <w:rsid w:val="00083C40"/>
    <w:rsid w:val="00092EB5"/>
    <w:rsid w:val="000A70F3"/>
    <w:rsid w:val="000B45AD"/>
    <w:rsid w:val="000C1246"/>
    <w:rsid w:val="000D1018"/>
    <w:rsid w:val="000D70C4"/>
    <w:rsid w:val="000E1845"/>
    <w:rsid w:val="000E2335"/>
    <w:rsid w:val="000E5143"/>
    <w:rsid w:val="000F57E9"/>
    <w:rsid w:val="00103CAB"/>
    <w:rsid w:val="001207FF"/>
    <w:rsid w:val="00135C0F"/>
    <w:rsid w:val="0014225E"/>
    <w:rsid w:val="00143EB1"/>
    <w:rsid w:val="00147071"/>
    <w:rsid w:val="00151630"/>
    <w:rsid w:val="00154727"/>
    <w:rsid w:val="001611BA"/>
    <w:rsid w:val="001670F2"/>
    <w:rsid w:val="00173BA2"/>
    <w:rsid w:val="00174633"/>
    <w:rsid w:val="00176810"/>
    <w:rsid w:val="0018283D"/>
    <w:rsid w:val="00192A21"/>
    <w:rsid w:val="001A0C23"/>
    <w:rsid w:val="001A2CC9"/>
    <w:rsid w:val="001A6CD2"/>
    <w:rsid w:val="001C3365"/>
    <w:rsid w:val="001C34BD"/>
    <w:rsid w:val="001C6AE5"/>
    <w:rsid w:val="001D482F"/>
    <w:rsid w:val="001D732C"/>
    <w:rsid w:val="00205C7B"/>
    <w:rsid w:val="00206A56"/>
    <w:rsid w:val="00213E30"/>
    <w:rsid w:val="002153B5"/>
    <w:rsid w:val="0023010D"/>
    <w:rsid w:val="00232AB1"/>
    <w:rsid w:val="002419A3"/>
    <w:rsid w:val="002520BF"/>
    <w:rsid w:val="00252FA8"/>
    <w:rsid w:val="00260222"/>
    <w:rsid w:val="002665A7"/>
    <w:rsid w:val="002668AB"/>
    <w:rsid w:val="00287F57"/>
    <w:rsid w:val="00296BEB"/>
    <w:rsid w:val="002A37E9"/>
    <w:rsid w:val="002C0253"/>
    <w:rsid w:val="002C08B5"/>
    <w:rsid w:val="002C428C"/>
    <w:rsid w:val="002C6AB0"/>
    <w:rsid w:val="002C702E"/>
    <w:rsid w:val="00312BE1"/>
    <w:rsid w:val="00312CE3"/>
    <w:rsid w:val="0031471B"/>
    <w:rsid w:val="00320533"/>
    <w:rsid w:val="00322CD4"/>
    <w:rsid w:val="00323417"/>
    <w:rsid w:val="00324D13"/>
    <w:rsid w:val="003274B6"/>
    <w:rsid w:val="003347CE"/>
    <w:rsid w:val="003476D5"/>
    <w:rsid w:val="003572F7"/>
    <w:rsid w:val="003573C2"/>
    <w:rsid w:val="003644F0"/>
    <w:rsid w:val="00371135"/>
    <w:rsid w:val="003922C8"/>
    <w:rsid w:val="0039326F"/>
    <w:rsid w:val="003A0F89"/>
    <w:rsid w:val="003A4B6C"/>
    <w:rsid w:val="003C003E"/>
    <w:rsid w:val="003C48A0"/>
    <w:rsid w:val="003D01D8"/>
    <w:rsid w:val="003E1B15"/>
    <w:rsid w:val="003E5736"/>
    <w:rsid w:val="003F3A83"/>
    <w:rsid w:val="0041610B"/>
    <w:rsid w:val="004229DB"/>
    <w:rsid w:val="00427B7E"/>
    <w:rsid w:val="00454E37"/>
    <w:rsid w:val="00455E76"/>
    <w:rsid w:val="00467180"/>
    <w:rsid w:val="004748A4"/>
    <w:rsid w:val="0048724F"/>
    <w:rsid w:val="0049526E"/>
    <w:rsid w:val="0049695F"/>
    <w:rsid w:val="004A02A4"/>
    <w:rsid w:val="004A104A"/>
    <w:rsid w:val="004C18C5"/>
    <w:rsid w:val="004D1281"/>
    <w:rsid w:val="004D4F2D"/>
    <w:rsid w:val="004D7C9E"/>
    <w:rsid w:val="004E22CE"/>
    <w:rsid w:val="004F72B1"/>
    <w:rsid w:val="00505D38"/>
    <w:rsid w:val="00520B91"/>
    <w:rsid w:val="0052756F"/>
    <w:rsid w:val="005319DE"/>
    <w:rsid w:val="00532F05"/>
    <w:rsid w:val="00535876"/>
    <w:rsid w:val="00537BE5"/>
    <w:rsid w:val="00545F4D"/>
    <w:rsid w:val="00546B85"/>
    <w:rsid w:val="00562AD9"/>
    <w:rsid w:val="00564710"/>
    <w:rsid w:val="0057318C"/>
    <w:rsid w:val="005A51E8"/>
    <w:rsid w:val="005B729E"/>
    <w:rsid w:val="005C3CD9"/>
    <w:rsid w:val="005C64E4"/>
    <w:rsid w:val="005D1E5D"/>
    <w:rsid w:val="006071D3"/>
    <w:rsid w:val="00607332"/>
    <w:rsid w:val="00612710"/>
    <w:rsid w:val="0061365D"/>
    <w:rsid w:val="006212B6"/>
    <w:rsid w:val="00625062"/>
    <w:rsid w:val="006256A9"/>
    <w:rsid w:val="00626DD4"/>
    <w:rsid w:val="0064430B"/>
    <w:rsid w:val="006619AA"/>
    <w:rsid w:val="00665029"/>
    <w:rsid w:val="006652DB"/>
    <w:rsid w:val="00672B6B"/>
    <w:rsid w:val="00696BC7"/>
    <w:rsid w:val="006A79EF"/>
    <w:rsid w:val="006B300D"/>
    <w:rsid w:val="006C0459"/>
    <w:rsid w:val="006C1D34"/>
    <w:rsid w:val="006D4D9F"/>
    <w:rsid w:val="006D6F61"/>
    <w:rsid w:val="006E41FF"/>
    <w:rsid w:val="006F555B"/>
    <w:rsid w:val="006F711F"/>
    <w:rsid w:val="00710FCA"/>
    <w:rsid w:val="00721B7A"/>
    <w:rsid w:val="00725F2E"/>
    <w:rsid w:val="00755DB0"/>
    <w:rsid w:val="0076196A"/>
    <w:rsid w:val="00766958"/>
    <w:rsid w:val="0077113C"/>
    <w:rsid w:val="00787356"/>
    <w:rsid w:val="00791A48"/>
    <w:rsid w:val="00794F67"/>
    <w:rsid w:val="007A131A"/>
    <w:rsid w:val="007A177C"/>
    <w:rsid w:val="007A5C3B"/>
    <w:rsid w:val="007B021E"/>
    <w:rsid w:val="007B0424"/>
    <w:rsid w:val="007C3883"/>
    <w:rsid w:val="007C41A8"/>
    <w:rsid w:val="007C57EC"/>
    <w:rsid w:val="007C594C"/>
    <w:rsid w:val="007D14C1"/>
    <w:rsid w:val="007E0450"/>
    <w:rsid w:val="007E4B3D"/>
    <w:rsid w:val="007E66D6"/>
    <w:rsid w:val="007F23BC"/>
    <w:rsid w:val="007F3B56"/>
    <w:rsid w:val="00812BFB"/>
    <w:rsid w:val="00814BC4"/>
    <w:rsid w:val="00815DAE"/>
    <w:rsid w:val="0083700E"/>
    <w:rsid w:val="00837873"/>
    <w:rsid w:val="00840BE9"/>
    <w:rsid w:val="0084194C"/>
    <w:rsid w:val="008468B9"/>
    <w:rsid w:val="00852D69"/>
    <w:rsid w:val="008776A6"/>
    <w:rsid w:val="00884BF3"/>
    <w:rsid w:val="00886DDF"/>
    <w:rsid w:val="008A1574"/>
    <w:rsid w:val="008B02DF"/>
    <w:rsid w:val="008D2489"/>
    <w:rsid w:val="008D3A04"/>
    <w:rsid w:val="008F34DE"/>
    <w:rsid w:val="008F3D95"/>
    <w:rsid w:val="00903B3F"/>
    <w:rsid w:val="00922731"/>
    <w:rsid w:val="00932044"/>
    <w:rsid w:val="00932807"/>
    <w:rsid w:val="0094092B"/>
    <w:rsid w:val="00953BEA"/>
    <w:rsid w:val="00990780"/>
    <w:rsid w:val="009A20B6"/>
    <w:rsid w:val="009C090C"/>
    <w:rsid w:val="009C31A8"/>
    <w:rsid w:val="009D0C37"/>
    <w:rsid w:val="009D54CA"/>
    <w:rsid w:val="009D5DFC"/>
    <w:rsid w:val="009D6552"/>
    <w:rsid w:val="009E0222"/>
    <w:rsid w:val="009E1251"/>
    <w:rsid w:val="009E7260"/>
    <w:rsid w:val="009F288E"/>
    <w:rsid w:val="009F358B"/>
    <w:rsid w:val="009F38B8"/>
    <w:rsid w:val="009F4784"/>
    <w:rsid w:val="00A01907"/>
    <w:rsid w:val="00A05E77"/>
    <w:rsid w:val="00A07ED3"/>
    <w:rsid w:val="00A1734E"/>
    <w:rsid w:val="00A173BA"/>
    <w:rsid w:val="00A3189D"/>
    <w:rsid w:val="00A37A31"/>
    <w:rsid w:val="00A5050A"/>
    <w:rsid w:val="00A55F86"/>
    <w:rsid w:val="00A95E36"/>
    <w:rsid w:val="00AA2EEF"/>
    <w:rsid w:val="00AB2B2B"/>
    <w:rsid w:val="00AB618B"/>
    <w:rsid w:val="00AD4AA3"/>
    <w:rsid w:val="00AE281E"/>
    <w:rsid w:val="00AE71CA"/>
    <w:rsid w:val="00AF6033"/>
    <w:rsid w:val="00B247B0"/>
    <w:rsid w:val="00B359F6"/>
    <w:rsid w:val="00B40CD0"/>
    <w:rsid w:val="00B4490C"/>
    <w:rsid w:val="00B50477"/>
    <w:rsid w:val="00B55100"/>
    <w:rsid w:val="00B577C5"/>
    <w:rsid w:val="00B62352"/>
    <w:rsid w:val="00B71FA2"/>
    <w:rsid w:val="00B7689C"/>
    <w:rsid w:val="00B82B5F"/>
    <w:rsid w:val="00B84654"/>
    <w:rsid w:val="00B95793"/>
    <w:rsid w:val="00BB2E20"/>
    <w:rsid w:val="00BB5D3E"/>
    <w:rsid w:val="00BC1A5E"/>
    <w:rsid w:val="00BC7BC0"/>
    <w:rsid w:val="00BC7D66"/>
    <w:rsid w:val="00BD36BB"/>
    <w:rsid w:val="00BD460C"/>
    <w:rsid w:val="00C064F9"/>
    <w:rsid w:val="00C11CFA"/>
    <w:rsid w:val="00C215FD"/>
    <w:rsid w:val="00C22334"/>
    <w:rsid w:val="00C31862"/>
    <w:rsid w:val="00C37D8B"/>
    <w:rsid w:val="00C54AE8"/>
    <w:rsid w:val="00C5519D"/>
    <w:rsid w:val="00C63AFD"/>
    <w:rsid w:val="00C645A9"/>
    <w:rsid w:val="00C73176"/>
    <w:rsid w:val="00C87EC1"/>
    <w:rsid w:val="00C95591"/>
    <w:rsid w:val="00CA65A8"/>
    <w:rsid w:val="00CB25CF"/>
    <w:rsid w:val="00CB65F3"/>
    <w:rsid w:val="00CC2E36"/>
    <w:rsid w:val="00CD7112"/>
    <w:rsid w:val="00CE678E"/>
    <w:rsid w:val="00D03E46"/>
    <w:rsid w:val="00D03EDF"/>
    <w:rsid w:val="00D23699"/>
    <w:rsid w:val="00D316C2"/>
    <w:rsid w:val="00D4171B"/>
    <w:rsid w:val="00D42A57"/>
    <w:rsid w:val="00D433D9"/>
    <w:rsid w:val="00D44A66"/>
    <w:rsid w:val="00D5579D"/>
    <w:rsid w:val="00D57404"/>
    <w:rsid w:val="00D61809"/>
    <w:rsid w:val="00D636A0"/>
    <w:rsid w:val="00D654CD"/>
    <w:rsid w:val="00D81295"/>
    <w:rsid w:val="00D8355A"/>
    <w:rsid w:val="00D87D35"/>
    <w:rsid w:val="00D93EA1"/>
    <w:rsid w:val="00DA165A"/>
    <w:rsid w:val="00DA441E"/>
    <w:rsid w:val="00DA7213"/>
    <w:rsid w:val="00DB3572"/>
    <w:rsid w:val="00DD55B2"/>
    <w:rsid w:val="00E074A8"/>
    <w:rsid w:val="00E23E6B"/>
    <w:rsid w:val="00E31835"/>
    <w:rsid w:val="00E35B9F"/>
    <w:rsid w:val="00E551B8"/>
    <w:rsid w:val="00E61965"/>
    <w:rsid w:val="00E66815"/>
    <w:rsid w:val="00E75C97"/>
    <w:rsid w:val="00E8007B"/>
    <w:rsid w:val="00E806FC"/>
    <w:rsid w:val="00E85BCC"/>
    <w:rsid w:val="00E8617E"/>
    <w:rsid w:val="00E90A62"/>
    <w:rsid w:val="00E927F7"/>
    <w:rsid w:val="00EA35C3"/>
    <w:rsid w:val="00EB5042"/>
    <w:rsid w:val="00EC0171"/>
    <w:rsid w:val="00EC0FBA"/>
    <w:rsid w:val="00EC3B9C"/>
    <w:rsid w:val="00EC4265"/>
    <w:rsid w:val="00EE73FE"/>
    <w:rsid w:val="00EF0C92"/>
    <w:rsid w:val="00F07F15"/>
    <w:rsid w:val="00F14A1C"/>
    <w:rsid w:val="00F16816"/>
    <w:rsid w:val="00F228D3"/>
    <w:rsid w:val="00F27506"/>
    <w:rsid w:val="00F3142F"/>
    <w:rsid w:val="00F3155A"/>
    <w:rsid w:val="00F458E5"/>
    <w:rsid w:val="00F47A37"/>
    <w:rsid w:val="00F66018"/>
    <w:rsid w:val="00F76FD9"/>
    <w:rsid w:val="00F8421B"/>
    <w:rsid w:val="00F9226E"/>
    <w:rsid w:val="00F92E10"/>
    <w:rsid w:val="00FB0C88"/>
    <w:rsid w:val="00FB116F"/>
    <w:rsid w:val="00FB7B3F"/>
    <w:rsid w:val="00FC227B"/>
    <w:rsid w:val="00FD3C8E"/>
    <w:rsid w:val="00FD436A"/>
    <w:rsid w:val="00FF6080"/>
    <w:rsid w:val="00FF7E1D"/>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0A1A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footer" w:uiPriority="0"/>
    <w:lsdException w:name="caption"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617E"/>
  </w:style>
  <w:style w:type="paragraph" w:styleId="Heading1">
    <w:name w:val="heading 1"/>
    <w:aliases w:val="ALK_K1,PDS TITLE,Hoofdstuk,NEA1,ADVICE 1,MOVE-it 1,MOVE-it 11,MOVE-it 12,MOVE-it 13,MOVE-it 14,MOVE-it 15"/>
    <w:basedOn w:val="DefaultText"/>
    <w:next w:val="DefaultText"/>
    <w:link w:val="Heading1Char"/>
    <w:qFormat/>
    <w:rsid w:val="00E8617E"/>
    <w:pPr>
      <w:keepNext/>
      <w:keepLines/>
      <w:pageBreakBefore/>
      <w:numPr>
        <w:numId w:val="1"/>
      </w:numPr>
      <w:tabs>
        <w:tab w:val="clear" w:pos="538"/>
        <w:tab w:val="left" w:pos="0"/>
        <w:tab w:val="num" w:pos="360"/>
      </w:tabs>
      <w:spacing w:after="840"/>
      <w:ind w:left="0" w:firstLine="0"/>
      <w:outlineLvl w:val="0"/>
    </w:pPr>
    <w:rPr>
      <w:rFonts w:cs="Arial"/>
      <w:b/>
      <w:bCs/>
      <w:color w:val="006DB6"/>
      <w:sz w:val="36"/>
      <w:szCs w:val="32"/>
    </w:rPr>
  </w:style>
  <w:style w:type="paragraph" w:styleId="Heading2">
    <w:name w:val="heading 2"/>
    <w:aliases w:val="ALK_K2,2 headline,h,headline,h2,Paragraaf,H2,NEA2,A Head,Main header,Annex2,Oscar Faber 2,ADVICE 2"/>
    <w:basedOn w:val="DefaultText"/>
    <w:next w:val="DefaultText"/>
    <w:link w:val="Heading2Char"/>
    <w:qFormat/>
    <w:rsid w:val="00E8617E"/>
    <w:pPr>
      <w:widowControl w:val="0"/>
      <w:numPr>
        <w:numId w:val="2"/>
      </w:numPr>
      <w:tabs>
        <w:tab w:val="left" w:pos="567"/>
      </w:tabs>
      <w:spacing w:before="480" w:after="280"/>
      <w:outlineLvl w:val="1"/>
    </w:pPr>
    <w:rPr>
      <w:rFonts w:cs="Arial"/>
      <w:b/>
      <w:bCs/>
      <w:iCs/>
      <w:color w:val="006DB6"/>
      <w:sz w:val="24"/>
      <w:lang w:val="bg-BG"/>
    </w:rPr>
  </w:style>
  <w:style w:type="paragraph" w:styleId="Heading3">
    <w:name w:val="heading 3"/>
    <w:basedOn w:val="DefaultText"/>
    <w:next w:val="DefaultText"/>
    <w:link w:val="Heading3Char"/>
    <w:qFormat/>
    <w:rsid w:val="00E8617E"/>
    <w:pPr>
      <w:keepNext/>
      <w:keepLines/>
      <w:numPr>
        <w:ilvl w:val="2"/>
        <w:numId w:val="3"/>
      </w:numPr>
      <w:spacing w:before="360" w:after="120"/>
      <w:outlineLvl w:val="2"/>
    </w:pPr>
    <w:rPr>
      <w:rFonts w:cs="Arial"/>
      <w:bCs/>
      <w:i/>
      <w:color w:val="0070C0"/>
      <w:sz w:val="22"/>
      <w:szCs w:val="22"/>
      <w:lang w:val="bg-BG"/>
    </w:rPr>
  </w:style>
  <w:style w:type="paragraph" w:styleId="Heading4">
    <w:name w:val="heading 4"/>
    <w:basedOn w:val="Normal"/>
    <w:next w:val="Normal"/>
    <w:link w:val="Heading4Char"/>
    <w:uiPriority w:val="9"/>
    <w:unhideWhenUsed/>
    <w:qFormat/>
    <w:rsid w:val="00E8617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B55100"/>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LK_K1 Char,PDS TITLE Char,Hoofdstuk Char,NEA1 Char,ADVICE 1 Char,MOVE-it 1 Char,MOVE-it 11 Char,MOVE-it 12 Char,MOVE-it 13 Char,MOVE-it 14 Char,MOVE-it 15 Char"/>
    <w:basedOn w:val="DefaultParagraphFont"/>
    <w:link w:val="Heading1"/>
    <w:rsid w:val="00E8617E"/>
    <w:rPr>
      <w:rFonts w:ascii="Arial" w:eastAsia="Times New Roman" w:hAnsi="Arial" w:cs="Arial"/>
      <w:b/>
      <w:bCs/>
      <w:color w:val="006DB6"/>
      <w:sz w:val="36"/>
      <w:szCs w:val="32"/>
      <w:lang w:val="en-GB" w:eastAsia="nl-NL"/>
    </w:rPr>
  </w:style>
  <w:style w:type="character" w:customStyle="1" w:styleId="Heading2Char">
    <w:name w:val="Heading 2 Char"/>
    <w:aliases w:val="ALK_K2 Char,2 headline Char,h Char,headline Char,h2 Char,Paragraaf Char,H2 Char,NEA2 Char,A Head Char,Main header Char,Annex2 Char,Oscar Faber 2 Char,ADVICE 2 Char"/>
    <w:basedOn w:val="DefaultParagraphFont"/>
    <w:link w:val="Heading2"/>
    <w:rsid w:val="00E8617E"/>
    <w:rPr>
      <w:rFonts w:ascii="Arial" w:eastAsia="Times New Roman" w:hAnsi="Arial" w:cs="Arial"/>
      <w:b/>
      <w:bCs/>
      <w:iCs/>
      <w:color w:val="006DB6"/>
      <w:sz w:val="24"/>
      <w:szCs w:val="24"/>
      <w:lang w:eastAsia="nl-NL"/>
    </w:rPr>
  </w:style>
  <w:style w:type="character" w:customStyle="1" w:styleId="Heading3Char">
    <w:name w:val="Heading 3 Char"/>
    <w:basedOn w:val="DefaultParagraphFont"/>
    <w:link w:val="Heading3"/>
    <w:rsid w:val="00E8617E"/>
    <w:rPr>
      <w:rFonts w:ascii="Arial" w:eastAsia="Times New Roman" w:hAnsi="Arial" w:cs="Arial"/>
      <w:bCs/>
      <w:i/>
      <w:color w:val="0070C0"/>
      <w:lang w:eastAsia="nl-NL"/>
    </w:rPr>
  </w:style>
  <w:style w:type="character" w:customStyle="1" w:styleId="Heading4Char">
    <w:name w:val="Heading 4 Char"/>
    <w:basedOn w:val="DefaultParagraphFont"/>
    <w:link w:val="Heading4"/>
    <w:uiPriority w:val="9"/>
    <w:rsid w:val="00E8617E"/>
    <w:rPr>
      <w:rFonts w:asciiTheme="majorHAnsi" w:eastAsiaTheme="majorEastAsia" w:hAnsiTheme="majorHAnsi" w:cstheme="majorBidi"/>
      <w:i/>
      <w:iCs/>
      <w:color w:val="2E74B5" w:themeColor="accent1" w:themeShade="BF"/>
    </w:rPr>
  </w:style>
  <w:style w:type="paragraph" w:customStyle="1" w:styleId="DefaultText">
    <w:name w:val="Default Text"/>
    <w:basedOn w:val="Normal"/>
    <w:link w:val="DefaultTextChar"/>
    <w:qFormat/>
    <w:rsid w:val="00E8617E"/>
    <w:pPr>
      <w:spacing w:after="0" w:line="280" w:lineRule="atLeast"/>
      <w:jc w:val="both"/>
    </w:pPr>
    <w:rPr>
      <w:rFonts w:ascii="Arial" w:eastAsia="Times New Roman" w:hAnsi="Arial" w:cs="Times New Roman"/>
      <w:sz w:val="18"/>
      <w:szCs w:val="24"/>
      <w:lang w:val="en-GB" w:eastAsia="nl-NL"/>
    </w:rPr>
  </w:style>
  <w:style w:type="character" w:customStyle="1" w:styleId="DefaultTextChar">
    <w:name w:val="Default Text Char"/>
    <w:basedOn w:val="DefaultParagraphFont"/>
    <w:link w:val="DefaultText"/>
    <w:rsid w:val="00E8617E"/>
    <w:rPr>
      <w:rFonts w:ascii="Arial" w:eastAsia="Times New Roman" w:hAnsi="Arial" w:cs="Times New Roman"/>
      <w:sz w:val="18"/>
      <w:szCs w:val="24"/>
      <w:lang w:val="en-GB" w:eastAsia="nl-NL"/>
    </w:rPr>
  </w:style>
  <w:style w:type="paragraph" w:styleId="Header">
    <w:name w:val="header"/>
    <w:basedOn w:val="Normal"/>
    <w:link w:val="HeaderChar"/>
    <w:unhideWhenUsed/>
    <w:rsid w:val="00E8617E"/>
    <w:pPr>
      <w:tabs>
        <w:tab w:val="center" w:pos="4536"/>
        <w:tab w:val="right" w:pos="9072"/>
      </w:tabs>
      <w:spacing w:after="0" w:line="240" w:lineRule="auto"/>
    </w:pPr>
    <w:rPr>
      <w:rFonts w:ascii="Arial" w:eastAsiaTheme="minorEastAsia" w:hAnsi="Arial"/>
      <w:sz w:val="18"/>
      <w:lang w:val="en-GB" w:eastAsia="bg-BG"/>
    </w:rPr>
  </w:style>
  <w:style w:type="character" w:customStyle="1" w:styleId="HeaderChar">
    <w:name w:val="Header Char"/>
    <w:basedOn w:val="DefaultParagraphFont"/>
    <w:link w:val="Header"/>
    <w:rsid w:val="00E8617E"/>
    <w:rPr>
      <w:rFonts w:ascii="Arial" w:eastAsiaTheme="minorEastAsia" w:hAnsi="Arial"/>
      <w:sz w:val="18"/>
      <w:lang w:val="en-GB" w:eastAsia="bg-BG"/>
    </w:rPr>
  </w:style>
  <w:style w:type="paragraph" w:styleId="Footer">
    <w:name w:val="footer"/>
    <w:basedOn w:val="Normal"/>
    <w:link w:val="FooterChar"/>
    <w:unhideWhenUsed/>
    <w:rsid w:val="00E8617E"/>
    <w:pPr>
      <w:tabs>
        <w:tab w:val="center" w:pos="4536"/>
        <w:tab w:val="right" w:pos="9072"/>
      </w:tabs>
      <w:spacing w:after="0" w:line="240" w:lineRule="auto"/>
    </w:pPr>
    <w:rPr>
      <w:rFonts w:ascii="Arial" w:eastAsiaTheme="minorEastAsia" w:hAnsi="Arial"/>
      <w:sz w:val="18"/>
      <w:lang w:val="en-GB" w:eastAsia="bg-BG"/>
    </w:rPr>
  </w:style>
  <w:style w:type="character" w:customStyle="1" w:styleId="FooterChar">
    <w:name w:val="Footer Char"/>
    <w:basedOn w:val="DefaultParagraphFont"/>
    <w:link w:val="Footer"/>
    <w:rsid w:val="00E8617E"/>
    <w:rPr>
      <w:rFonts w:ascii="Arial" w:eastAsiaTheme="minorEastAsia" w:hAnsi="Arial"/>
      <w:sz w:val="18"/>
      <w:lang w:val="en-GB" w:eastAsia="bg-BG"/>
    </w:rPr>
  </w:style>
  <w:style w:type="paragraph" w:styleId="TOC1">
    <w:name w:val="toc 1"/>
    <w:basedOn w:val="Normal"/>
    <w:next w:val="Normal"/>
    <w:autoRedefine/>
    <w:uiPriority w:val="39"/>
    <w:unhideWhenUsed/>
    <w:rsid w:val="00E8617E"/>
    <w:pPr>
      <w:tabs>
        <w:tab w:val="left" w:pos="440"/>
        <w:tab w:val="left" w:pos="1100"/>
        <w:tab w:val="right" w:leader="dot" w:pos="9204"/>
      </w:tabs>
      <w:spacing w:after="120" w:line="280" w:lineRule="atLeast"/>
    </w:pPr>
    <w:rPr>
      <w:rFonts w:eastAsiaTheme="minorEastAsia"/>
      <w:b/>
      <w:noProof/>
      <w:color w:val="006DB6"/>
      <w:lang w:eastAsia="bg-BG"/>
    </w:rPr>
  </w:style>
  <w:style w:type="paragraph" w:styleId="TOC2">
    <w:name w:val="toc 2"/>
    <w:basedOn w:val="Normal"/>
    <w:next w:val="Normal"/>
    <w:autoRedefine/>
    <w:uiPriority w:val="39"/>
    <w:unhideWhenUsed/>
    <w:rsid w:val="00E8617E"/>
    <w:pPr>
      <w:tabs>
        <w:tab w:val="left" w:pos="993"/>
        <w:tab w:val="right" w:leader="dot" w:pos="9204"/>
      </w:tabs>
      <w:spacing w:after="100" w:line="276" w:lineRule="auto"/>
      <w:ind w:left="490"/>
    </w:pPr>
    <w:rPr>
      <w:rFonts w:ascii="Arial" w:eastAsiaTheme="minorEastAsia" w:hAnsi="Arial" w:cs="Arial"/>
      <w:noProof/>
      <w:sz w:val="20"/>
      <w:szCs w:val="20"/>
      <w:lang w:eastAsia="bg-BG"/>
    </w:rPr>
  </w:style>
  <w:style w:type="character" w:styleId="Hyperlink">
    <w:name w:val="Hyperlink"/>
    <w:basedOn w:val="DefaultParagraphFont"/>
    <w:uiPriority w:val="99"/>
    <w:unhideWhenUsed/>
    <w:rsid w:val="00E8617E"/>
    <w:rPr>
      <w:color w:val="0563C1" w:themeColor="hyperlink"/>
      <w:u w:val="single"/>
    </w:rPr>
  </w:style>
  <w:style w:type="paragraph" w:styleId="TableofFigures">
    <w:name w:val="table of figures"/>
    <w:basedOn w:val="Normal"/>
    <w:next w:val="Normal"/>
    <w:uiPriority w:val="99"/>
    <w:unhideWhenUsed/>
    <w:rsid w:val="00E8617E"/>
    <w:pPr>
      <w:spacing w:after="0" w:line="276" w:lineRule="auto"/>
    </w:pPr>
    <w:rPr>
      <w:rFonts w:eastAsiaTheme="minorEastAsia"/>
      <w:lang w:eastAsia="bg-BG"/>
    </w:rPr>
  </w:style>
  <w:style w:type="paragraph" w:styleId="TOC3">
    <w:name w:val="toc 3"/>
    <w:basedOn w:val="Normal"/>
    <w:next w:val="Normal"/>
    <w:autoRedefine/>
    <w:uiPriority w:val="39"/>
    <w:unhideWhenUsed/>
    <w:rsid w:val="00E8617E"/>
    <w:pPr>
      <w:tabs>
        <w:tab w:val="right" w:leader="dot" w:pos="9060"/>
      </w:tabs>
      <w:spacing w:before="120" w:after="120"/>
      <w:ind w:left="993"/>
    </w:pPr>
    <w:rPr>
      <w:i/>
      <w:sz w:val="20"/>
    </w:rPr>
  </w:style>
  <w:style w:type="table" w:customStyle="1" w:styleId="PlainTable41">
    <w:name w:val="Plain Table 41"/>
    <w:basedOn w:val="TableNormal"/>
    <w:uiPriority w:val="44"/>
    <w:rsid w:val="00E8617E"/>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
    <w:link w:val="FootnoteText"/>
    <w:uiPriority w:val="99"/>
    <w:locked/>
    <w:rsid w:val="00E8617E"/>
    <w:rPr>
      <w:rFonts w:ascii="Times New Roman" w:eastAsia="Times New Roman" w:hAnsi="Times New Roman" w:cs="Times New Roman"/>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Podrozdział"/>
    <w:basedOn w:val="Normal"/>
    <w:link w:val="FootnoteTextChar"/>
    <w:uiPriority w:val="99"/>
    <w:unhideWhenUsed/>
    <w:qFormat/>
    <w:rsid w:val="00E8617E"/>
    <w:pPr>
      <w:spacing w:after="0" w:line="240" w:lineRule="auto"/>
    </w:pPr>
    <w:rPr>
      <w:rFonts w:ascii="Times New Roman" w:eastAsia="Times New Roman" w:hAnsi="Times New Roman" w:cs="Times New Roman"/>
    </w:rPr>
  </w:style>
  <w:style w:type="character" w:customStyle="1" w:styleId="FootnoteTextChar1">
    <w:name w:val="Footnote Text Char1"/>
    <w:basedOn w:val="DefaultParagraphFont"/>
    <w:uiPriority w:val="99"/>
    <w:semiHidden/>
    <w:rsid w:val="00E8617E"/>
    <w:rPr>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ussnot"/>
    <w:link w:val="CharCharCharCharCarChar"/>
    <w:uiPriority w:val="99"/>
    <w:unhideWhenUsed/>
    <w:rsid w:val="00E8617E"/>
    <w:rPr>
      <w:vertAlign w:val="superscript"/>
    </w:rPr>
  </w:style>
  <w:style w:type="paragraph" w:customStyle="1" w:styleId="CharCharCharCharCarChar">
    <w:name w:val="Char Char Char Char Car Char"/>
    <w:aliases w:val="Char Char,Char Char Char Char Car Char Char1,Char Char Char1,16 Point Char1,Superscript 6 Point Char1,ftref Char1,Char Char Char1 Char Char Char"/>
    <w:basedOn w:val="Normal"/>
    <w:next w:val="Normal"/>
    <w:link w:val="FootnoteReference"/>
    <w:uiPriority w:val="99"/>
    <w:rsid w:val="00E8617E"/>
    <w:pPr>
      <w:spacing w:line="240" w:lineRule="exact"/>
    </w:pPr>
    <w:rPr>
      <w:vertAlign w:val="superscript"/>
    </w:rPr>
  </w:style>
  <w:style w:type="paragraph" w:styleId="ListParagraph">
    <w:name w:val="List Paragraph"/>
    <w:aliases w:val="Lettre d'introduction,List Paragraph1,1st level - Bullet List Paragraph,Table of contents numbered,Bullet Points,Liste Paragraf,Llista Nivell1,Lista de nivel 1,Paragraphe de liste PBLH,En tête 1,List Paragraph in table,Akapit z listą"/>
    <w:basedOn w:val="Normal"/>
    <w:link w:val="ListParagraphChar"/>
    <w:uiPriority w:val="34"/>
    <w:qFormat/>
    <w:rsid w:val="00E8617E"/>
    <w:pPr>
      <w:ind w:left="720"/>
      <w:contextualSpacing/>
    </w:pPr>
  </w:style>
  <w:style w:type="character" w:customStyle="1" w:styleId="ListParagraphChar">
    <w:name w:val="List Paragraph Char"/>
    <w:aliases w:val="Lettre d'introduction Char,List Paragraph1 Char,1st level - Bullet List Paragraph Char,Table of contents numbered Char,Bullet Points Char,Liste Paragraf Char,Llista Nivell1 Char,Lista de nivel 1 Char,Paragraphe de liste PBLH Char"/>
    <w:link w:val="ListParagraph"/>
    <w:uiPriority w:val="34"/>
    <w:rsid w:val="00E8617E"/>
  </w:style>
  <w:style w:type="table" w:styleId="TableGrid">
    <w:name w:val="Table Grid"/>
    <w:aliases w:val="TabelEcorys"/>
    <w:basedOn w:val="TableNormal"/>
    <w:rsid w:val="00E8617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99"/>
    <w:unhideWhenUsed/>
    <w:qFormat/>
    <w:rsid w:val="00E8617E"/>
    <w:pPr>
      <w:spacing w:after="200" w:line="240" w:lineRule="auto"/>
    </w:pPr>
    <w:rPr>
      <w:i/>
      <w:iCs/>
      <w:color w:val="44546A" w:themeColor="text2"/>
      <w:sz w:val="18"/>
      <w:szCs w:val="18"/>
    </w:rPr>
  </w:style>
  <w:style w:type="paragraph" w:customStyle="1" w:styleId="Char11">
    <w:name w:val="Char11"/>
    <w:basedOn w:val="Normal"/>
    <w:rsid w:val="00E8617E"/>
    <w:pPr>
      <w:tabs>
        <w:tab w:val="left" w:pos="709"/>
      </w:tabs>
      <w:spacing w:after="0" w:line="240" w:lineRule="auto"/>
    </w:pPr>
    <w:rPr>
      <w:rFonts w:ascii="Tahoma" w:eastAsia="Times New Roman" w:hAnsi="Tahoma" w:cs="Times New Roman"/>
      <w:sz w:val="24"/>
      <w:szCs w:val="24"/>
      <w:lang w:val="pl-PL" w:eastAsia="pl-PL"/>
    </w:rPr>
  </w:style>
  <w:style w:type="paragraph" w:styleId="NormalWeb">
    <w:name w:val="Normal (Web)"/>
    <w:basedOn w:val="Normal"/>
    <w:uiPriority w:val="99"/>
    <w:unhideWhenUsed/>
    <w:rsid w:val="00E8617E"/>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styleId="CommentReference">
    <w:name w:val="annotation reference"/>
    <w:basedOn w:val="DefaultParagraphFont"/>
    <w:uiPriority w:val="99"/>
    <w:semiHidden/>
    <w:unhideWhenUsed/>
    <w:rsid w:val="00E8617E"/>
    <w:rPr>
      <w:sz w:val="16"/>
      <w:szCs w:val="16"/>
    </w:rPr>
  </w:style>
  <w:style w:type="paragraph" w:styleId="CommentText">
    <w:name w:val="annotation text"/>
    <w:basedOn w:val="Normal"/>
    <w:link w:val="CommentTextChar"/>
    <w:uiPriority w:val="99"/>
    <w:unhideWhenUsed/>
    <w:rsid w:val="00E8617E"/>
    <w:pPr>
      <w:spacing w:line="240" w:lineRule="auto"/>
    </w:pPr>
    <w:rPr>
      <w:sz w:val="20"/>
      <w:szCs w:val="20"/>
    </w:rPr>
  </w:style>
  <w:style w:type="character" w:customStyle="1" w:styleId="CommentTextChar">
    <w:name w:val="Comment Text Char"/>
    <w:basedOn w:val="DefaultParagraphFont"/>
    <w:link w:val="CommentText"/>
    <w:uiPriority w:val="99"/>
    <w:rsid w:val="00E8617E"/>
    <w:rPr>
      <w:sz w:val="20"/>
      <w:szCs w:val="20"/>
    </w:rPr>
  </w:style>
  <w:style w:type="paragraph" w:styleId="CommentSubject">
    <w:name w:val="annotation subject"/>
    <w:basedOn w:val="CommentText"/>
    <w:next w:val="CommentText"/>
    <w:link w:val="CommentSubjectChar"/>
    <w:uiPriority w:val="99"/>
    <w:semiHidden/>
    <w:unhideWhenUsed/>
    <w:rsid w:val="00E8617E"/>
    <w:rPr>
      <w:b/>
      <w:bCs/>
    </w:rPr>
  </w:style>
  <w:style w:type="character" w:customStyle="1" w:styleId="CommentSubjectChar">
    <w:name w:val="Comment Subject Char"/>
    <w:basedOn w:val="CommentTextChar"/>
    <w:link w:val="CommentSubject"/>
    <w:uiPriority w:val="99"/>
    <w:semiHidden/>
    <w:rsid w:val="00E8617E"/>
    <w:rPr>
      <w:b/>
      <w:bCs/>
      <w:sz w:val="20"/>
      <w:szCs w:val="20"/>
    </w:rPr>
  </w:style>
  <w:style w:type="paragraph" w:styleId="Revision">
    <w:name w:val="Revision"/>
    <w:hidden/>
    <w:uiPriority w:val="99"/>
    <w:semiHidden/>
    <w:rsid w:val="00E8617E"/>
    <w:pPr>
      <w:spacing w:after="0" w:line="240" w:lineRule="auto"/>
    </w:pPr>
  </w:style>
  <w:style w:type="paragraph" w:styleId="BalloonText">
    <w:name w:val="Balloon Text"/>
    <w:basedOn w:val="Normal"/>
    <w:link w:val="BalloonTextChar"/>
    <w:uiPriority w:val="99"/>
    <w:semiHidden/>
    <w:unhideWhenUsed/>
    <w:rsid w:val="00E8617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617E"/>
    <w:rPr>
      <w:rFonts w:ascii="Segoe UI" w:hAnsi="Segoe UI" w:cs="Segoe UI"/>
      <w:sz w:val="18"/>
      <w:szCs w:val="18"/>
    </w:rPr>
  </w:style>
  <w:style w:type="paragraph" w:customStyle="1" w:styleId="Default">
    <w:name w:val="Default"/>
    <w:rsid w:val="00E8617E"/>
    <w:pPr>
      <w:autoSpaceDE w:val="0"/>
      <w:autoSpaceDN w:val="0"/>
      <w:adjustRightInd w:val="0"/>
      <w:spacing w:after="0" w:line="240" w:lineRule="auto"/>
    </w:pPr>
    <w:rPr>
      <w:rFonts w:ascii="Arial" w:hAnsi="Arial" w:cs="Arial"/>
      <w:color w:val="000000"/>
      <w:sz w:val="24"/>
      <w:szCs w:val="24"/>
    </w:rPr>
  </w:style>
  <w:style w:type="character" w:customStyle="1" w:styleId="textexposedshow">
    <w:name w:val="text_exposed_show"/>
    <w:basedOn w:val="DefaultParagraphFont"/>
    <w:rsid w:val="00E8617E"/>
  </w:style>
  <w:style w:type="character" w:styleId="FollowedHyperlink">
    <w:name w:val="FollowedHyperlink"/>
    <w:basedOn w:val="DefaultParagraphFont"/>
    <w:uiPriority w:val="99"/>
    <w:semiHidden/>
    <w:unhideWhenUsed/>
    <w:rsid w:val="00E8617E"/>
    <w:rPr>
      <w:color w:val="954F72" w:themeColor="followedHyperlink"/>
      <w:u w:val="single"/>
    </w:rPr>
  </w:style>
  <w:style w:type="paragraph" w:customStyle="1" w:styleId="CharCharCharCharCharCharCharCharCharCharCharChar">
    <w:name w:val="Char Char Char Char Char Char Char Char Char Char Char Char"/>
    <w:basedOn w:val="Normal"/>
    <w:rsid w:val="00E8617E"/>
    <w:pPr>
      <w:tabs>
        <w:tab w:val="left" w:pos="709"/>
      </w:tabs>
      <w:spacing w:after="0" w:line="240" w:lineRule="auto"/>
    </w:pPr>
    <w:rPr>
      <w:rFonts w:ascii="Tahoma" w:eastAsia="Times New Roman" w:hAnsi="Tahoma" w:cs="Times New Roman"/>
      <w:sz w:val="24"/>
      <w:szCs w:val="24"/>
      <w:lang w:val="pl-PL" w:eastAsia="pl-PL"/>
    </w:rPr>
  </w:style>
  <w:style w:type="paragraph" w:styleId="TOC4">
    <w:name w:val="toc 4"/>
    <w:basedOn w:val="Normal"/>
    <w:next w:val="Normal"/>
    <w:autoRedefine/>
    <w:uiPriority w:val="39"/>
    <w:unhideWhenUsed/>
    <w:rsid w:val="00E8617E"/>
    <w:pPr>
      <w:spacing w:after="100"/>
      <w:ind w:left="660"/>
    </w:pPr>
    <w:rPr>
      <w:rFonts w:eastAsiaTheme="minorEastAsia"/>
      <w:lang w:eastAsia="bg-BG"/>
    </w:rPr>
  </w:style>
  <w:style w:type="paragraph" w:styleId="TOC5">
    <w:name w:val="toc 5"/>
    <w:basedOn w:val="Normal"/>
    <w:next w:val="Normal"/>
    <w:autoRedefine/>
    <w:uiPriority w:val="39"/>
    <w:unhideWhenUsed/>
    <w:rsid w:val="00E8617E"/>
    <w:pPr>
      <w:spacing w:after="100"/>
      <w:ind w:left="880"/>
    </w:pPr>
    <w:rPr>
      <w:rFonts w:eastAsiaTheme="minorEastAsia"/>
      <w:lang w:eastAsia="bg-BG"/>
    </w:rPr>
  </w:style>
  <w:style w:type="paragraph" w:styleId="TOC6">
    <w:name w:val="toc 6"/>
    <w:basedOn w:val="Normal"/>
    <w:next w:val="Normal"/>
    <w:autoRedefine/>
    <w:uiPriority w:val="39"/>
    <w:unhideWhenUsed/>
    <w:rsid w:val="00E8617E"/>
    <w:pPr>
      <w:spacing w:after="100"/>
      <w:ind w:left="1100"/>
    </w:pPr>
    <w:rPr>
      <w:rFonts w:eastAsiaTheme="minorEastAsia"/>
      <w:lang w:eastAsia="bg-BG"/>
    </w:rPr>
  </w:style>
  <w:style w:type="paragraph" w:styleId="TOC7">
    <w:name w:val="toc 7"/>
    <w:basedOn w:val="Normal"/>
    <w:next w:val="Normal"/>
    <w:autoRedefine/>
    <w:uiPriority w:val="39"/>
    <w:unhideWhenUsed/>
    <w:rsid w:val="00E8617E"/>
    <w:pPr>
      <w:spacing w:after="100"/>
      <w:ind w:left="1320"/>
    </w:pPr>
    <w:rPr>
      <w:rFonts w:eastAsiaTheme="minorEastAsia"/>
      <w:lang w:eastAsia="bg-BG"/>
    </w:rPr>
  </w:style>
  <w:style w:type="paragraph" w:styleId="TOC8">
    <w:name w:val="toc 8"/>
    <w:basedOn w:val="Normal"/>
    <w:next w:val="Normal"/>
    <w:autoRedefine/>
    <w:uiPriority w:val="39"/>
    <w:unhideWhenUsed/>
    <w:rsid w:val="00E8617E"/>
    <w:pPr>
      <w:spacing w:after="100"/>
      <w:ind w:left="1540"/>
    </w:pPr>
    <w:rPr>
      <w:rFonts w:eastAsiaTheme="minorEastAsia"/>
      <w:lang w:eastAsia="bg-BG"/>
    </w:rPr>
  </w:style>
  <w:style w:type="paragraph" w:styleId="TOC9">
    <w:name w:val="toc 9"/>
    <w:basedOn w:val="Normal"/>
    <w:next w:val="Normal"/>
    <w:autoRedefine/>
    <w:uiPriority w:val="39"/>
    <w:unhideWhenUsed/>
    <w:rsid w:val="00E8617E"/>
    <w:pPr>
      <w:spacing w:after="100"/>
      <w:ind w:left="1760"/>
    </w:pPr>
    <w:rPr>
      <w:rFonts w:eastAsiaTheme="minorEastAsia"/>
      <w:lang w:eastAsia="bg-BG"/>
    </w:rPr>
  </w:style>
  <w:style w:type="table" w:customStyle="1" w:styleId="GridTable1Light-Accent11">
    <w:name w:val="Grid Table 1 Light - Accent 11"/>
    <w:basedOn w:val="TableNormal"/>
    <w:uiPriority w:val="46"/>
    <w:rsid w:val="00E8617E"/>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BodyText">
    <w:name w:val="Body Text"/>
    <w:basedOn w:val="Normal"/>
    <w:link w:val="BodyTextChar"/>
    <w:rsid w:val="00E8617E"/>
    <w:pPr>
      <w:spacing w:after="120" w:line="240" w:lineRule="auto"/>
      <w:ind w:firstLine="720"/>
      <w:jc w:val="both"/>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E8617E"/>
    <w:rPr>
      <w:rFonts w:ascii="Times New Roman" w:eastAsia="Times New Roman" w:hAnsi="Times New Roman" w:cs="Times New Roman"/>
      <w:sz w:val="24"/>
      <w:szCs w:val="20"/>
    </w:rPr>
  </w:style>
  <w:style w:type="paragraph" w:customStyle="1" w:styleId="CharCharZchnZchnChar">
    <w:name w:val="Знак Знак Char Char Zchn Zchn Знак Знак Char"/>
    <w:basedOn w:val="Normal"/>
    <w:rsid w:val="00E8617E"/>
    <w:pPr>
      <w:suppressAutoHyphens/>
      <w:spacing w:line="240" w:lineRule="exact"/>
    </w:pPr>
    <w:rPr>
      <w:rFonts w:ascii="Tahoma" w:eastAsia="Times New Roman" w:hAnsi="Tahoma" w:cs="Times New Roman"/>
      <w:sz w:val="20"/>
      <w:szCs w:val="20"/>
      <w:lang w:val="en-US" w:eastAsia="ar-SA"/>
    </w:rPr>
  </w:style>
  <w:style w:type="paragraph" w:customStyle="1" w:styleId="Title1">
    <w:name w:val="Title1"/>
    <w:basedOn w:val="Normal"/>
    <w:rsid w:val="00E8617E"/>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newdocreference">
    <w:name w:val="newdocreference"/>
    <w:basedOn w:val="DefaultParagraphFont"/>
    <w:rsid w:val="00E8617E"/>
  </w:style>
  <w:style w:type="table" w:customStyle="1" w:styleId="TableGridLight1">
    <w:name w:val="Table Grid Light1"/>
    <w:basedOn w:val="TableNormal"/>
    <w:uiPriority w:val="40"/>
    <w:rsid w:val="00E8617E"/>
    <w:pPr>
      <w:spacing w:after="0" w:line="240" w:lineRule="auto"/>
    </w:pPr>
    <w:rPr>
      <w:rFonts w:eastAsiaTheme="minorEastAsi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Emphasis">
    <w:name w:val="Emphasis"/>
    <w:basedOn w:val="DefaultParagraphFont"/>
    <w:uiPriority w:val="20"/>
    <w:qFormat/>
    <w:rsid w:val="00E8617E"/>
    <w:rPr>
      <w:i/>
      <w:iCs/>
    </w:rPr>
  </w:style>
  <w:style w:type="paragraph" w:customStyle="1" w:styleId="Filter">
    <w:name w:val="Filter"/>
    <w:basedOn w:val="Normal"/>
    <w:autoRedefine/>
    <w:rsid w:val="00922731"/>
    <w:pPr>
      <w:framePr w:hSpace="181" w:wrap="around" w:vAnchor="text" w:hAnchor="text" w:xAlign="center" w:y="1"/>
      <w:spacing w:before="120" w:after="0" w:line="240" w:lineRule="auto"/>
      <w:suppressOverlap/>
    </w:pPr>
    <w:rPr>
      <w:rFonts w:eastAsia="Times New Roman" w:cs="Times New Roman"/>
      <w:b/>
      <w:color w:val="000000"/>
      <w:sz w:val="18"/>
      <w:szCs w:val="20"/>
      <w:lang w:val="en-US"/>
    </w:rPr>
  </w:style>
  <w:style w:type="paragraph" w:customStyle="1" w:styleId="DocumentTitle">
    <w:name w:val="Document Title"/>
    <w:basedOn w:val="Normal"/>
    <w:rsid w:val="00922731"/>
    <w:pPr>
      <w:spacing w:after="720" w:line="240" w:lineRule="auto"/>
      <w:jc w:val="center"/>
    </w:pPr>
    <w:rPr>
      <w:rFonts w:eastAsia="Times New Roman" w:cs="Times New Roman"/>
      <w:b/>
      <w:bCs/>
      <w:color w:val="000000"/>
      <w:sz w:val="28"/>
      <w:szCs w:val="20"/>
      <w:lang w:val="en-US"/>
    </w:rPr>
  </w:style>
  <w:style w:type="paragraph" w:customStyle="1" w:styleId="ParagrahAnswer">
    <w:name w:val="ParagrahAnswer"/>
    <w:basedOn w:val="Normal"/>
    <w:autoRedefine/>
    <w:rsid w:val="00922731"/>
    <w:pPr>
      <w:keepLines/>
      <w:spacing w:before="60" w:after="60" w:line="240" w:lineRule="auto"/>
    </w:pPr>
    <w:rPr>
      <w:rFonts w:eastAsia="Times New Roman" w:cs="Times New Roman"/>
      <w:noProof/>
      <w:sz w:val="18"/>
      <w:szCs w:val="24"/>
      <w:lang w:val="en-US"/>
    </w:rPr>
  </w:style>
  <w:style w:type="paragraph" w:customStyle="1" w:styleId="QuestionString">
    <w:name w:val="QuestionString"/>
    <w:basedOn w:val="Normal"/>
    <w:next w:val="Normal"/>
    <w:autoRedefine/>
    <w:rsid w:val="0049526E"/>
    <w:pPr>
      <w:keepNext/>
      <w:keepLines/>
      <w:spacing w:after="60" w:line="240" w:lineRule="auto"/>
    </w:pPr>
    <w:rPr>
      <w:rFonts w:eastAsia="Times New Roman" w:cs="Times New Roman"/>
      <w:b/>
      <w:noProof/>
      <w:szCs w:val="24"/>
      <w:lang w:val="nl-BE"/>
    </w:rPr>
  </w:style>
  <w:style w:type="paragraph" w:customStyle="1" w:styleId="SubQuestionString">
    <w:name w:val="SubQuestionString"/>
    <w:basedOn w:val="Normal"/>
    <w:next w:val="Normal"/>
    <w:autoRedefine/>
    <w:rsid w:val="00922731"/>
    <w:pPr>
      <w:numPr>
        <w:numId w:val="51"/>
      </w:numPr>
      <w:tabs>
        <w:tab w:val="left" w:pos="284"/>
      </w:tabs>
      <w:spacing w:after="60" w:line="240" w:lineRule="auto"/>
    </w:pPr>
    <w:rPr>
      <w:rFonts w:eastAsia="Times New Roman" w:cs="Times New Roman"/>
      <w:noProof/>
      <w:sz w:val="20"/>
      <w:szCs w:val="24"/>
      <w:lang w:val="nl-BE"/>
    </w:rPr>
  </w:style>
  <w:style w:type="paragraph" w:customStyle="1" w:styleId="ChartTableHeader">
    <w:name w:val="ChartTableHeader"/>
    <w:basedOn w:val="Normal"/>
    <w:next w:val="Normal"/>
    <w:autoRedefine/>
    <w:rsid w:val="00922731"/>
    <w:pPr>
      <w:keepLines/>
      <w:spacing w:before="60" w:after="60" w:line="240" w:lineRule="auto"/>
    </w:pPr>
    <w:rPr>
      <w:rFonts w:eastAsia="Times New Roman" w:cs="Times New Roman"/>
      <w:b/>
      <w:noProof/>
      <w:sz w:val="20"/>
      <w:szCs w:val="24"/>
      <w:lang w:val="nl-BE"/>
    </w:rPr>
  </w:style>
  <w:style w:type="paragraph" w:customStyle="1" w:styleId="ChartTableFooter">
    <w:name w:val="ChartTableFooter"/>
    <w:basedOn w:val="ChartTableHeader"/>
    <w:autoRedefine/>
    <w:rsid w:val="00922731"/>
    <w:pPr>
      <w:jc w:val="right"/>
    </w:pPr>
  </w:style>
  <w:style w:type="paragraph" w:customStyle="1" w:styleId="ExplanationParagrah">
    <w:name w:val="ExplanationParagrah"/>
    <w:basedOn w:val="Normal"/>
    <w:autoRedefine/>
    <w:rsid w:val="00922731"/>
    <w:pPr>
      <w:keepNext/>
      <w:keepLines/>
      <w:spacing w:after="60" w:line="240" w:lineRule="auto"/>
      <w:ind w:left="284"/>
    </w:pPr>
    <w:rPr>
      <w:rFonts w:eastAsia="Times New Roman" w:cs="Times New Roman"/>
      <w:noProof/>
      <w:sz w:val="16"/>
      <w:szCs w:val="24"/>
      <w:lang w:val="nl-BE"/>
    </w:rPr>
  </w:style>
  <w:style w:type="character" w:customStyle="1" w:styleId="Heading5Char">
    <w:name w:val="Heading 5 Char"/>
    <w:basedOn w:val="DefaultParagraphFont"/>
    <w:link w:val="Heading5"/>
    <w:uiPriority w:val="9"/>
    <w:rsid w:val="00B55100"/>
    <w:rPr>
      <w:rFonts w:asciiTheme="majorHAnsi" w:eastAsiaTheme="majorEastAsia" w:hAnsiTheme="majorHAnsi" w:cstheme="majorBidi"/>
      <w:color w:val="2E74B5" w:themeColor="accent1" w:themeShade="BF"/>
    </w:rPr>
  </w:style>
  <w:style w:type="character" w:customStyle="1" w:styleId="1">
    <w:name w:val="Неразрешено споменаване1"/>
    <w:basedOn w:val="DefaultParagraphFont"/>
    <w:uiPriority w:val="99"/>
    <w:semiHidden/>
    <w:unhideWhenUsed/>
    <w:rsid w:val="00BB5D3E"/>
    <w:rPr>
      <w:color w:val="808080"/>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header" w:uiPriority="0"/>
    <w:lsdException w:name="footer" w:uiPriority="0"/>
    <w:lsdException w:name="caption"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8617E"/>
  </w:style>
  <w:style w:type="paragraph" w:styleId="Heading1">
    <w:name w:val="heading 1"/>
    <w:aliases w:val="ALK_K1,PDS TITLE,Hoofdstuk,NEA1,ADVICE 1,MOVE-it 1,MOVE-it 11,MOVE-it 12,MOVE-it 13,MOVE-it 14,MOVE-it 15"/>
    <w:basedOn w:val="DefaultText"/>
    <w:next w:val="DefaultText"/>
    <w:link w:val="Heading1Char"/>
    <w:qFormat/>
    <w:rsid w:val="00E8617E"/>
    <w:pPr>
      <w:keepNext/>
      <w:keepLines/>
      <w:pageBreakBefore/>
      <w:numPr>
        <w:numId w:val="1"/>
      </w:numPr>
      <w:tabs>
        <w:tab w:val="clear" w:pos="538"/>
        <w:tab w:val="left" w:pos="0"/>
        <w:tab w:val="num" w:pos="360"/>
      </w:tabs>
      <w:spacing w:after="840"/>
      <w:ind w:left="0" w:firstLine="0"/>
      <w:outlineLvl w:val="0"/>
    </w:pPr>
    <w:rPr>
      <w:rFonts w:cs="Arial"/>
      <w:b/>
      <w:bCs/>
      <w:color w:val="006DB6"/>
      <w:sz w:val="36"/>
      <w:szCs w:val="32"/>
    </w:rPr>
  </w:style>
  <w:style w:type="paragraph" w:styleId="Heading2">
    <w:name w:val="heading 2"/>
    <w:aliases w:val="ALK_K2,2 headline,h,headline,h2,Paragraaf,H2,NEA2,A Head,Main header,Annex2,Oscar Faber 2,ADVICE 2"/>
    <w:basedOn w:val="DefaultText"/>
    <w:next w:val="DefaultText"/>
    <w:link w:val="Heading2Char"/>
    <w:qFormat/>
    <w:rsid w:val="00E8617E"/>
    <w:pPr>
      <w:widowControl w:val="0"/>
      <w:numPr>
        <w:numId w:val="2"/>
      </w:numPr>
      <w:tabs>
        <w:tab w:val="left" w:pos="567"/>
      </w:tabs>
      <w:spacing w:before="480" w:after="280"/>
      <w:outlineLvl w:val="1"/>
    </w:pPr>
    <w:rPr>
      <w:rFonts w:cs="Arial"/>
      <w:b/>
      <w:bCs/>
      <w:iCs/>
      <w:color w:val="006DB6"/>
      <w:sz w:val="24"/>
      <w:lang w:val="bg-BG"/>
    </w:rPr>
  </w:style>
  <w:style w:type="paragraph" w:styleId="Heading3">
    <w:name w:val="heading 3"/>
    <w:basedOn w:val="DefaultText"/>
    <w:next w:val="DefaultText"/>
    <w:link w:val="Heading3Char"/>
    <w:qFormat/>
    <w:rsid w:val="00E8617E"/>
    <w:pPr>
      <w:keepNext/>
      <w:keepLines/>
      <w:numPr>
        <w:ilvl w:val="2"/>
        <w:numId w:val="3"/>
      </w:numPr>
      <w:spacing w:before="360" w:after="120"/>
      <w:outlineLvl w:val="2"/>
    </w:pPr>
    <w:rPr>
      <w:rFonts w:cs="Arial"/>
      <w:bCs/>
      <w:i/>
      <w:color w:val="0070C0"/>
      <w:sz w:val="22"/>
      <w:szCs w:val="22"/>
      <w:lang w:val="bg-BG"/>
    </w:rPr>
  </w:style>
  <w:style w:type="paragraph" w:styleId="Heading4">
    <w:name w:val="heading 4"/>
    <w:basedOn w:val="Normal"/>
    <w:next w:val="Normal"/>
    <w:link w:val="Heading4Char"/>
    <w:uiPriority w:val="9"/>
    <w:unhideWhenUsed/>
    <w:qFormat/>
    <w:rsid w:val="00E8617E"/>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B55100"/>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ALK_K1 Char,PDS TITLE Char,Hoofdstuk Char,NEA1 Char,ADVICE 1 Char,MOVE-it 1 Char,MOVE-it 11 Char,MOVE-it 12 Char,MOVE-it 13 Char,MOVE-it 14 Char,MOVE-it 15 Char"/>
    <w:basedOn w:val="DefaultParagraphFont"/>
    <w:link w:val="Heading1"/>
    <w:rsid w:val="00E8617E"/>
    <w:rPr>
      <w:rFonts w:ascii="Arial" w:eastAsia="Times New Roman" w:hAnsi="Arial" w:cs="Arial"/>
      <w:b/>
      <w:bCs/>
      <w:color w:val="006DB6"/>
      <w:sz w:val="36"/>
      <w:szCs w:val="32"/>
      <w:lang w:val="en-GB" w:eastAsia="nl-NL"/>
    </w:rPr>
  </w:style>
  <w:style w:type="character" w:customStyle="1" w:styleId="Heading2Char">
    <w:name w:val="Heading 2 Char"/>
    <w:aliases w:val="ALK_K2 Char,2 headline Char,h Char,headline Char,h2 Char,Paragraaf Char,H2 Char,NEA2 Char,A Head Char,Main header Char,Annex2 Char,Oscar Faber 2 Char,ADVICE 2 Char"/>
    <w:basedOn w:val="DefaultParagraphFont"/>
    <w:link w:val="Heading2"/>
    <w:rsid w:val="00E8617E"/>
    <w:rPr>
      <w:rFonts w:ascii="Arial" w:eastAsia="Times New Roman" w:hAnsi="Arial" w:cs="Arial"/>
      <w:b/>
      <w:bCs/>
      <w:iCs/>
      <w:color w:val="006DB6"/>
      <w:sz w:val="24"/>
      <w:szCs w:val="24"/>
      <w:lang w:eastAsia="nl-NL"/>
    </w:rPr>
  </w:style>
  <w:style w:type="character" w:customStyle="1" w:styleId="Heading3Char">
    <w:name w:val="Heading 3 Char"/>
    <w:basedOn w:val="DefaultParagraphFont"/>
    <w:link w:val="Heading3"/>
    <w:rsid w:val="00E8617E"/>
    <w:rPr>
      <w:rFonts w:ascii="Arial" w:eastAsia="Times New Roman" w:hAnsi="Arial" w:cs="Arial"/>
      <w:bCs/>
      <w:i/>
      <w:color w:val="0070C0"/>
      <w:lang w:eastAsia="nl-NL"/>
    </w:rPr>
  </w:style>
  <w:style w:type="character" w:customStyle="1" w:styleId="Heading4Char">
    <w:name w:val="Heading 4 Char"/>
    <w:basedOn w:val="DefaultParagraphFont"/>
    <w:link w:val="Heading4"/>
    <w:uiPriority w:val="9"/>
    <w:rsid w:val="00E8617E"/>
    <w:rPr>
      <w:rFonts w:asciiTheme="majorHAnsi" w:eastAsiaTheme="majorEastAsia" w:hAnsiTheme="majorHAnsi" w:cstheme="majorBidi"/>
      <w:i/>
      <w:iCs/>
      <w:color w:val="2E74B5" w:themeColor="accent1" w:themeShade="BF"/>
    </w:rPr>
  </w:style>
  <w:style w:type="paragraph" w:customStyle="1" w:styleId="DefaultText">
    <w:name w:val="Default Text"/>
    <w:basedOn w:val="Normal"/>
    <w:link w:val="DefaultTextChar"/>
    <w:qFormat/>
    <w:rsid w:val="00E8617E"/>
    <w:pPr>
      <w:spacing w:after="0" w:line="280" w:lineRule="atLeast"/>
      <w:jc w:val="both"/>
    </w:pPr>
    <w:rPr>
      <w:rFonts w:ascii="Arial" w:eastAsia="Times New Roman" w:hAnsi="Arial" w:cs="Times New Roman"/>
      <w:sz w:val="18"/>
      <w:szCs w:val="24"/>
      <w:lang w:val="en-GB" w:eastAsia="nl-NL"/>
    </w:rPr>
  </w:style>
  <w:style w:type="character" w:customStyle="1" w:styleId="DefaultTextChar">
    <w:name w:val="Default Text Char"/>
    <w:basedOn w:val="DefaultParagraphFont"/>
    <w:link w:val="DefaultText"/>
    <w:rsid w:val="00E8617E"/>
    <w:rPr>
      <w:rFonts w:ascii="Arial" w:eastAsia="Times New Roman" w:hAnsi="Arial" w:cs="Times New Roman"/>
      <w:sz w:val="18"/>
      <w:szCs w:val="24"/>
      <w:lang w:val="en-GB" w:eastAsia="nl-NL"/>
    </w:rPr>
  </w:style>
  <w:style w:type="paragraph" w:styleId="Header">
    <w:name w:val="header"/>
    <w:basedOn w:val="Normal"/>
    <w:link w:val="HeaderChar"/>
    <w:unhideWhenUsed/>
    <w:rsid w:val="00E8617E"/>
    <w:pPr>
      <w:tabs>
        <w:tab w:val="center" w:pos="4536"/>
        <w:tab w:val="right" w:pos="9072"/>
      </w:tabs>
      <w:spacing w:after="0" w:line="240" w:lineRule="auto"/>
    </w:pPr>
    <w:rPr>
      <w:rFonts w:ascii="Arial" w:eastAsiaTheme="minorEastAsia" w:hAnsi="Arial"/>
      <w:sz w:val="18"/>
      <w:lang w:val="en-GB" w:eastAsia="bg-BG"/>
    </w:rPr>
  </w:style>
  <w:style w:type="character" w:customStyle="1" w:styleId="HeaderChar">
    <w:name w:val="Header Char"/>
    <w:basedOn w:val="DefaultParagraphFont"/>
    <w:link w:val="Header"/>
    <w:rsid w:val="00E8617E"/>
    <w:rPr>
      <w:rFonts w:ascii="Arial" w:eastAsiaTheme="minorEastAsia" w:hAnsi="Arial"/>
      <w:sz w:val="18"/>
      <w:lang w:val="en-GB" w:eastAsia="bg-BG"/>
    </w:rPr>
  </w:style>
  <w:style w:type="paragraph" w:styleId="Footer">
    <w:name w:val="footer"/>
    <w:basedOn w:val="Normal"/>
    <w:link w:val="FooterChar"/>
    <w:unhideWhenUsed/>
    <w:rsid w:val="00E8617E"/>
    <w:pPr>
      <w:tabs>
        <w:tab w:val="center" w:pos="4536"/>
        <w:tab w:val="right" w:pos="9072"/>
      </w:tabs>
      <w:spacing w:after="0" w:line="240" w:lineRule="auto"/>
    </w:pPr>
    <w:rPr>
      <w:rFonts w:ascii="Arial" w:eastAsiaTheme="minorEastAsia" w:hAnsi="Arial"/>
      <w:sz w:val="18"/>
      <w:lang w:val="en-GB" w:eastAsia="bg-BG"/>
    </w:rPr>
  </w:style>
  <w:style w:type="character" w:customStyle="1" w:styleId="FooterChar">
    <w:name w:val="Footer Char"/>
    <w:basedOn w:val="DefaultParagraphFont"/>
    <w:link w:val="Footer"/>
    <w:rsid w:val="00E8617E"/>
    <w:rPr>
      <w:rFonts w:ascii="Arial" w:eastAsiaTheme="minorEastAsia" w:hAnsi="Arial"/>
      <w:sz w:val="18"/>
      <w:lang w:val="en-GB" w:eastAsia="bg-BG"/>
    </w:rPr>
  </w:style>
  <w:style w:type="paragraph" w:styleId="TOC1">
    <w:name w:val="toc 1"/>
    <w:basedOn w:val="Normal"/>
    <w:next w:val="Normal"/>
    <w:autoRedefine/>
    <w:uiPriority w:val="39"/>
    <w:unhideWhenUsed/>
    <w:rsid w:val="00E8617E"/>
    <w:pPr>
      <w:tabs>
        <w:tab w:val="left" w:pos="440"/>
        <w:tab w:val="left" w:pos="1100"/>
        <w:tab w:val="right" w:leader="dot" w:pos="9204"/>
      </w:tabs>
      <w:spacing w:after="120" w:line="280" w:lineRule="atLeast"/>
    </w:pPr>
    <w:rPr>
      <w:rFonts w:eastAsiaTheme="minorEastAsia"/>
      <w:b/>
      <w:noProof/>
      <w:color w:val="006DB6"/>
      <w:lang w:eastAsia="bg-BG"/>
    </w:rPr>
  </w:style>
  <w:style w:type="paragraph" w:styleId="TOC2">
    <w:name w:val="toc 2"/>
    <w:basedOn w:val="Normal"/>
    <w:next w:val="Normal"/>
    <w:autoRedefine/>
    <w:uiPriority w:val="39"/>
    <w:unhideWhenUsed/>
    <w:rsid w:val="00E8617E"/>
    <w:pPr>
      <w:tabs>
        <w:tab w:val="left" w:pos="993"/>
        <w:tab w:val="right" w:leader="dot" w:pos="9204"/>
      </w:tabs>
      <w:spacing w:after="100" w:line="276" w:lineRule="auto"/>
      <w:ind w:left="490"/>
    </w:pPr>
    <w:rPr>
      <w:rFonts w:ascii="Arial" w:eastAsiaTheme="minorEastAsia" w:hAnsi="Arial" w:cs="Arial"/>
      <w:noProof/>
      <w:sz w:val="20"/>
      <w:szCs w:val="20"/>
      <w:lang w:eastAsia="bg-BG"/>
    </w:rPr>
  </w:style>
  <w:style w:type="character" w:styleId="Hyperlink">
    <w:name w:val="Hyperlink"/>
    <w:basedOn w:val="DefaultParagraphFont"/>
    <w:uiPriority w:val="99"/>
    <w:unhideWhenUsed/>
    <w:rsid w:val="00E8617E"/>
    <w:rPr>
      <w:color w:val="0563C1" w:themeColor="hyperlink"/>
      <w:u w:val="single"/>
    </w:rPr>
  </w:style>
  <w:style w:type="paragraph" w:styleId="TableofFigures">
    <w:name w:val="table of figures"/>
    <w:basedOn w:val="Normal"/>
    <w:next w:val="Normal"/>
    <w:uiPriority w:val="99"/>
    <w:unhideWhenUsed/>
    <w:rsid w:val="00E8617E"/>
    <w:pPr>
      <w:spacing w:after="0" w:line="276" w:lineRule="auto"/>
    </w:pPr>
    <w:rPr>
      <w:rFonts w:eastAsiaTheme="minorEastAsia"/>
      <w:lang w:eastAsia="bg-BG"/>
    </w:rPr>
  </w:style>
  <w:style w:type="paragraph" w:styleId="TOC3">
    <w:name w:val="toc 3"/>
    <w:basedOn w:val="Normal"/>
    <w:next w:val="Normal"/>
    <w:autoRedefine/>
    <w:uiPriority w:val="39"/>
    <w:unhideWhenUsed/>
    <w:rsid w:val="00E8617E"/>
    <w:pPr>
      <w:tabs>
        <w:tab w:val="right" w:leader="dot" w:pos="9060"/>
      </w:tabs>
      <w:spacing w:before="120" w:after="120"/>
      <w:ind w:left="993"/>
    </w:pPr>
    <w:rPr>
      <w:i/>
      <w:sz w:val="20"/>
    </w:rPr>
  </w:style>
  <w:style w:type="table" w:customStyle="1" w:styleId="PlainTable41">
    <w:name w:val="Plain Table 41"/>
    <w:basedOn w:val="TableNormal"/>
    <w:uiPriority w:val="44"/>
    <w:rsid w:val="00E8617E"/>
    <w:pPr>
      <w:spacing w:after="0" w:line="240" w:lineRule="auto"/>
    </w:pPr>
    <w:tblPr>
      <w:tblStyleRowBandSize w:val="1"/>
      <w:tblStyleColBandSize w:val="1"/>
      <w:tblInd w:w="0" w:type="dxa"/>
      <w:tblCellMar>
        <w:top w:w="0" w:type="dxa"/>
        <w:left w:w="108" w:type="dxa"/>
        <w:bottom w:w="0" w:type="dxa"/>
        <w:right w:w="108" w:type="dxa"/>
      </w:tblCellMa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FootnoteTextChar">
    <w:name w:val="Footnote Text Char"/>
    <w:aliases w:val="stile 1 Char,Footnote Char,Footnote1 Char,Footnote2 Char,Footnote3 Char,Footnote4 Char,Footnote5 Char,Footnote6 Char,Footnote7 Char,Footnote8 Char,Footnote9 Char,Footnote10 Char,Footnote11 Char,Footnote21 Char,Footnote31 Char"/>
    <w:link w:val="FootnoteText"/>
    <w:uiPriority w:val="99"/>
    <w:locked/>
    <w:rsid w:val="00E8617E"/>
    <w:rPr>
      <w:rFonts w:ascii="Times New Roman" w:eastAsia="Times New Roman" w:hAnsi="Times New Roman" w:cs="Times New Roman"/>
    </w:rPr>
  </w:style>
  <w:style w:type="paragraph" w:styleId="FootnoteText">
    <w:name w:val="footnote text"/>
    <w:aliases w:val="stile 1,Footnote,Footnote1,Footnote2,Footnote3,Footnote4,Footnote5,Footnote6,Footnote7,Footnote8,Footnote9,Footnote10,Footnote11,Footnote21,Footnote31,Footnote41,Footnote51,Footnote61,Footnote71,Footnote81,Footnote91,Podrozdział"/>
    <w:basedOn w:val="Normal"/>
    <w:link w:val="FootnoteTextChar"/>
    <w:uiPriority w:val="99"/>
    <w:unhideWhenUsed/>
    <w:qFormat/>
    <w:rsid w:val="00E8617E"/>
    <w:pPr>
      <w:spacing w:after="0" w:line="240" w:lineRule="auto"/>
    </w:pPr>
    <w:rPr>
      <w:rFonts w:ascii="Times New Roman" w:eastAsia="Times New Roman" w:hAnsi="Times New Roman" w:cs="Times New Roman"/>
    </w:rPr>
  </w:style>
  <w:style w:type="character" w:customStyle="1" w:styleId="FootnoteTextChar1">
    <w:name w:val="Footnote Text Char1"/>
    <w:basedOn w:val="DefaultParagraphFont"/>
    <w:uiPriority w:val="99"/>
    <w:semiHidden/>
    <w:rsid w:val="00E8617E"/>
    <w:rPr>
      <w:sz w:val="20"/>
      <w:szCs w:val="20"/>
    </w:rPr>
  </w:style>
  <w:style w:type="character" w:styleId="FootnoteReference">
    <w:name w:val="footnote reference"/>
    <w:aliases w:val="Footnote symbol,Appel note de bas de p,SUPERS,Nota,(NECG) Footnote Reference,Voetnootverwijzing,Footnote Reference Superscript,BVI fnr,Lábjegyzet-hivatkozás,L?bjegyzet-hivatkoz?s,Char1 Char Char Char Char,ftref,Fussnot"/>
    <w:link w:val="CharCharCharCharCarChar"/>
    <w:uiPriority w:val="99"/>
    <w:unhideWhenUsed/>
    <w:rsid w:val="00E8617E"/>
    <w:rPr>
      <w:vertAlign w:val="superscript"/>
    </w:rPr>
  </w:style>
  <w:style w:type="paragraph" w:customStyle="1" w:styleId="CharCharCharCharCarChar">
    <w:name w:val="Char Char Char Char Car Char"/>
    <w:aliases w:val="Char Char,Char Char Char Char Car Char Char1,Char Char Char1,16 Point Char1,Superscript 6 Point Char1,ftref Char1,Char Char Char1 Char Char Char"/>
    <w:basedOn w:val="Normal"/>
    <w:next w:val="Normal"/>
    <w:link w:val="FootnoteReference"/>
    <w:uiPriority w:val="99"/>
    <w:rsid w:val="00E8617E"/>
    <w:pPr>
      <w:spacing w:line="240" w:lineRule="exact"/>
    </w:pPr>
    <w:rPr>
      <w:vertAlign w:val="superscript"/>
    </w:rPr>
  </w:style>
  <w:style w:type="paragraph" w:styleId="ListParagraph">
    <w:name w:val="List Paragraph"/>
    <w:aliases w:val="Lettre d'introduction,List Paragraph1,1st level - Bullet List Paragraph,Table of contents numbered,Bullet Points,Liste Paragraf,Llista Nivell1,Lista de nivel 1,Paragraphe de liste PBLH,En tête 1,List Paragraph in table,Akapit z listą"/>
    <w:basedOn w:val="Normal"/>
    <w:link w:val="ListParagraphChar"/>
    <w:uiPriority w:val="34"/>
    <w:qFormat/>
    <w:rsid w:val="00E8617E"/>
    <w:pPr>
      <w:ind w:left="720"/>
      <w:contextualSpacing/>
    </w:pPr>
  </w:style>
  <w:style w:type="character" w:customStyle="1" w:styleId="ListParagraphChar">
    <w:name w:val="List Paragraph Char"/>
    <w:aliases w:val="Lettre d'introduction Char,List Paragraph1 Char,1st level - Bullet List Paragraph Char,Table of contents numbered Char,Bullet Points Char,Liste Paragraf Char,Llista Nivell1 Char,Lista de nivel 1 Char,Paragraphe de liste PBLH Char"/>
    <w:link w:val="ListParagraph"/>
    <w:uiPriority w:val="34"/>
    <w:rsid w:val="00E8617E"/>
  </w:style>
  <w:style w:type="table" w:styleId="TableGrid">
    <w:name w:val="Table Grid"/>
    <w:aliases w:val="TabelEcorys"/>
    <w:basedOn w:val="TableNormal"/>
    <w:rsid w:val="00E8617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iPriority w:val="99"/>
    <w:unhideWhenUsed/>
    <w:qFormat/>
    <w:rsid w:val="00E8617E"/>
    <w:pPr>
      <w:spacing w:after="200" w:line="240" w:lineRule="auto"/>
    </w:pPr>
    <w:rPr>
      <w:i/>
      <w:iCs/>
      <w:color w:val="44546A" w:themeColor="text2"/>
      <w:sz w:val="18"/>
      <w:szCs w:val="18"/>
    </w:rPr>
  </w:style>
  <w:style w:type="paragraph" w:customStyle="1" w:styleId="Char11">
    <w:name w:val="Char11"/>
    <w:basedOn w:val="Normal"/>
    <w:rsid w:val="00E8617E"/>
    <w:pPr>
      <w:tabs>
        <w:tab w:val="left" w:pos="709"/>
      </w:tabs>
      <w:spacing w:after="0" w:line="240" w:lineRule="auto"/>
    </w:pPr>
    <w:rPr>
      <w:rFonts w:ascii="Tahoma" w:eastAsia="Times New Roman" w:hAnsi="Tahoma" w:cs="Times New Roman"/>
      <w:sz w:val="24"/>
      <w:szCs w:val="24"/>
      <w:lang w:val="pl-PL" w:eastAsia="pl-PL"/>
    </w:rPr>
  </w:style>
  <w:style w:type="paragraph" w:styleId="NormalWeb">
    <w:name w:val="Normal (Web)"/>
    <w:basedOn w:val="Normal"/>
    <w:uiPriority w:val="99"/>
    <w:unhideWhenUsed/>
    <w:rsid w:val="00E8617E"/>
    <w:pPr>
      <w:spacing w:before="100" w:beforeAutospacing="1" w:after="100" w:afterAutospacing="1" w:line="240" w:lineRule="auto"/>
    </w:pPr>
    <w:rPr>
      <w:rFonts w:ascii="Times New Roman" w:eastAsia="Times New Roman" w:hAnsi="Times New Roman" w:cs="Times New Roman"/>
      <w:sz w:val="24"/>
      <w:szCs w:val="24"/>
      <w:lang w:eastAsia="bg-BG"/>
    </w:rPr>
  </w:style>
  <w:style w:type="character" w:styleId="CommentReference">
    <w:name w:val="annotation reference"/>
    <w:basedOn w:val="DefaultParagraphFont"/>
    <w:uiPriority w:val="99"/>
    <w:semiHidden/>
    <w:unhideWhenUsed/>
    <w:rsid w:val="00E8617E"/>
    <w:rPr>
      <w:sz w:val="16"/>
      <w:szCs w:val="16"/>
    </w:rPr>
  </w:style>
  <w:style w:type="paragraph" w:styleId="CommentText">
    <w:name w:val="annotation text"/>
    <w:basedOn w:val="Normal"/>
    <w:link w:val="CommentTextChar"/>
    <w:uiPriority w:val="99"/>
    <w:unhideWhenUsed/>
    <w:rsid w:val="00E8617E"/>
    <w:pPr>
      <w:spacing w:line="240" w:lineRule="auto"/>
    </w:pPr>
    <w:rPr>
      <w:sz w:val="20"/>
      <w:szCs w:val="20"/>
    </w:rPr>
  </w:style>
  <w:style w:type="character" w:customStyle="1" w:styleId="CommentTextChar">
    <w:name w:val="Comment Text Char"/>
    <w:basedOn w:val="DefaultParagraphFont"/>
    <w:link w:val="CommentText"/>
    <w:uiPriority w:val="99"/>
    <w:rsid w:val="00E8617E"/>
    <w:rPr>
      <w:sz w:val="20"/>
      <w:szCs w:val="20"/>
    </w:rPr>
  </w:style>
  <w:style w:type="paragraph" w:styleId="CommentSubject">
    <w:name w:val="annotation subject"/>
    <w:basedOn w:val="CommentText"/>
    <w:next w:val="CommentText"/>
    <w:link w:val="CommentSubjectChar"/>
    <w:uiPriority w:val="99"/>
    <w:semiHidden/>
    <w:unhideWhenUsed/>
    <w:rsid w:val="00E8617E"/>
    <w:rPr>
      <w:b/>
      <w:bCs/>
    </w:rPr>
  </w:style>
  <w:style w:type="character" w:customStyle="1" w:styleId="CommentSubjectChar">
    <w:name w:val="Comment Subject Char"/>
    <w:basedOn w:val="CommentTextChar"/>
    <w:link w:val="CommentSubject"/>
    <w:uiPriority w:val="99"/>
    <w:semiHidden/>
    <w:rsid w:val="00E8617E"/>
    <w:rPr>
      <w:b/>
      <w:bCs/>
      <w:sz w:val="20"/>
      <w:szCs w:val="20"/>
    </w:rPr>
  </w:style>
  <w:style w:type="paragraph" w:styleId="Revision">
    <w:name w:val="Revision"/>
    <w:hidden/>
    <w:uiPriority w:val="99"/>
    <w:semiHidden/>
    <w:rsid w:val="00E8617E"/>
    <w:pPr>
      <w:spacing w:after="0" w:line="240" w:lineRule="auto"/>
    </w:pPr>
  </w:style>
  <w:style w:type="paragraph" w:styleId="BalloonText">
    <w:name w:val="Balloon Text"/>
    <w:basedOn w:val="Normal"/>
    <w:link w:val="BalloonTextChar"/>
    <w:uiPriority w:val="99"/>
    <w:semiHidden/>
    <w:unhideWhenUsed/>
    <w:rsid w:val="00E8617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617E"/>
    <w:rPr>
      <w:rFonts w:ascii="Segoe UI" w:hAnsi="Segoe UI" w:cs="Segoe UI"/>
      <w:sz w:val="18"/>
      <w:szCs w:val="18"/>
    </w:rPr>
  </w:style>
  <w:style w:type="paragraph" w:customStyle="1" w:styleId="Default">
    <w:name w:val="Default"/>
    <w:rsid w:val="00E8617E"/>
    <w:pPr>
      <w:autoSpaceDE w:val="0"/>
      <w:autoSpaceDN w:val="0"/>
      <w:adjustRightInd w:val="0"/>
      <w:spacing w:after="0" w:line="240" w:lineRule="auto"/>
    </w:pPr>
    <w:rPr>
      <w:rFonts w:ascii="Arial" w:hAnsi="Arial" w:cs="Arial"/>
      <w:color w:val="000000"/>
      <w:sz w:val="24"/>
      <w:szCs w:val="24"/>
    </w:rPr>
  </w:style>
  <w:style w:type="character" w:customStyle="1" w:styleId="textexposedshow">
    <w:name w:val="text_exposed_show"/>
    <w:basedOn w:val="DefaultParagraphFont"/>
    <w:rsid w:val="00E8617E"/>
  </w:style>
  <w:style w:type="character" w:styleId="FollowedHyperlink">
    <w:name w:val="FollowedHyperlink"/>
    <w:basedOn w:val="DefaultParagraphFont"/>
    <w:uiPriority w:val="99"/>
    <w:semiHidden/>
    <w:unhideWhenUsed/>
    <w:rsid w:val="00E8617E"/>
    <w:rPr>
      <w:color w:val="954F72" w:themeColor="followedHyperlink"/>
      <w:u w:val="single"/>
    </w:rPr>
  </w:style>
  <w:style w:type="paragraph" w:customStyle="1" w:styleId="CharCharCharCharCharCharCharCharCharCharCharChar">
    <w:name w:val="Char Char Char Char Char Char Char Char Char Char Char Char"/>
    <w:basedOn w:val="Normal"/>
    <w:rsid w:val="00E8617E"/>
    <w:pPr>
      <w:tabs>
        <w:tab w:val="left" w:pos="709"/>
      </w:tabs>
      <w:spacing w:after="0" w:line="240" w:lineRule="auto"/>
    </w:pPr>
    <w:rPr>
      <w:rFonts w:ascii="Tahoma" w:eastAsia="Times New Roman" w:hAnsi="Tahoma" w:cs="Times New Roman"/>
      <w:sz w:val="24"/>
      <w:szCs w:val="24"/>
      <w:lang w:val="pl-PL" w:eastAsia="pl-PL"/>
    </w:rPr>
  </w:style>
  <w:style w:type="paragraph" w:styleId="TOC4">
    <w:name w:val="toc 4"/>
    <w:basedOn w:val="Normal"/>
    <w:next w:val="Normal"/>
    <w:autoRedefine/>
    <w:uiPriority w:val="39"/>
    <w:unhideWhenUsed/>
    <w:rsid w:val="00E8617E"/>
    <w:pPr>
      <w:spacing w:after="100"/>
      <w:ind w:left="660"/>
    </w:pPr>
    <w:rPr>
      <w:rFonts w:eastAsiaTheme="minorEastAsia"/>
      <w:lang w:eastAsia="bg-BG"/>
    </w:rPr>
  </w:style>
  <w:style w:type="paragraph" w:styleId="TOC5">
    <w:name w:val="toc 5"/>
    <w:basedOn w:val="Normal"/>
    <w:next w:val="Normal"/>
    <w:autoRedefine/>
    <w:uiPriority w:val="39"/>
    <w:unhideWhenUsed/>
    <w:rsid w:val="00E8617E"/>
    <w:pPr>
      <w:spacing w:after="100"/>
      <w:ind w:left="880"/>
    </w:pPr>
    <w:rPr>
      <w:rFonts w:eastAsiaTheme="minorEastAsia"/>
      <w:lang w:eastAsia="bg-BG"/>
    </w:rPr>
  </w:style>
  <w:style w:type="paragraph" w:styleId="TOC6">
    <w:name w:val="toc 6"/>
    <w:basedOn w:val="Normal"/>
    <w:next w:val="Normal"/>
    <w:autoRedefine/>
    <w:uiPriority w:val="39"/>
    <w:unhideWhenUsed/>
    <w:rsid w:val="00E8617E"/>
    <w:pPr>
      <w:spacing w:after="100"/>
      <w:ind w:left="1100"/>
    </w:pPr>
    <w:rPr>
      <w:rFonts w:eastAsiaTheme="minorEastAsia"/>
      <w:lang w:eastAsia="bg-BG"/>
    </w:rPr>
  </w:style>
  <w:style w:type="paragraph" w:styleId="TOC7">
    <w:name w:val="toc 7"/>
    <w:basedOn w:val="Normal"/>
    <w:next w:val="Normal"/>
    <w:autoRedefine/>
    <w:uiPriority w:val="39"/>
    <w:unhideWhenUsed/>
    <w:rsid w:val="00E8617E"/>
    <w:pPr>
      <w:spacing w:after="100"/>
      <w:ind w:left="1320"/>
    </w:pPr>
    <w:rPr>
      <w:rFonts w:eastAsiaTheme="minorEastAsia"/>
      <w:lang w:eastAsia="bg-BG"/>
    </w:rPr>
  </w:style>
  <w:style w:type="paragraph" w:styleId="TOC8">
    <w:name w:val="toc 8"/>
    <w:basedOn w:val="Normal"/>
    <w:next w:val="Normal"/>
    <w:autoRedefine/>
    <w:uiPriority w:val="39"/>
    <w:unhideWhenUsed/>
    <w:rsid w:val="00E8617E"/>
    <w:pPr>
      <w:spacing w:after="100"/>
      <w:ind w:left="1540"/>
    </w:pPr>
    <w:rPr>
      <w:rFonts w:eastAsiaTheme="minorEastAsia"/>
      <w:lang w:eastAsia="bg-BG"/>
    </w:rPr>
  </w:style>
  <w:style w:type="paragraph" w:styleId="TOC9">
    <w:name w:val="toc 9"/>
    <w:basedOn w:val="Normal"/>
    <w:next w:val="Normal"/>
    <w:autoRedefine/>
    <w:uiPriority w:val="39"/>
    <w:unhideWhenUsed/>
    <w:rsid w:val="00E8617E"/>
    <w:pPr>
      <w:spacing w:after="100"/>
      <w:ind w:left="1760"/>
    </w:pPr>
    <w:rPr>
      <w:rFonts w:eastAsiaTheme="minorEastAsia"/>
      <w:lang w:eastAsia="bg-BG"/>
    </w:rPr>
  </w:style>
  <w:style w:type="table" w:customStyle="1" w:styleId="GridTable1Light-Accent11">
    <w:name w:val="Grid Table 1 Light - Accent 11"/>
    <w:basedOn w:val="TableNormal"/>
    <w:uiPriority w:val="46"/>
    <w:rsid w:val="00E8617E"/>
    <w:pPr>
      <w:spacing w:after="0" w:line="240" w:lineRule="auto"/>
    </w:pPr>
    <w:tblPr>
      <w:tblStyleRowBandSize w:val="1"/>
      <w:tblStyleColBandSize w:val="1"/>
      <w:tblInd w:w="0" w:type="dxa"/>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CellMar>
        <w:top w:w="0" w:type="dxa"/>
        <w:left w:w="108" w:type="dxa"/>
        <w:bottom w:w="0" w:type="dxa"/>
        <w:right w:w="108" w:type="dxa"/>
      </w:tblCellMar>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BodyText">
    <w:name w:val="Body Text"/>
    <w:basedOn w:val="Normal"/>
    <w:link w:val="BodyTextChar"/>
    <w:rsid w:val="00E8617E"/>
    <w:pPr>
      <w:spacing w:after="120" w:line="240" w:lineRule="auto"/>
      <w:ind w:firstLine="720"/>
      <w:jc w:val="both"/>
    </w:pPr>
    <w:rPr>
      <w:rFonts w:ascii="Times New Roman" w:eastAsia="Times New Roman" w:hAnsi="Times New Roman" w:cs="Times New Roman"/>
      <w:sz w:val="24"/>
      <w:szCs w:val="20"/>
    </w:rPr>
  </w:style>
  <w:style w:type="character" w:customStyle="1" w:styleId="BodyTextChar">
    <w:name w:val="Body Text Char"/>
    <w:basedOn w:val="DefaultParagraphFont"/>
    <w:link w:val="BodyText"/>
    <w:rsid w:val="00E8617E"/>
    <w:rPr>
      <w:rFonts w:ascii="Times New Roman" w:eastAsia="Times New Roman" w:hAnsi="Times New Roman" w:cs="Times New Roman"/>
      <w:sz w:val="24"/>
      <w:szCs w:val="20"/>
    </w:rPr>
  </w:style>
  <w:style w:type="paragraph" w:customStyle="1" w:styleId="CharCharZchnZchnChar">
    <w:name w:val="Знак Знак Char Char Zchn Zchn Знак Знак Char"/>
    <w:basedOn w:val="Normal"/>
    <w:rsid w:val="00E8617E"/>
    <w:pPr>
      <w:suppressAutoHyphens/>
      <w:spacing w:line="240" w:lineRule="exact"/>
    </w:pPr>
    <w:rPr>
      <w:rFonts w:ascii="Tahoma" w:eastAsia="Times New Roman" w:hAnsi="Tahoma" w:cs="Times New Roman"/>
      <w:sz w:val="20"/>
      <w:szCs w:val="20"/>
      <w:lang w:val="en-US" w:eastAsia="ar-SA"/>
    </w:rPr>
  </w:style>
  <w:style w:type="paragraph" w:customStyle="1" w:styleId="Title1">
    <w:name w:val="Title1"/>
    <w:basedOn w:val="Normal"/>
    <w:rsid w:val="00E8617E"/>
    <w:pPr>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newdocreference">
    <w:name w:val="newdocreference"/>
    <w:basedOn w:val="DefaultParagraphFont"/>
    <w:rsid w:val="00E8617E"/>
  </w:style>
  <w:style w:type="table" w:customStyle="1" w:styleId="TableGridLight1">
    <w:name w:val="Table Grid Light1"/>
    <w:basedOn w:val="TableNormal"/>
    <w:uiPriority w:val="40"/>
    <w:rsid w:val="00E8617E"/>
    <w:pPr>
      <w:spacing w:after="0" w:line="240" w:lineRule="auto"/>
    </w:pPr>
    <w:rPr>
      <w:rFonts w:eastAsiaTheme="minorEastAsia"/>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Emphasis">
    <w:name w:val="Emphasis"/>
    <w:basedOn w:val="DefaultParagraphFont"/>
    <w:uiPriority w:val="20"/>
    <w:qFormat/>
    <w:rsid w:val="00E8617E"/>
    <w:rPr>
      <w:i/>
      <w:iCs/>
    </w:rPr>
  </w:style>
  <w:style w:type="paragraph" w:customStyle="1" w:styleId="Filter">
    <w:name w:val="Filter"/>
    <w:basedOn w:val="Normal"/>
    <w:autoRedefine/>
    <w:rsid w:val="00922731"/>
    <w:pPr>
      <w:framePr w:hSpace="181" w:wrap="around" w:vAnchor="text" w:hAnchor="text" w:xAlign="center" w:y="1"/>
      <w:spacing w:before="120" w:after="0" w:line="240" w:lineRule="auto"/>
      <w:suppressOverlap/>
    </w:pPr>
    <w:rPr>
      <w:rFonts w:eastAsia="Times New Roman" w:cs="Times New Roman"/>
      <w:b/>
      <w:color w:val="000000"/>
      <w:sz w:val="18"/>
      <w:szCs w:val="20"/>
      <w:lang w:val="en-US"/>
    </w:rPr>
  </w:style>
  <w:style w:type="paragraph" w:customStyle="1" w:styleId="DocumentTitle">
    <w:name w:val="Document Title"/>
    <w:basedOn w:val="Normal"/>
    <w:rsid w:val="00922731"/>
    <w:pPr>
      <w:spacing w:after="720" w:line="240" w:lineRule="auto"/>
      <w:jc w:val="center"/>
    </w:pPr>
    <w:rPr>
      <w:rFonts w:eastAsia="Times New Roman" w:cs="Times New Roman"/>
      <w:b/>
      <w:bCs/>
      <w:color w:val="000000"/>
      <w:sz w:val="28"/>
      <w:szCs w:val="20"/>
      <w:lang w:val="en-US"/>
    </w:rPr>
  </w:style>
  <w:style w:type="paragraph" w:customStyle="1" w:styleId="ParagrahAnswer">
    <w:name w:val="ParagrahAnswer"/>
    <w:basedOn w:val="Normal"/>
    <w:autoRedefine/>
    <w:rsid w:val="00922731"/>
    <w:pPr>
      <w:keepLines/>
      <w:spacing w:before="60" w:after="60" w:line="240" w:lineRule="auto"/>
    </w:pPr>
    <w:rPr>
      <w:rFonts w:eastAsia="Times New Roman" w:cs="Times New Roman"/>
      <w:noProof/>
      <w:sz w:val="18"/>
      <w:szCs w:val="24"/>
      <w:lang w:val="en-US"/>
    </w:rPr>
  </w:style>
  <w:style w:type="paragraph" w:customStyle="1" w:styleId="QuestionString">
    <w:name w:val="QuestionString"/>
    <w:basedOn w:val="Normal"/>
    <w:next w:val="Normal"/>
    <w:autoRedefine/>
    <w:rsid w:val="0049526E"/>
    <w:pPr>
      <w:keepNext/>
      <w:keepLines/>
      <w:spacing w:after="60" w:line="240" w:lineRule="auto"/>
    </w:pPr>
    <w:rPr>
      <w:rFonts w:eastAsia="Times New Roman" w:cs="Times New Roman"/>
      <w:b/>
      <w:noProof/>
      <w:szCs w:val="24"/>
      <w:lang w:val="nl-BE"/>
    </w:rPr>
  </w:style>
  <w:style w:type="paragraph" w:customStyle="1" w:styleId="SubQuestionString">
    <w:name w:val="SubQuestionString"/>
    <w:basedOn w:val="Normal"/>
    <w:next w:val="Normal"/>
    <w:autoRedefine/>
    <w:rsid w:val="00922731"/>
    <w:pPr>
      <w:numPr>
        <w:numId w:val="51"/>
      </w:numPr>
      <w:tabs>
        <w:tab w:val="left" w:pos="284"/>
      </w:tabs>
      <w:spacing w:after="60" w:line="240" w:lineRule="auto"/>
    </w:pPr>
    <w:rPr>
      <w:rFonts w:eastAsia="Times New Roman" w:cs="Times New Roman"/>
      <w:noProof/>
      <w:sz w:val="20"/>
      <w:szCs w:val="24"/>
      <w:lang w:val="nl-BE"/>
    </w:rPr>
  </w:style>
  <w:style w:type="paragraph" w:customStyle="1" w:styleId="ChartTableHeader">
    <w:name w:val="ChartTableHeader"/>
    <w:basedOn w:val="Normal"/>
    <w:next w:val="Normal"/>
    <w:autoRedefine/>
    <w:rsid w:val="00922731"/>
    <w:pPr>
      <w:keepLines/>
      <w:spacing w:before="60" w:after="60" w:line="240" w:lineRule="auto"/>
    </w:pPr>
    <w:rPr>
      <w:rFonts w:eastAsia="Times New Roman" w:cs="Times New Roman"/>
      <w:b/>
      <w:noProof/>
      <w:sz w:val="20"/>
      <w:szCs w:val="24"/>
      <w:lang w:val="nl-BE"/>
    </w:rPr>
  </w:style>
  <w:style w:type="paragraph" w:customStyle="1" w:styleId="ChartTableFooter">
    <w:name w:val="ChartTableFooter"/>
    <w:basedOn w:val="ChartTableHeader"/>
    <w:autoRedefine/>
    <w:rsid w:val="00922731"/>
    <w:pPr>
      <w:jc w:val="right"/>
    </w:pPr>
  </w:style>
  <w:style w:type="paragraph" w:customStyle="1" w:styleId="ExplanationParagrah">
    <w:name w:val="ExplanationParagrah"/>
    <w:basedOn w:val="Normal"/>
    <w:autoRedefine/>
    <w:rsid w:val="00922731"/>
    <w:pPr>
      <w:keepNext/>
      <w:keepLines/>
      <w:spacing w:after="60" w:line="240" w:lineRule="auto"/>
      <w:ind w:left="284"/>
    </w:pPr>
    <w:rPr>
      <w:rFonts w:eastAsia="Times New Roman" w:cs="Times New Roman"/>
      <w:noProof/>
      <w:sz w:val="16"/>
      <w:szCs w:val="24"/>
      <w:lang w:val="nl-BE"/>
    </w:rPr>
  </w:style>
  <w:style w:type="character" w:customStyle="1" w:styleId="Heading5Char">
    <w:name w:val="Heading 5 Char"/>
    <w:basedOn w:val="DefaultParagraphFont"/>
    <w:link w:val="Heading5"/>
    <w:uiPriority w:val="9"/>
    <w:rsid w:val="00B55100"/>
    <w:rPr>
      <w:rFonts w:asciiTheme="majorHAnsi" w:eastAsiaTheme="majorEastAsia" w:hAnsiTheme="majorHAnsi" w:cstheme="majorBidi"/>
      <w:color w:val="2E74B5" w:themeColor="accent1" w:themeShade="BF"/>
    </w:rPr>
  </w:style>
  <w:style w:type="character" w:customStyle="1" w:styleId="1">
    <w:name w:val="Неразрешено споменаване1"/>
    <w:basedOn w:val="DefaultParagraphFont"/>
    <w:uiPriority w:val="99"/>
    <w:semiHidden/>
    <w:unhideWhenUsed/>
    <w:rsid w:val="00BB5D3E"/>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6696198">
      <w:bodyDiv w:val="1"/>
      <w:marLeft w:val="0"/>
      <w:marRight w:val="0"/>
      <w:marTop w:val="0"/>
      <w:marBottom w:val="0"/>
      <w:divBdr>
        <w:top w:val="none" w:sz="0" w:space="0" w:color="auto"/>
        <w:left w:val="none" w:sz="0" w:space="0" w:color="auto"/>
        <w:bottom w:val="none" w:sz="0" w:space="0" w:color="auto"/>
        <w:right w:val="none" w:sz="0" w:space="0" w:color="auto"/>
      </w:divBdr>
    </w:div>
    <w:div w:id="301278333">
      <w:bodyDiv w:val="1"/>
      <w:marLeft w:val="0"/>
      <w:marRight w:val="0"/>
      <w:marTop w:val="0"/>
      <w:marBottom w:val="0"/>
      <w:divBdr>
        <w:top w:val="none" w:sz="0" w:space="0" w:color="auto"/>
        <w:left w:val="none" w:sz="0" w:space="0" w:color="auto"/>
        <w:bottom w:val="none" w:sz="0" w:space="0" w:color="auto"/>
        <w:right w:val="none" w:sz="0" w:space="0" w:color="auto"/>
      </w:divBdr>
    </w:div>
    <w:div w:id="490022531">
      <w:bodyDiv w:val="1"/>
      <w:marLeft w:val="0"/>
      <w:marRight w:val="0"/>
      <w:marTop w:val="0"/>
      <w:marBottom w:val="0"/>
      <w:divBdr>
        <w:top w:val="none" w:sz="0" w:space="0" w:color="auto"/>
        <w:left w:val="none" w:sz="0" w:space="0" w:color="auto"/>
        <w:bottom w:val="none" w:sz="0" w:space="0" w:color="auto"/>
        <w:right w:val="none" w:sz="0" w:space="0" w:color="auto"/>
      </w:divBdr>
    </w:div>
    <w:div w:id="1245383169">
      <w:bodyDiv w:val="1"/>
      <w:marLeft w:val="0"/>
      <w:marRight w:val="0"/>
      <w:marTop w:val="0"/>
      <w:marBottom w:val="0"/>
      <w:divBdr>
        <w:top w:val="none" w:sz="0" w:space="0" w:color="auto"/>
        <w:left w:val="none" w:sz="0" w:space="0" w:color="auto"/>
        <w:bottom w:val="none" w:sz="0" w:space="0" w:color="auto"/>
        <w:right w:val="none" w:sz="0" w:space="0" w:color="auto"/>
      </w:divBdr>
    </w:div>
    <w:div w:id="1263534971">
      <w:bodyDiv w:val="1"/>
      <w:marLeft w:val="0"/>
      <w:marRight w:val="0"/>
      <w:marTop w:val="0"/>
      <w:marBottom w:val="0"/>
      <w:divBdr>
        <w:top w:val="none" w:sz="0" w:space="0" w:color="auto"/>
        <w:left w:val="none" w:sz="0" w:space="0" w:color="auto"/>
        <w:bottom w:val="none" w:sz="0" w:space="0" w:color="auto"/>
        <w:right w:val="none" w:sz="0" w:space="0" w:color="auto"/>
      </w:divBdr>
    </w:div>
    <w:div w:id="1411387157">
      <w:bodyDiv w:val="1"/>
      <w:marLeft w:val="0"/>
      <w:marRight w:val="0"/>
      <w:marTop w:val="0"/>
      <w:marBottom w:val="0"/>
      <w:divBdr>
        <w:top w:val="none" w:sz="0" w:space="0" w:color="auto"/>
        <w:left w:val="none" w:sz="0" w:space="0" w:color="auto"/>
        <w:bottom w:val="none" w:sz="0" w:space="0" w:color="auto"/>
        <w:right w:val="none" w:sz="0" w:space="0" w:color="auto"/>
      </w:divBdr>
    </w:div>
    <w:div w:id="1506745761">
      <w:bodyDiv w:val="1"/>
      <w:marLeft w:val="0"/>
      <w:marRight w:val="0"/>
      <w:marTop w:val="0"/>
      <w:marBottom w:val="0"/>
      <w:divBdr>
        <w:top w:val="none" w:sz="0" w:space="0" w:color="auto"/>
        <w:left w:val="none" w:sz="0" w:space="0" w:color="auto"/>
        <w:bottom w:val="none" w:sz="0" w:space="0" w:color="auto"/>
        <w:right w:val="none" w:sz="0" w:space="0" w:color="auto"/>
      </w:divBdr>
    </w:div>
    <w:div w:id="1601988773">
      <w:bodyDiv w:val="1"/>
      <w:marLeft w:val="0"/>
      <w:marRight w:val="0"/>
      <w:marTop w:val="0"/>
      <w:marBottom w:val="0"/>
      <w:divBdr>
        <w:top w:val="none" w:sz="0" w:space="0" w:color="auto"/>
        <w:left w:val="none" w:sz="0" w:space="0" w:color="auto"/>
        <w:bottom w:val="none" w:sz="0" w:space="0" w:color="auto"/>
        <w:right w:val="none" w:sz="0" w:space="0" w:color="auto"/>
      </w:divBdr>
    </w:div>
    <w:div w:id="1706559719">
      <w:bodyDiv w:val="1"/>
      <w:marLeft w:val="0"/>
      <w:marRight w:val="0"/>
      <w:marTop w:val="0"/>
      <w:marBottom w:val="0"/>
      <w:divBdr>
        <w:top w:val="none" w:sz="0" w:space="0" w:color="auto"/>
        <w:left w:val="none" w:sz="0" w:space="0" w:color="auto"/>
        <w:bottom w:val="none" w:sz="0" w:space="0" w:color="auto"/>
        <w:right w:val="none" w:sz="0" w:space="0" w:color="auto"/>
      </w:divBdr>
    </w:div>
    <w:div w:id="17642618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www.naas.government.bg/bg/" TargetMode="External"/><Relationship Id="rId26" Type="http://schemas.openxmlformats.org/officeDocument/2006/relationships/footer" Target="footer6.xml"/><Relationship Id="rId39" Type="http://schemas.openxmlformats.org/officeDocument/2006/relationships/image" Target="media/image15.emf"/><Relationship Id="rId21" Type="http://schemas.openxmlformats.org/officeDocument/2006/relationships/footer" Target="footer3.xml"/><Relationship Id="rId34" Type="http://schemas.openxmlformats.org/officeDocument/2006/relationships/footer" Target="footer11.xml"/><Relationship Id="rId42" Type="http://schemas.openxmlformats.org/officeDocument/2006/relationships/package" Target="embeddings/Microsoft_Excel_Worksheet4.xlsx"/><Relationship Id="rId47" Type="http://schemas.openxmlformats.org/officeDocument/2006/relationships/image" Target="media/image19.emf"/><Relationship Id="rId50" Type="http://schemas.openxmlformats.org/officeDocument/2006/relationships/package" Target="embeddings/Microsoft_Excel_Worksheet8.xlsx"/><Relationship Id="rId55" Type="http://schemas.openxmlformats.org/officeDocument/2006/relationships/chart" Target="charts/chart2.xml"/><Relationship Id="rId63" Type="http://schemas.openxmlformats.org/officeDocument/2006/relationships/image" Target="media/image26.jpeg"/><Relationship Id="rId68" Type="http://schemas.openxmlformats.org/officeDocument/2006/relationships/chart" Target="charts/chart6.xml"/><Relationship Id="rId76" Type="http://schemas.openxmlformats.org/officeDocument/2006/relationships/image" Target="media/image35.png"/><Relationship Id="rId84" Type="http://schemas.microsoft.com/office/2016/09/relationships/commentsIds" Target="commentsIds.xml"/><Relationship Id="rId7" Type="http://schemas.openxmlformats.org/officeDocument/2006/relationships/footnotes" Target="footnotes.xml"/><Relationship Id="rId71"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hyperlink" Target="http://www.nsm.bg/" TargetMode="External"/><Relationship Id="rId29" Type="http://schemas.openxmlformats.org/officeDocument/2006/relationships/footer" Target="footer8.xml"/><Relationship Id="rId11" Type="http://schemas.openxmlformats.org/officeDocument/2006/relationships/image" Target="media/image3.png"/><Relationship Id="rId24" Type="http://schemas.openxmlformats.org/officeDocument/2006/relationships/footer" Target="footer5.xml"/><Relationship Id="rId32" Type="http://schemas.openxmlformats.org/officeDocument/2006/relationships/footer" Target="footer9.xml"/><Relationship Id="rId37" Type="http://schemas.openxmlformats.org/officeDocument/2006/relationships/image" Target="media/image14.emf"/><Relationship Id="rId40" Type="http://schemas.openxmlformats.org/officeDocument/2006/relationships/package" Target="embeddings/Microsoft_Excel_Worksheet3.xlsx"/><Relationship Id="rId45" Type="http://schemas.openxmlformats.org/officeDocument/2006/relationships/image" Target="media/image18.emf"/><Relationship Id="rId53" Type="http://schemas.openxmlformats.org/officeDocument/2006/relationships/hyperlink" Target="https://www.broward.org/NaturalResources/ClimateChange/Documents/Calculating%20CO2%20Sequestration%20by%20Trees.pdf" TargetMode="External"/><Relationship Id="rId58" Type="http://schemas.openxmlformats.org/officeDocument/2006/relationships/image" Target="media/image22.png"/><Relationship Id="rId66" Type="http://schemas.openxmlformats.org/officeDocument/2006/relationships/image" Target="media/image29.png"/><Relationship Id="rId74" Type="http://schemas.openxmlformats.org/officeDocument/2006/relationships/image" Target="media/image33.jpeg"/><Relationship Id="rId79" Type="http://schemas.openxmlformats.org/officeDocument/2006/relationships/footer" Target="footer14.xml"/><Relationship Id="rId5" Type="http://schemas.openxmlformats.org/officeDocument/2006/relationships/settings" Target="settings.xml"/><Relationship Id="rId61" Type="http://schemas.openxmlformats.org/officeDocument/2006/relationships/image" Target="media/image24.emf"/><Relationship Id="rId10" Type="http://schemas.openxmlformats.org/officeDocument/2006/relationships/image" Target="media/image2.emf"/><Relationship Id="rId19" Type="http://schemas.openxmlformats.org/officeDocument/2006/relationships/footer" Target="footer1.xml"/><Relationship Id="rId31" Type="http://schemas.openxmlformats.org/officeDocument/2006/relationships/image" Target="media/image12.png"/><Relationship Id="rId44" Type="http://schemas.openxmlformats.org/officeDocument/2006/relationships/package" Target="embeddings/Microsoft_Excel_Worksheet5.xlsx"/><Relationship Id="rId52" Type="http://schemas.openxmlformats.org/officeDocument/2006/relationships/package" Target="embeddings/Microsoft_Excel_Worksheet9.xlsx"/><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2.jpeg"/><Relationship Id="rId78" Type="http://schemas.openxmlformats.org/officeDocument/2006/relationships/image" Target="media/image36.png"/><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hyperlink" Target="http://www.mzh.government.bg/MZH/bg/Structure/RSR.aspx" TargetMode="External"/><Relationship Id="rId22" Type="http://schemas.openxmlformats.org/officeDocument/2006/relationships/image" Target="media/image8.emf"/><Relationship Id="rId27" Type="http://schemas.openxmlformats.org/officeDocument/2006/relationships/footer" Target="footer7.xml"/><Relationship Id="rId30" Type="http://schemas.openxmlformats.org/officeDocument/2006/relationships/image" Target="media/image11.emf"/><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Excel_Worksheet7.xlsx"/><Relationship Id="rId56" Type="http://schemas.openxmlformats.org/officeDocument/2006/relationships/chart" Target="charts/chart3.xml"/><Relationship Id="rId64" Type="http://schemas.openxmlformats.org/officeDocument/2006/relationships/image" Target="media/image27.png"/><Relationship Id="rId69" Type="http://schemas.openxmlformats.org/officeDocument/2006/relationships/image" Target="media/image31.png"/><Relationship Id="rId77" Type="http://schemas.openxmlformats.org/officeDocument/2006/relationships/footer" Target="footer13.xml"/><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hyperlink" Target="http://prsr.government.bg/Admin/upload/Media_file_1268272388.pdf" TargetMode="External"/><Relationship Id="rId80" Type="http://schemas.openxmlformats.org/officeDocument/2006/relationships/fontTable" Target="fontTable.xml"/><Relationship Id="rId85"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s://www.facebook.com/pg/NationalRuralNetworkBulgaria/about/?ref=page_internal" TargetMode="External"/><Relationship Id="rId25" Type="http://schemas.openxmlformats.org/officeDocument/2006/relationships/image" Target="media/image9.emf"/><Relationship Id="rId33" Type="http://schemas.openxmlformats.org/officeDocument/2006/relationships/footer" Target="footer10.xml"/><Relationship Id="rId38" Type="http://schemas.openxmlformats.org/officeDocument/2006/relationships/package" Target="embeddings/Microsoft_Excel_Worksheet2.xlsx"/><Relationship Id="rId46" Type="http://schemas.openxmlformats.org/officeDocument/2006/relationships/package" Target="embeddings/Microsoft_Excel_Worksheet6.xlsx"/><Relationship Id="rId59" Type="http://schemas.openxmlformats.org/officeDocument/2006/relationships/chart" Target="charts/chart5.xml"/><Relationship Id="rId67" Type="http://schemas.openxmlformats.org/officeDocument/2006/relationships/image" Target="media/image30.png"/><Relationship Id="rId20" Type="http://schemas.openxmlformats.org/officeDocument/2006/relationships/footer" Target="footer2.xml"/><Relationship Id="rId41" Type="http://schemas.openxmlformats.org/officeDocument/2006/relationships/image" Target="media/image16.emf"/><Relationship Id="rId54" Type="http://schemas.openxmlformats.org/officeDocument/2006/relationships/chart" Target="charts/chart1.xml"/><Relationship Id="rId62" Type="http://schemas.openxmlformats.org/officeDocument/2006/relationships/image" Target="media/image25.png"/><Relationship Id="rId70" Type="http://schemas.openxmlformats.org/officeDocument/2006/relationships/chart" Target="charts/chart7.xml"/><Relationship Id="rId75"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dfz.bg/" TargetMode="External"/><Relationship Id="rId23" Type="http://schemas.openxmlformats.org/officeDocument/2006/relationships/footer" Target="footer4.xml"/><Relationship Id="rId28" Type="http://schemas.openxmlformats.org/officeDocument/2006/relationships/image" Target="media/image10.emf"/><Relationship Id="rId36" Type="http://schemas.openxmlformats.org/officeDocument/2006/relationships/package" Target="embeddings/Microsoft_Excel_Worksheet1.xlsx"/><Relationship Id="rId49" Type="http://schemas.openxmlformats.org/officeDocument/2006/relationships/image" Target="media/image20.emf"/><Relationship Id="rId57" Type="http://schemas.openxmlformats.org/officeDocument/2006/relationships/chart" Target="charts/chart4.xml"/></Relationships>
</file>

<file path=word/_rels/footer1.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10.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11.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12.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13.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14.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2.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4.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5.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6.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7.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8.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er9.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png"/></Relationships>
</file>

<file path=word/_rels/footnotes.xml.rels><?xml version="1.0" encoding="UTF-8" standalone="yes"?>
<Relationships xmlns="http://schemas.openxmlformats.org/package/2006/relationships"><Relationship Id="rId3" Type="http://schemas.openxmlformats.org/officeDocument/2006/relationships/hyperlink" Target="https://www.eufunds.bg/archive/documents/1259310779.pdf" TargetMode="External"/><Relationship Id="rId2" Type="http://schemas.openxmlformats.org/officeDocument/2006/relationships/hyperlink" Target="https://ec.europa.eu/agriculture/sites/agriculture/files/evaluation/guidelines/2007-2013-ex-post_en.pdf" TargetMode="External"/><Relationship Id="rId1" Type="http://schemas.openxmlformats.org/officeDocument/2006/relationships/hyperlink" Target="https://ec.europa.eu/agriculture/sites/agriculture/files/evaluation/guidelines/2007-2013-ex-post_en.pdf" TargetMode="External"/><Relationship Id="rId4" Type="http://schemas.openxmlformats.org/officeDocument/2006/relationships/hyperlink" Target="http://ec.europa.eu/regional_policy/sources/docoffic/2007/osc/l_29120061021en00110032.pdf"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SERVER\Ecorys\01Projects\On%20going\Ex-post_PRSR_13.02.2017\Implementation\Report\Revised\Book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SERVER\Ecorys\01Projects\On%20going\Ex-post_PRSR_13.02.2017\Implementation\Report\Revised\Book1.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SERVER\Ecorys\01Projects\On%20going\Ex-post_PRSR_13.02.2017\Implementation\Report\Revised\Book1.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SERVER\Ecorys\01Projects\On%20going\Ex-post_PRSR_13.02.2017\Implementation\Report\Revised\Book1.xlsx" TargetMode="External"/></Relationships>
</file>

<file path=word/charts/_rels/chart5.xml.rels><?xml version="1.0" encoding="UTF-8" standalone="yes"?>
<Relationships xmlns="http://schemas.openxmlformats.org/package/2006/relationships"><Relationship Id="rId1" Type="http://schemas.openxmlformats.org/officeDocument/2006/relationships/oleObject" Target="file:///\\SERVER\Ecorys\01Projects\On%20going\Ex-post_PRSR_13.02.2017\Implementation\Report\Revised\Book1.xlsx" TargetMode="Externa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10.xlsx"/></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0" i="0" u="none" strike="noStrike" kern="1200" spc="0" baseline="0">
                <a:solidFill>
                  <a:sysClr val="windowText" lastClr="000000">
                    <a:lumMod val="65000"/>
                    <a:lumOff val="35000"/>
                  </a:sysClr>
                </a:solidFill>
                <a:latin typeface="+mn-lt"/>
                <a:ea typeface="+mn-ea"/>
                <a:cs typeface="+mn-cs"/>
              </a:defRPr>
            </a:pPr>
            <a:r>
              <a:rPr lang="en-US" sz="1200" b="0" i="0" baseline="0">
                <a:effectLst/>
              </a:rPr>
              <a:t>T</a:t>
            </a:r>
            <a:r>
              <a:rPr lang="bg-BG" sz="1200" b="0" i="0" baseline="0">
                <a:effectLst/>
              </a:rPr>
              <a:t>ериториално изпълнение</a:t>
            </a:r>
            <a:r>
              <a:rPr lang="en-US" sz="1200" b="0" i="0" baseline="0">
                <a:effectLst/>
              </a:rPr>
              <a:t> </a:t>
            </a:r>
            <a:r>
              <a:rPr lang="bg-BG" sz="1200" b="0" i="0" baseline="0">
                <a:effectLst/>
              </a:rPr>
              <a:t> на проектите по мярка 311</a:t>
            </a:r>
            <a:endParaRPr lang="bg-BG" sz="1200">
              <a:effectLst/>
            </a:endParaRPr>
          </a:p>
        </c:rich>
      </c:tx>
      <c:overlay val="0"/>
      <c:spPr>
        <a:noFill/>
        <a:ln>
          <a:noFill/>
        </a:ln>
        <a:effectLst/>
      </c:sp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Sheet1!$A$5:$A$31</c:f>
              <c:strCache>
                <c:ptCount val="27"/>
                <c:pt idx="0">
                  <c:v>Разград</c:v>
                </c:pt>
                <c:pt idx="1">
                  <c:v>Габрово</c:v>
                </c:pt>
                <c:pt idx="2">
                  <c:v>Кърджали</c:v>
                </c:pt>
                <c:pt idx="3">
                  <c:v>Търговище</c:v>
                </c:pt>
                <c:pt idx="4">
                  <c:v>Перник</c:v>
                </c:pt>
                <c:pt idx="5">
                  <c:v>Русе</c:v>
                </c:pt>
                <c:pt idx="6">
                  <c:v>Шумен</c:v>
                </c:pt>
                <c:pt idx="7">
                  <c:v>Видин</c:v>
                </c:pt>
                <c:pt idx="8">
                  <c:v>Сливен</c:v>
                </c:pt>
                <c:pt idx="9">
                  <c:v>Силистра</c:v>
                </c:pt>
                <c:pt idx="10">
                  <c:v>Велико Търново</c:v>
                </c:pt>
                <c:pt idx="11">
                  <c:v>Кюстендил</c:v>
                </c:pt>
                <c:pt idx="12">
                  <c:v>Плевен</c:v>
                </c:pt>
                <c:pt idx="13">
                  <c:v>Варна </c:v>
                </c:pt>
                <c:pt idx="14">
                  <c:v>Враца</c:v>
                </c:pt>
                <c:pt idx="15">
                  <c:v>Добрич</c:v>
                </c:pt>
                <c:pt idx="16">
                  <c:v>Ямбол</c:v>
                </c:pt>
                <c:pt idx="17">
                  <c:v>Монтана</c:v>
                </c:pt>
                <c:pt idx="18">
                  <c:v>Ловеч</c:v>
                </c:pt>
                <c:pt idx="19">
                  <c:v>Пазарджик</c:v>
                </c:pt>
                <c:pt idx="20">
                  <c:v>Смолян</c:v>
                </c:pt>
                <c:pt idx="21">
                  <c:v>Стара Загора</c:v>
                </c:pt>
                <c:pt idx="22">
                  <c:v>Пловдив</c:v>
                </c:pt>
                <c:pt idx="23">
                  <c:v>Хасково</c:v>
                </c:pt>
                <c:pt idx="24">
                  <c:v>Бургас</c:v>
                </c:pt>
                <c:pt idx="25">
                  <c:v>София (област)</c:v>
                </c:pt>
                <c:pt idx="26">
                  <c:v>Благоевград</c:v>
                </c:pt>
              </c:strCache>
            </c:strRef>
          </c:cat>
          <c:val>
            <c:numRef>
              <c:f>Sheet1!$B$5:$B$31</c:f>
              <c:numCache>
                <c:formatCode>General</c:formatCode>
                <c:ptCount val="27"/>
                <c:pt idx="0">
                  <c:v>2</c:v>
                </c:pt>
                <c:pt idx="1">
                  <c:v>4</c:v>
                </c:pt>
                <c:pt idx="2">
                  <c:v>4</c:v>
                </c:pt>
                <c:pt idx="3">
                  <c:v>4</c:v>
                </c:pt>
                <c:pt idx="4">
                  <c:v>6</c:v>
                </c:pt>
                <c:pt idx="5">
                  <c:v>7</c:v>
                </c:pt>
                <c:pt idx="6">
                  <c:v>8</c:v>
                </c:pt>
                <c:pt idx="7">
                  <c:v>9</c:v>
                </c:pt>
                <c:pt idx="8">
                  <c:v>9</c:v>
                </c:pt>
                <c:pt idx="9">
                  <c:v>10</c:v>
                </c:pt>
                <c:pt idx="10">
                  <c:v>11</c:v>
                </c:pt>
                <c:pt idx="11">
                  <c:v>11</c:v>
                </c:pt>
                <c:pt idx="12">
                  <c:v>11</c:v>
                </c:pt>
                <c:pt idx="13">
                  <c:v>12</c:v>
                </c:pt>
                <c:pt idx="14">
                  <c:v>13</c:v>
                </c:pt>
                <c:pt idx="15">
                  <c:v>13</c:v>
                </c:pt>
                <c:pt idx="16">
                  <c:v>13</c:v>
                </c:pt>
                <c:pt idx="17">
                  <c:v>16</c:v>
                </c:pt>
                <c:pt idx="18">
                  <c:v>21</c:v>
                </c:pt>
                <c:pt idx="19">
                  <c:v>22</c:v>
                </c:pt>
                <c:pt idx="20">
                  <c:v>23</c:v>
                </c:pt>
                <c:pt idx="21">
                  <c:v>24</c:v>
                </c:pt>
                <c:pt idx="22">
                  <c:v>26</c:v>
                </c:pt>
                <c:pt idx="23">
                  <c:v>27</c:v>
                </c:pt>
                <c:pt idx="24">
                  <c:v>34</c:v>
                </c:pt>
                <c:pt idx="25">
                  <c:v>44</c:v>
                </c:pt>
                <c:pt idx="26">
                  <c:v>67</c:v>
                </c:pt>
              </c:numCache>
            </c:numRef>
          </c:val>
          <c:extLst xmlns:c16r2="http://schemas.microsoft.com/office/drawing/2015/06/chart">
            <c:ext xmlns:c16="http://schemas.microsoft.com/office/drawing/2014/chart" uri="{C3380CC4-5D6E-409C-BE32-E72D297353CC}">
              <c16:uniqueId val="{00000000-D1A2-43B1-85D1-C4C2216A487C}"/>
            </c:ext>
          </c:extLst>
        </c:ser>
        <c:dLbls>
          <c:dLblPos val="outEnd"/>
          <c:showLegendKey val="0"/>
          <c:showVal val="1"/>
          <c:showCatName val="0"/>
          <c:showSerName val="0"/>
          <c:showPercent val="0"/>
          <c:showBubbleSize val="0"/>
        </c:dLbls>
        <c:gapWidth val="182"/>
        <c:axId val="148550400"/>
        <c:axId val="148553088"/>
      </c:barChart>
      <c:catAx>
        <c:axId val="14855040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553088"/>
        <c:crosses val="autoZero"/>
        <c:auto val="1"/>
        <c:lblAlgn val="ctr"/>
        <c:lblOffset val="100"/>
        <c:noMultiLvlLbl val="0"/>
      </c:catAx>
      <c:valAx>
        <c:axId val="14855308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55040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b="0" i="0" baseline="0">
                <a:effectLst/>
              </a:rPr>
              <a:t>T</a:t>
            </a:r>
            <a:r>
              <a:rPr lang="bg-BG" sz="1200" b="0" i="0" baseline="0">
                <a:effectLst/>
              </a:rPr>
              <a:t>ериториално изпълнение</a:t>
            </a:r>
            <a:r>
              <a:rPr lang="en-US" sz="1200" b="0" i="0" baseline="0">
                <a:effectLst/>
              </a:rPr>
              <a:t> </a:t>
            </a:r>
            <a:r>
              <a:rPr lang="bg-BG" sz="1200" b="0" i="0" baseline="0">
                <a:effectLst/>
              </a:rPr>
              <a:t> на проектите по мярка 312</a:t>
            </a:r>
            <a:endParaRPr lang="bg-BG" sz="1200">
              <a:effectLst/>
            </a:endParaRPr>
          </a:p>
        </c:rich>
      </c:tx>
      <c:layout>
        <c:manualLayout>
          <c:xMode val="edge"/>
          <c:yMode val="edge"/>
          <c:x val="0.26938188976377953"/>
          <c:y val="1.2269936674566981E-2"/>
        </c:manualLayout>
      </c:layout>
      <c:overlay val="0"/>
      <c:spPr>
        <a:noFill/>
        <a:ln>
          <a:noFill/>
        </a:ln>
        <a:effectLst/>
      </c:sp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Sheet1!$A$37:$A$63</c:f>
              <c:strCache>
                <c:ptCount val="27"/>
                <c:pt idx="0">
                  <c:v>Разград</c:v>
                </c:pt>
                <c:pt idx="1">
                  <c:v>Силистра</c:v>
                </c:pt>
                <c:pt idx="2">
                  <c:v>Търговище</c:v>
                </c:pt>
                <c:pt idx="3">
                  <c:v>Добрич</c:v>
                </c:pt>
                <c:pt idx="4">
                  <c:v>Враца</c:v>
                </c:pt>
                <c:pt idx="5">
                  <c:v>Перник</c:v>
                </c:pt>
                <c:pt idx="6">
                  <c:v>Шумен</c:v>
                </c:pt>
                <c:pt idx="7">
                  <c:v>Кърджали</c:v>
                </c:pt>
                <c:pt idx="8">
                  <c:v>Русе</c:v>
                </c:pt>
                <c:pt idx="9">
                  <c:v>Варна </c:v>
                </c:pt>
                <c:pt idx="10">
                  <c:v>Плевен</c:v>
                </c:pt>
                <c:pt idx="11">
                  <c:v>Велико Търново</c:v>
                </c:pt>
                <c:pt idx="12">
                  <c:v>Видин</c:v>
                </c:pt>
                <c:pt idx="13">
                  <c:v>Кюстендил</c:v>
                </c:pt>
                <c:pt idx="14">
                  <c:v>Сливен</c:v>
                </c:pt>
                <c:pt idx="15">
                  <c:v>Монтана</c:v>
                </c:pt>
                <c:pt idx="16">
                  <c:v>Хасково</c:v>
                </c:pt>
                <c:pt idx="17">
                  <c:v>Ямбол</c:v>
                </c:pt>
                <c:pt idx="18">
                  <c:v>Пловдив</c:v>
                </c:pt>
                <c:pt idx="19">
                  <c:v>Бургас</c:v>
                </c:pt>
                <c:pt idx="20">
                  <c:v>Пазарджик</c:v>
                </c:pt>
                <c:pt idx="21">
                  <c:v>Габрово</c:v>
                </c:pt>
                <c:pt idx="22">
                  <c:v>Стара Загора</c:v>
                </c:pt>
                <c:pt idx="23">
                  <c:v>Смолян</c:v>
                </c:pt>
                <c:pt idx="24">
                  <c:v>Ловеч</c:v>
                </c:pt>
                <c:pt idx="25">
                  <c:v>София (област)</c:v>
                </c:pt>
                <c:pt idx="26">
                  <c:v>Благоевград</c:v>
                </c:pt>
              </c:strCache>
            </c:strRef>
          </c:cat>
          <c:val>
            <c:numRef>
              <c:f>Sheet1!$B$37:$B$63</c:f>
              <c:numCache>
                <c:formatCode>General</c:formatCode>
                <c:ptCount val="27"/>
                <c:pt idx="0">
                  <c:v>4</c:v>
                </c:pt>
                <c:pt idx="1">
                  <c:v>7</c:v>
                </c:pt>
                <c:pt idx="2">
                  <c:v>14</c:v>
                </c:pt>
                <c:pt idx="3">
                  <c:v>17</c:v>
                </c:pt>
                <c:pt idx="4">
                  <c:v>18</c:v>
                </c:pt>
                <c:pt idx="5">
                  <c:v>18</c:v>
                </c:pt>
                <c:pt idx="6">
                  <c:v>18</c:v>
                </c:pt>
                <c:pt idx="7">
                  <c:v>19</c:v>
                </c:pt>
                <c:pt idx="8">
                  <c:v>26</c:v>
                </c:pt>
                <c:pt idx="9">
                  <c:v>28</c:v>
                </c:pt>
                <c:pt idx="10">
                  <c:v>30</c:v>
                </c:pt>
                <c:pt idx="11">
                  <c:v>32</c:v>
                </c:pt>
                <c:pt idx="12">
                  <c:v>32</c:v>
                </c:pt>
                <c:pt idx="13">
                  <c:v>32</c:v>
                </c:pt>
                <c:pt idx="14">
                  <c:v>35</c:v>
                </c:pt>
                <c:pt idx="15">
                  <c:v>36</c:v>
                </c:pt>
                <c:pt idx="16">
                  <c:v>41</c:v>
                </c:pt>
                <c:pt idx="17">
                  <c:v>42</c:v>
                </c:pt>
                <c:pt idx="18">
                  <c:v>49</c:v>
                </c:pt>
                <c:pt idx="19">
                  <c:v>51</c:v>
                </c:pt>
                <c:pt idx="20">
                  <c:v>52</c:v>
                </c:pt>
                <c:pt idx="21">
                  <c:v>53</c:v>
                </c:pt>
                <c:pt idx="22">
                  <c:v>53</c:v>
                </c:pt>
                <c:pt idx="23">
                  <c:v>65</c:v>
                </c:pt>
                <c:pt idx="24">
                  <c:v>76</c:v>
                </c:pt>
                <c:pt idx="25">
                  <c:v>105</c:v>
                </c:pt>
                <c:pt idx="26">
                  <c:v>148</c:v>
                </c:pt>
              </c:numCache>
            </c:numRef>
          </c:val>
          <c:extLst xmlns:c16r2="http://schemas.microsoft.com/office/drawing/2015/06/chart">
            <c:ext xmlns:c16="http://schemas.microsoft.com/office/drawing/2014/chart" uri="{C3380CC4-5D6E-409C-BE32-E72D297353CC}">
              <c16:uniqueId val="{00000000-6463-4E8F-93E2-5DFAD870EB9E}"/>
            </c:ext>
          </c:extLst>
        </c:ser>
        <c:dLbls>
          <c:dLblPos val="outEnd"/>
          <c:showLegendKey val="0"/>
          <c:showVal val="1"/>
          <c:showCatName val="0"/>
          <c:showSerName val="0"/>
          <c:showPercent val="0"/>
          <c:showBubbleSize val="0"/>
        </c:dLbls>
        <c:gapWidth val="182"/>
        <c:axId val="148560512"/>
        <c:axId val="148702720"/>
      </c:barChart>
      <c:catAx>
        <c:axId val="14856051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702720"/>
        <c:crosses val="autoZero"/>
        <c:auto val="1"/>
        <c:lblAlgn val="ctr"/>
        <c:lblOffset val="100"/>
        <c:noMultiLvlLbl val="0"/>
      </c:catAx>
      <c:valAx>
        <c:axId val="1487027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56051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b="0" i="0" baseline="0">
                <a:effectLst/>
              </a:rPr>
              <a:t>T</a:t>
            </a:r>
            <a:r>
              <a:rPr lang="bg-BG" sz="1200" b="0" i="0" baseline="0">
                <a:effectLst/>
              </a:rPr>
              <a:t>ериториално изпълнение</a:t>
            </a:r>
            <a:r>
              <a:rPr lang="en-US" sz="1200" b="0" i="0" baseline="0">
                <a:effectLst/>
              </a:rPr>
              <a:t> </a:t>
            </a:r>
            <a:r>
              <a:rPr lang="bg-BG" sz="1200" b="0" i="0" baseline="0">
                <a:effectLst/>
              </a:rPr>
              <a:t> на проектите по мярка 313</a:t>
            </a:r>
            <a:endParaRPr lang="bg-BG" sz="1200">
              <a:effectLst/>
            </a:endParaRPr>
          </a:p>
        </c:rich>
      </c:tx>
      <c:overlay val="0"/>
      <c:spPr>
        <a:noFill/>
        <a:ln>
          <a:noFill/>
        </a:ln>
        <a:effectLst/>
      </c:sp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Sheet1!$A$82:$A$109</c:f>
              <c:strCache>
                <c:ptCount val="28"/>
                <c:pt idx="0">
                  <c:v>Габрово</c:v>
                </c:pt>
                <c:pt idx="1">
                  <c:v>Сливен</c:v>
                </c:pt>
                <c:pt idx="2">
                  <c:v>Кърджали</c:v>
                </c:pt>
                <c:pt idx="3">
                  <c:v>Разград</c:v>
                </c:pt>
                <c:pt idx="4">
                  <c:v>Стара Загора</c:v>
                </c:pt>
                <c:pt idx="5">
                  <c:v>Търговище</c:v>
                </c:pt>
                <c:pt idx="6">
                  <c:v>Ямбол</c:v>
                </c:pt>
                <c:pt idx="7">
                  <c:v>Добрич</c:v>
                </c:pt>
                <c:pt idx="8">
                  <c:v>Силистра</c:v>
                </c:pt>
                <c:pt idx="9">
                  <c:v>Шумен</c:v>
                </c:pt>
                <c:pt idx="10">
                  <c:v>Варна </c:v>
                </c:pt>
                <c:pt idx="11">
                  <c:v>Велико Търново</c:v>
                </c:pt>
                <c:pt idx="12">
                  <c:v>Враца</c:v>
                </c:pt>
                <c:pt idx="13">
                  <c:v>Монтана</c:v>
                </c:pt>
                <c:pt idx="14">
                  <c:v>Плевен</c:v>
                </c:pt>
                <c:pt idx="15">
                  <c:v>Русе</c:v>
                </c:pt>
                <c:pt idx="16">
                  <c:v>Ловеч</c:v>
                </c:pt>
                <c:pt idx="17">
                  <c:v>Бургас</c:v>
                </c:pt>
                <c:pt idx="18">
                  <c:v>Централно управление</c:v>
                </c:pt>
                <c:pt idx="19">
                  <c:v>Пловдив</c:v>
                </c:pt>
                <c:pt idx="20">
                  <c:v>Перник</c:v>
                </c:pt>
                <c:pt idx="21">
                  <c:v>Благоевград</c:v>
                </c:pt>
                <c:pt idx="22">
                  <c:v>Кюстендил</c:v>
                </c:pt>
                <c:pt idx="23">
                  <c:v>Хасково</c:v>
                </c:pt>
                <c:pt idx="24">
                  <c:v>Видин</c:v>
                </c:pt>
                <c:pt idx="25">
                  <c:v>Пазарджик</c:v>
                </c:pt>
                <c:pt idx="26">
                  <c:v>Смолян</c:v>
                </c:pt>
                <c:pt idx="27">
                  <c:v>София (област)</c:v>
                </c:pt>
              </c:strCache>
            </c:strRef>
          </c:cat>
          <c:val>
            <c:numRef>
              <c:f>Sheet1!$B$82:$B$109</c:f>
              <c:numCache>
                <c:formatCode>General</c:formatCode>
                <c:ptCount val="28"/>
                <c:pt idx="0">
                  <c:v>0</c:v>
                </c:pt>
                <c:pt idx="1">
                  <c:v>0</c:v>
                </c:pt>
                <c:pt idx="2">
                  <c:v>1</c:v>
                </c:pt>
                <c:pt idx="3">
                  <c:v>1</c:v>
                </c:pt>
                <c:pt idx="4">
                  <c:v>1</c:v>
                </c:pt>
                <c:pt idx="5">
                  <c:v>1</c:v>
                </c:pt>
                <c:pt idx="6">
                  <c:v>1</c:v>
                </c:pt>
                <c:pt idx="7">
                  <c:v>2</c:v>
                </c:pt>
                <c:pt idx="8">
                  <c:v>2</c:v>
                </c:pt>
                <c:pt idx="9">
                  <c:v>2</c:v>
                </c:pt>
                <c:pt idx="10">
                  <c:v>3</c:v>
                </c:pt>
                <c:pt idx="11">
                  <c:v>3</c:v>
                </c:pt>
                <c:pt idx="12">
                  <c:v>3</c:v>
                </c:pt>
                <c:pt idx="13">
                  <c:v>3</c:v>
                </c:pt>
                <c:pt idx="14">
                  <c:v>3</c:v>
                </c:pt>
                <c:pt idx="15">
                  <c:v>5</c:v>
                </c:pt>
                <c:pt idx="16">
                  <c:v>6</c:v>
                </c:pt>
                <c:pt idx="17">
                  <c:v>7</c:v>
                </c:pt>
                <c:pt idx="18">
                  <c:v>7</c:v>
                </c:pt>
                <c:pt idx="19">
                  <c:v>8</c:v>
                </c:pt>
                <c:pt idx="20">
                  <c:v>9</c:v>
                </c:pt>
                <c:pt idx="21">
                  <c:v>10</c:v>
                </c:pt>
                <c:pt idx="22">
                  <c:v>10</c:v>
                </c:pt>
                <c:pt idx="23">
                  <c:v>11</c:v>
                </c:pt>
                <c:pt idx="24">
                  <c:v>13</c:v>
                </c:pt>
                <c:pt idx="25">
                  <c:v>15</c:v>
                </c:pt>
                <c:pt idx="26">
                  <c:v>25</c:v>
                </c:pt>
                <c:pt idx="27">
                  <c:v>36</c:v>
                </c:pt>
              </c:numCache>
            </c:numRef>
          </c:val>
          <c:extLst xmlns:c16r2="http://schemas.microsoft.com/office/drawing/2015/06/chart">
            <c:ext xmlns:c16="http://schemas.microsoft.com/office/drawing/2014/chart" uri="{C3380CC4-5D6E-409C-BE32-E72D297353CC}">
              <c16:uniqueId val="{00000000-F467-483B-8F2E-0F6907884128}"/>
            </c:ext>
          </c:extLst>
        </c:ser>
        <c:dLbls>
          <c:dLblPos val="outEnd"/>
          <c:showLegendKey val="0"/>
          <c:showVal val="1"/>
          <c:showCatName val="0"/>
          <c:showSerName val="0"/>
          <c:showPercent val="0"/>
          <c:showBubbleSize val="0"/>
        </c:dLbls>
        <c:gapWidth val="182"/>
        <c:axId val="148722432"/>
        <c:axId val="148725120"/>
      </c:barChart>
      <c:catAx>
        <c:axId val="14872243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725120"/>
        <c:crosses val="autoZero"/>
        <c:auto val="1"/>
        <c:lblAlgn val="ctr"/>
        <c:lblOffset val="100"/>
        <c:noMultiLvlLbl val="0"/>
      </c:catAx>
      <c:valAx>
        <c:axId val="148725120"/>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722432"/>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b="0" i="0" baseline="0">
                <a:effectLst/>
              </a:rPr>
              <a:t>T</a:t>
            </a:r>
            <a:r>
              <a:rPr lang="bg-BG" sz="1200" b="0" i="0" baseline="0">
                <a:effectLst/>
              </a:rPr>
              <a:t>ериториално изпълнение</a:t>
            </a:r>
            <a:r>
              <a:rPr lang="en-US" sz="1200" b="0" i="0" baseline="0">
                <a:effectLst/>
              </a:rPr>
              <a:t> </a:t>
            </a:r>
            <a:r>
              <a:rPr lang="bg-BG" sz="1200" b="0" i="0" baseline="0">
                <a:effectLst/>
              </a:rPr>
              <a:t> на проектите по мярка 321</a:t>
            </a:r>
            <a:endParaRPr lang="bg-BG" sz="1200">
              <a:effectLst/>
            </a:endParaRPr>
          </a:p>
        </c:rich>
      </c:tx>
      <c:overlay val="0"/>
      <c:spPr>
        <a:noFill/>
        <a:ln>
          <a:noFill/>
        </a:ln>
        <a:effectLst/>
      </c:sp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Sheet1!$A$119:$A$146</c:f>
              <c:strCache>
                <c:ptCount val="28"/>
                <c:pt idx="0">
                  <c:v>Централно управление</c:v>
                </c:pt>
                <c:pt idx="1">
                  <c:v>Сливен</c:v>
                </c:pt>
                <c:pt idx="2">
                  <c:v>Търговище</c:v>
                </c:pt>
                <c:pt idx="3">
                  <c:v>Габрово</c:v>
                </c:pt>
                <c:pt idx="4">
                  <c:v>Перник</c:v>
                </c:pt>
                <c:pt idx="5">
                  <c:v>Ямбол</c:v>
                </c:pt>
                <c:pt idx="6">
                  <c:v>Силистра</c:v>
                </c:pt>
                <c:pt idx="7">
                  <c:v>Добрич</c:v>
                </c:pt>
                <c:pt idx="8">
                  <c:v>Шумен</c:v>
                </c:pt>
                <c:pt idx="9">
                  <c:v>Кюстендил</c:v>
                </c:pt>
                <c:pt idx="10">
                  <c:v>Разград</c:v>
                </c:pt>
                <c:pt idx="11">
                  <c:v>Стара Загора</c:v>
                </c:pt>
                <c:pt idx="12">
                  <c:v>Враца</c:v>
                </c:pt>
                <c:pt idx="13">
                  <c:v>Бургас</c:v>
                </c:pt>
                <c:pt idx="14">
                  <c:v>Кърджали</c:v>
                </c:pt>
                <c:pt idx="15">
                  <c:v>Ловеч</c:v>
                </c:pt>
                <c:pt idx="16">
                  <c:v>Велико Търново</c:v>
                </c:pt>
                <c:pt idx="17">
                  <c:v>Видин</c:v>
                </c:pt>
                <c:pt idx="18">
                  <c:v>Русе</c:v>
                </c:pt>
                <c:pt idx="19">
                  <c:v>Пазарджик</c:v>
                </c:pt>
                <c:pt idx="20">
                  <c:v>Пловдив</c:v>
                </c:pt>
                <c:pt idx="21">
                  <c:v>Хасково</c:v>
                </c:pt>
                <c:pt idx="22">
                  <c:v>Варна </c:v>
                </c:pt>
                <c:pt idx="23">
                  <c:v>Смолян</c:v>
                </c:pt>
                <c:pt idx="24">
                  <c:v>Монтана</c:v>
                </c:pt>
                <c:pt idx="25">
                  <c:v>Плевен</c:v>
                </c:pt>
                <c:pt idx="26">
                  <c:v>Благоевград</c:v>
                </c:pt>
                <c:pt idx="27">
                  <c:v>София (област)</c:v>
                </c:pt>
              </c:strCache>
            </c:strRef>
          </c:cat>
          <c:val>
            <c:numRef>
              <c:f>Sheet1!$B$119:$B$146</c:f>
              <c:numCache>
                <c:formatCode>General</c:formatCode>
                <c:ptCount val="28"/>
                <c:pt idx="0">
                  <c:v>3</c:v>
                </c:pt>
                <c:pt idx="1">
                  <c:v>5</c:v>
                </c:pt>
                <c:pt idx="2">
                  <c:v>5</c:v>
                </c:pt>
                <c:pt idx="3">
                  <c:v>7</c:v>
                </c:pt>
                <c:pt idx="4">
                  <c:v>7</c:v>
                </c:pt>
                <c:pt idx="5">
                  <c:v>9</c:v>
                </c:pt>
                <c:pt idx="6">
                  <c:v>10</c:v>
                </c:pt>
                <c:pt idx="7">
                  <c:v>14</c:v>
                </c:pt>
                <c:pt idx="8">
                  <c:v>16</c:v>
                </c:pt>
                <c:pt idx="9">
                  <c:v>17</c:v>
                </c:pt>
                <c:pt idx="10">
                  <c:v>17</c:v>
                </c:pt>
                <c:pt idx="11">
                  <c:v>17</c:v>
                </c:pt>
                <c:pt idx="12">
                  <c:v>19</c:v>
                </c:pt>
                <c:pt idx="13">
                  <c:v>20</c:v>
                </c:pt>
                <c:pt idx="14">
                  <c:v>20</c:v>
                </c:pt>
                <c:pt idx="15">
                  <c:v>21</c:v>
                </c:pt>
                <c:pt idx="16">
                  <c:v>22</c:v>
                </c:pt>
                <c:pt idx="17">
                  <c:v>22</c:v>
                </c:pt>
                <c:pt idx="18">
                  <c:v>24</c:v>
                </c:pt>
                <c:pt idx="19">
                  <c:v>26</c:v>
                </c:pt>
                <c:pt idx="20">
                  <c:v>26</c:v>
                </c:pt>
                <c:pt idx="21">
                  <c:v>26</c:v>
                </c:pt>
                <c:pt idx="22">
                  <c:v>28</c:v>
                </c:pt>
                <c:pt idx="23">
                  <c:v>28</c:v>
                </c:pt>
                <c:pt idx="24">
                  <c:v>29</c:v>
                </c:pt>
                <c:pt idx="25">
                  <c:v>32</c:v>
                </c:pt>
                <c:pt idx="26">
                  <c:v>39</c:v>
                </c:pt>
                <c:pt idx="27">
                  <c:v>54</c:v>
                </c:pt>
              </c:numCache>
            </c:numRef>
          </c:val>
          <c:extLst xmlns:c16r2="http://schemas.microsoft.com/office/drawing/2015/06/chart">
            <c:ext xmlns:c16="http://schemas.microsoft.com/office/drawing/2014/chart" uri="{C3380CC4-5D6E-409C-BE32-E72D297353CC}">
              <c16:uniqueId val="{00000000-B4BC-43FE-8681-3DD3E55CB1B7}"/>
            </c:ext>
          </c:extLst>
        </c:ser>
        <c:dLbls>
          <c:dLblPos val="outEnd"/>
          <c:showLegendKey val="0"/>
          <c:showVal val="1"/>
          <c:showCatName val="0"/>
          <c:showSerName val="0"/>
          <c:showPercent val="0"/>
          <c:showBubbleSize val="0"/>
        </c:dLbls>
        <c:gapWidth val="182"/>
        <c:axId val="148740736"/>
        <c:axId val="148751872"/>
      </c:barChart>
      <c:catAx>
        <c:axId val="148740736"/>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751872"/>
        <c:crosses val="autoZero"/>
        <c:auto val="1"/>
        <c:lblAlgn val="ctr"/>
        <c:lblOffset val="100"/>
        <c:noMultiLvlLbl val="0"/>
      </c:catAx>
      <c:valAx>
        <c:axId val="14875187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7407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mn-cs"/>
              </a:defRPr>
            </a:pPr>
            <a:r>
              <a:rPr lang="en-US" sz="1200" b="0" i="0" baseline="0">
                <a:effectLst/>
              </a:rPr>
              <a:t>T</a:t>
            </a:r>
            <a:r>
              <a:rPr lang="bg-BG" sz="1200" b="0" i="0" baseline="0">
                <a:effectLst/>
              </a:rPr>
              <a:t>ериториално изпълнение</a:t>
            </a:r>
            <a:r>
              <a:rPr lang="en-US" sz="1200" b="0" i="0" baseline="0">
                <a:effectLst/>
              </a:rPr>
              <a:t> </a:t>
            </a:r>
            <a:r>
              <a:rPr lang="bg-BG" sz="1200" b="0" i="0" baseline="0">
                <a:effectLst/>
              </a:rPr>
              <a:t> на проектите по мярка 322</a:t>
            </a:r>
            <a:endParaRPr lang="bg-BG" sz="1200">
              <a:effectLst/>
            </a:endParaRPr>
          </a:p>
        </c:rich>
      </c:tx>
      <c:overlay val="0"/>
      <c:spPr>
        <a:noFill/>
        <a:ln>
          <a:noFill/>
        </a:ln>
        <a:effectLst/>
      </c:spPr>
    </c:title>
    <c:autoTitleDeleted val="0"/>
    <c:plotArea>
      <c:layout/>
      <c:barChart>
        <c:barDir val="bar"/>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Sheet1!$A$159:$A$186</c:f>
              <c:strCache>
                <c:ptCount val="28"/>
                <c:pt idx="0">
                  <c:v>Централно управление</c:v>
                </c:pt>
                <c:pt idx="1">
                  <c:v>Сливен</c:v>
                </c:pt>
                <c:pt idx="2">
                  <c:v>Габрово</c:v>
                </c:pt>
                <c:pt idx="3">
                  <c:v>Търговище</c:v>
                </c:pt>
                <c:pt idx="4">
                  <c:v>Силистра</c:v>
                </c:pt>
                <c:pt idx="5">
                  <c:v>Бургас</c:v>
                </c:pt>
                <c:pt idx="6">
                  <c:v>Кюстендил</c:v>
                </c:pt>
                <c:pt idx="7">
                  <c:v>Перник</c:v>
                </c:pt>
                <c:pt idx="8">
                  <c:v>Кърджали</c:v>
                </c:pt>
                <c:pt idx="9">
                  <c:v>Пазарджик</c:v>
                </c:pt>
                <c:pt idx="10">
                  <c:v>Враца</c:v>
                </c:pt>
                <c:pt idx="11">
                  <c:v>Добрич</c:v>
                </c:pt>
                <c:pt idx="12">
                  <c:v>Пловдив</c:v>
                </c:pt>
                <c:pt idx="13">
                  <c:v>Шумен</c:v>
                </c:pt>
                <c:pt idx="14">
                  <c:v>Русе</c:v>
                </c:pt>
                <c:pt idx="15">
                  <c:v>Разград</c:v>
                </c:pt>
                <c:pt idx="16">
                  <c:v>Ямбол</c:v>
                </c:pt>
                <c:pt idx="17">
                  <c:v>Стара Загора</c:v>
                </c:pt>
                <c:pt idx="18">
                  <c:v>Велико Търново</c:v>
                </c:pt>
                <c:pt idx="19">
                  <c:v>Видин</c:v>
                </c:pt>
                <c:pt idx="20">
                  <c:v>Ловеч</c:v>
                </c:pt>
                <c:pt idx="21">
                  <c:v>Смолян</c:v>
                </c:pt>
                <c:pt idx="22">
                  <c:v>Плевен</c:v>
                </c:pt>
                <c:pt idx="23">
                  <c:v>Благоевград</c:v>
                </c:pt>
                <c:pt idx="24">
                  <c:v>Варна </c:v>
                </c:pt>
                <c:pt idx="25">
                  <c:v>Хасково</c:v>
                </c:pt>
                <c:pt idx="26">
                  <c:v>Монтана</c:v>
                </c:pt>
                <c:pt idx="27">
                  <c:v>София (област)</c:v>
                </c:pt>
              </c:strCache>
            </c:strRef>
          </c:cat>
          <c:val>
            <c:numRef>
              <c:f>Sheet1!$B$159:$B$186</c:f>
              <c:numCache>
                <c:formatCode>General</c:formatCode>
                <c:ptCount val="28"/>
                <c:pt idx="0">
                  <c:v>2</c:v>
                </c:pt>
                <c:pt idx="1">
                  <c:v>3</c:v>
                </c:pt>
                <c:pt idx="2">
                  <c:v>5</c:v>
                </c:pt>
                <c:pt idx="3">
                  <c:v>5</c:v>
                </c:pt>
                <c:pt idx="4">
                  <c:v>9</c:v>
                </c:pt>
                <c:pt idx="5">
                  <c:v>10</c:v>
                </c:pt>
                <c:pt idx="6">
                  <c:v>11</c:v>
                </c:pt>
                <c:pt idx="7">
                  <c:v>11</c:v>
                </c:pt>
                <c:pt idx="8">
                  <c:v>12</c:v>
                </c:pt>
                <c:pt idx="9">
                  <c:v>13</c:v>
                </c:pt>
                <c:pt idx="10">
                  <c:v>14</c:v>
                </c:pt>
                <c:pt idx="11">
                  <c:v>14</c:v>
                </c:pt>
                <c:pt idx="12">
                  <c:v>14</c:v>
                </c:pt>
                <c:pt idx="13">
                  <c:v>17</c:v>
                </c:pt>
                <c:pt idx="14">
                  <c:v>19</c:v>
                </c:pt>
                <c:pt idx="15">
                  <c:v>21</c:v>
                </c:pt>
                <c:pt idx="16">
                  <c:v>22</c:v>
                </c:pt>
                <c:pt idx="17">
                  <c:v>23</c:v>
                </c:pt>
                <c:pt idx="18">
                  <c:v>25</c:v>
                </c:pt>
                <c:pt idx="19">
                  <c:v>25</c:v>
                </c:pt>
                <c:pt idx="20">
                  <c:v>27</c:v>
                </c:pt>
                <c:pt idx="21">
                  <c:v>27</c:v>
                </c:pt>
                <c:pt idx="22">
                  <c:v>29</c:v>
                </c:pt>
                <c:pt idx="23">
                  <c:v>30</c:v>
                </c:pt>
                <c:pt idx="24">
                  <c:v>34</c:v>
                </c:pt>
                <c:pt idx="25">
                  <c:v>36</c:v>
                </c:pt>
                <c:pt idx="26">
                  <c:v>38</c:v>
                </c:pt>
                <c:pt idx="27">
                  <c:v>47</c:v>
                </c:pt>
              </c:numCache>
            </c:numRef>
          </c:val>
          <c:extLst xmlns:c16r2="http://schemas.microsoft.com/office/drawing/2015/06/chart">
            <c:ext xmlns:c16="http://schemas.microsoft.com/office/drawing/2014/chart" uri="{C3380CC4-5D6E-409C-BE32-E72D297353CC}">
              <c16:uniqueId val="{00000000-1F15-4B14-B6A4-3CB677489EB2}"/>
            </c:ext>
          </c:extLst>
        </c:ser>
        <c:dLbls>
          <c:dLblPos val="outEnd"/>
          <c:showLegendKey val="0"/>
          <c:showVal val="1"/>
          <c:showCatName val="0"/>
          <c:showSerName val="0"/>
          <c:showPercent val="0"/>
          <c:showBubbleSize val="0"/>
        </c:dLbls>
        <c:gapWidth val="182"/>
        <c:axId val="150352640"/>
        <c:axId val="150355328"/>
      </c:barChart>
      <c:catAx>
        <c:axId val="150352640"/>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355328"/>
        <c:crosses val="autoZero"/>
        <c:auto val="1"/>
        <c:lblAlgn val="ctr"/>
        <c:lblOffset val="100"/>
        <c:noMultiLvlLbl val="0"/>
      </c:catAx>
      <c:valAx>
        <c:axId val="150355328"/>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35264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rAngAx val="0"/>
      <c:perspective val="30"/>
    </c:view3D>
    <c:floor>
      <c:thickness val="0"/>
    </c:floor>
    <c:sideWall>
      <c:thickness val="0"/>
    </c:sideWall>
    <c:backWall>
      <c:thickness val="0"/>
    </c:backWall>
    <c:plotArea>
      <c:layout/>
      <c:pie3DChart>
        <c:varyColors val="1"/>
        <c:ser>
          <c:idx val="0"/>
          <c:order val="0"/>
          <c:tx>
            <c:strRef>
              <c:f>Sheet1!$B$1</c:f>
              <c:strCache>
                <c:ptCount val="1"/>
                <c:pt idx="0">
                  <c:v>Заинтересовани страни от ос 4 по сектори</c:v>
                </c:pt>
              </c:strCache>
            </c:strRef>
          </c:tx>
          <c:explosion val="25"/>
          <c:dLbls>
            <c:spPr>
              <a:noFill/>
              <a:ln>
                <a:noFill/>
              </a:ln>
              <a:effectLst/>
            </c:spPr>
            <c:txPr>
              <a:bodyPr wrap="square" lIns="38100" tIns="19050" rIns="38100" bIns="19050" anchor="ctr">
                <a:spAutoFit/>
              </a:bodyPr>
              <a:lstStyle/>
              <a:p>
                <a:pPr>
                  <a:defRPr b="1">
                    <a:solidFill>
                      <a:schemeClr val="bg1"/>
                    </a:solidFill>
                  </a:defRPr>
                </a:pPr>
                <a:endParaRPr lang="en-US"/>
              </a:p>
            </c:txPr>
            <c:showLegendKey val="0"/>
            <c:showVal val="1"/>
            <c:showCatName val="0"/>
            <c:showSerName val="0"/>
            <c:showPercent val="1"/>
            <c:showBubbleSize val="0"/>
            <c:separator>
</c:separator>
            <c:showLeaderLines val="1"/>
            <c:extLst xmlns:c16r2="http://schemas.microsoft.com/office/drawing/2015/06/chart">
              <c:ext xmlns:c15="http://schemas.microsoft.com/office/drawing/2012/chart" uri="{CE6537A1-D6FC-4f65-9D91-7224C49458BB}"/>
            </c:extLst>
          </c:dLbls>
          <c:cat>
            <c:strRef>
              <c:f>Sheet1!$A$2:$A$4</c:f>
              <c:strCache>
                <c:ptCount val="3"/>
                <c:pt idx="0">
                  <c:v>Публичен</c:v>
                </c:pt>
                <c:pt idx="1">
                  <c:v>Стопански </c:v>
                </c:pt>
                <c:pt idx="2">
                  <c:v>Нестопански</c:v>
                </c:pt>
              </c:strCache>
            </c:strRef>
          </c:cat>
          <c:val>
            <c:numRef>
              <c:f>Sheet1!$B$2:$B$4</c:f>
              <c:numCache>
                <c:formatCode>General</c:formatCode>
                <c:ptCount val="3"/>
                <c:pt idx="0">
                  <c:v>68</c:v>
                </c:pt>
                <c:pt idx="1">
                  <c:v>695</c:v>
                </c:pt>
                <c:pt idx="2">
                  <c:v>128</c:v>
                </c:pt>
              </c:numCache>
            </c:numRef>
          </c:val>
          <c:extLst xmlns:c16r2="http://schemas.microsoft.com/office/drawing/2015/06/chart">
            <c:ext xmlns:c16="http://schemas.microsoft.com/office/drawing/2014/chart" uri="{C3380CC4-5D6E-409C-BE32-E72D297353CC}">
              <c16:uniqueId val="{00000000-87C2-470B-AB07-0DE518B6B972}"/>
            </c:ext>
          </c:extLst>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spPr>
    <a:ln>
      <a:noFill/>
    </a:ln>
  </c:sp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2902050104313884"/>
          <c:y val="0.11609981044036162"/>
          <c:w val="0.7631935695538058"/>
          <c:h val="0.55227945465150186"/>
        </c:manualLayout>
      </c:layout>
      <c:barChart>
        <c:barDir val="col"/>
        <c:grouping val="stacked"/>
        <c:varyColors val="0"/>
        <c:ser>
          <c:idx val="0"/>
          <c:order val="0"/>
          <c:tx>
            <c:strRef>
              <c:f>Sheet1!$E$44</c:f>
              <c:strCache>
                <c:ptCount val="1"/>
                <c:pt idx="0">
                  <c:v>2013</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Sheet1!$D$45:$D$54</c:f>
              <c:strCache>
                <c:ptCount val="9"/>
                <c:pt idx="0">
                  <c:v>НПО</c:v>
                </c:pt>
                <c:pt idx="1">
                  <c:v>МИГ</c:v>
                </c:pt>
                <c:pt idx="2">
                  <c:v>Читалища</c:v>
                </c:pt>
                <c:pt idx="3">
                  <c:v>Фермери</c:v>
                </c:pt>
                <c:pt idx="4">
                  <c:v>Фирми</c:v>
                </c:pt>
                <c:pt idx="5">
                  <c:v>Научни инс.</c:v>
                </c:pt>
                <c:pt idx="6">
                  <c:v>Местна власт </c:v>
                </c:pt>
                <c:pt idx="7">
                  <c:v>Публична админ.</c:v>
                </c:pt>
                <c:pt idx="8">
                  <c:v>Физически лица </c:v>
                </c:pt>
              </c:strCache>
            </c:strRef>
          </c:cat>
          <c:val>
            <c:numRef>
              <c:f>Sheet1!$E$45:$E$54</c:f>
              <c:numCache>
                <c:formatCode>General</c:formatCode>
                <c:ptCount val="10"/>
                <c:pt idx="0">
                  <c:v>53</c:v>
                </c:pt>
                <c:pt idx="1">
                  <c:v>26</c:v>
                </c:pt>
                <c:pt idx="2">
                  <c:v>23</c:v>
                </c:pt>
                <c:pt idx="3">
                  <c:v>30</c:v>
                </c:pt>
                <c:pt idx="4">
                  <c:v>42</c:v>
                </c:pt>
                <c:pt idx="5">
                  <c:v>17</c:v>
                </c:pt>
                <c:pt idx="6">
                  <c:v>18</c:v>
                </c:pt>
                <c:pt idx="7">
                  <c:v>18</c:v>
                </c:pt>
                <c:pt idx="8">
                  <c:v>17</c:v>
                </c:pt>
              </c:numCache>
            </c:numRef>
          </c:val>
          <c:extLst xmlns:c16r2="http://schemas.microsoft.com/office/drawing/2015/06/chart">
            <c:ext xmlns:c16="http://schemas.microsoft.com/office/drawing/2014/chart" uri="{C3380CC4-5D6E-409C-BE32-E72D297353CC}">
              <c16:uniqueId val="{00000000-2B65-472E-AA09-69A40DA6F4A3}"/>
            </c:ext>
          </c:extLst>
        </c:ser>
        <c:ser>
          <c:idx val="1"/>
          <c:order val="1"/>
          <c:tx>
            <c:strRef>
              <c:f>Sheet1!$F$44</c:f>
              <c:strCache>
                <c:ptCount val="1"/>
                <c:pt idx="0">
                  <c:v>2014</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Sheet1!$D$45:$D$54</c:f>
              <c:strCache>
                <c:ptCount val="9"/>
                <c:pt idx="0">
                  <c:v>НПО</c:v>
                </c:pt>
                <c:pt idx="1">
                  <c:v>МИГ</c:v>
                </c:pt>
                <c:pt idx="2">
                  <c:v>Читалища</c:v>
                </c:pt>
                <c:pt idx="3">
                  <c:v>Фермери</c:v>
                </c:pt>
                <c:pt idx="4">
                  <c:v>Фирми</c:v>
                </c:pt>
                <c:pt idx="5">
                  <c:v>Научни инс.</c:v>
                </c:pt>
                <c:pt idx="6">
                  <c:v>Местна власт </c:v>
                </c:pt>
                <c:pt idx="7">
                  <c:v>Публична админ.</c:v>
                </c:pt>
                <c:pt idx="8">
                  <c:v>Физически лица </c:v>
                </c:pt>
              </c:strCache>
            </c:strRef>
          </c:cat>
          <c:val>
            <c:numRef>
              <c:f>Sheet1!$F$45:$F$54</c:f>
              <c:numCache>
                <c:formatCode>General</c:formatCode>
                <c:ptCount val="10"/>
                <c:pt idx="0">
                  <c:v>63</c:v>
                </c:pt>
                <c:pt idx="1">
                  <c:v>27</c:v>
                </c:pt>
                <c:pt idx="2">
                  <c:v>40</c:v>
                </c:pt>
                <c:pt idx="3">
                  <c:v>80</c:v>
                </c:pt>
                <c:pt idx="4">
                  <c:v>56</c:v>
                </c:pt>
                <c:pt idx="5">
                  <c:v>31</c:v>
                </c:pt>
                <c:pt idx="6">
                  <c:v>30</c:v>
                </c:pt>
                <c:pt idx="7">
                  <c:v>21</c:v>
                </c:pt>
                <c:pt idx="8">
                  <c:v>34</c:v>
                </c:pt>
              </c:numCache>
            </c:numRef>
          </c:val>
          <c:extLst xmlns:c16r2="http://schemas.microsoft.com/office/drawing/2015/06/chart">
            <c:ext xmlns:c16="http://schemas.microsoft.com/office/drawing/2014/chart" uri="{C3380CC4-5D6E-409C-BE32-E72D297353CC}">
              <c16:uniqueId val="{00000001-2B65-472E-AA09-69A40DA6F4A3}"/>
            </c:ext>
          </c:extLst>
        </c:ser>
        <c:ser>
          <c:idx val="2"/>
          <c:order val="2"/>
          <c:tx>
            <c:strRef>
              <c:f>Sheet1!$G$44</c:f>
              <c:strCache>
                <c:ptCount val="1"/>
                <c:pt idx="0">
                  <c:v>2015</c:v>
                </c:pt>
              </c:strCache>
            </c:strRef>
          </c:tx>
          <c:invertIfNegative val="0"/>
          <c:dLbls>
            <c:spPr>
              <a:noFill/>
              <a:ln>
                <a:noFill/>
              </a:ln>
              <a:effectLst/>
            </c:sp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0"/>
              </c:ext>
            </c:extLst>
          </c:dLbls>
          <c:cat>
            <c:strRef>
              <c:f>Sheet1!$D$45:$D$54</c:f>
              <c:strCache>
                <c:ptCount val="9"/>
                <c:pt idx="0">
                  <c:v>НПО</c:v>
                </c:pt>
                <c:pt idx="1">
                  <c:v>МИГ</c:v>
                </c:pt>
                <c:pt idx="2">
                  <c:v>Читалища</c:v>
                </c:pt>
                <c:pt idx="3">
                  <c:v>Фермери</c:v>
                </c:pt>
                <c:pt idx="4">
                  <c:v>Фирми</c:v>
                </c:pt>
                <c:pt idx="5">
                  <c:v>Научни инс.</c:v>
                </c:pt>
                <c:pt idx="6">
                  <c:v>Местна власт </c:v>
                </c:pt>
                <c:pt idx="7">
                  <c:v>Публична админ.</c:v>
                </c:pt>
                <c:pt idx="8">
                  <c:v>Физически лица </c:v>
                </c:pt>
              </c:strCache>
            </c:strRef>
          </c:cat>
          <c:val>
            <c:numRef>
              <c:f>Sheet1!$G$45:$G$54</c:f>
              <c:numCache>
                <c:formatCode>General</c:formatCode>
                <c:ptCount val="10"/>
                <c:pt idx="0">
                  <c:v>77</c:v>
                </c:pt>
                <c:pt idx="1">
                  <c:v>29</c:v>
                </c:pt>
                <c:pt idx="2">
                  <c:v>61</c:v>
                </c:pt>
                <c:pt idx="3">
                  <c:v>93</c:v>
                </c:pt>
                <c:pt idx="4">
                  <c:v>64</c:v>
                </c:pt>
                <c:pt idx="5">
                  <c:v>38</c:v>
                </c:pt>
                <c:pt idx="6">
                  <c:v>30</c:v>
                </c:pt>
                <c:pt idx="7">
                  <c:v>21</c:v>
                </c:pt>
                <c:pt idx="8">
                  <c:v>41</c:v>
                </c:pt>
              </c:numCache>
            </c:numRef>
          </c:val>
          <c:extLst xmlns:c16r2="http://schemas.microsoft.com/office/drawing/2015/06/chart">
            <c:ext xmlns:c16="http://schemas.microsoft.com/office/drawing/2014/chart" uri="{C3380CC4-5D6E-409C-BE32-E72D297353CC}">
              <c16:uniqueId val="{00000002-2B65-472E-AA09-69A40DA6F4A3}"/>
            </c:ext>
          </c:extLst>
        </c:ser>
        <c:dLbls>
          <c:showLegendKey val="0"/>
          <c:showVal val="0"/>
          <c:showCatName val="0"/>
          <c:showSerName val="0"/>
          <c:showPercent val="0"/>
          <c:showBubbleSize val="0"/>
        </c:dLbls>
        <c:gapWidth val="150"/>
        <c:overlap val="100"/>
        <c:axId val="150369408"/>
        <c:axId val="150370944"/>
      </c:barChart>
      <c:catAx>
        <c:axId val="150369408"/>
        <c:scaling>
          <c:orientation val="minMax"/>
        </c:scaling>
        <c:delete val="0"/>
        <c:axPos val="b"/>
        <c:numFmt formatCode="General" sourceLinked="0"/>
        <c:majorTickMark val="none"/>
        <c:minorTickMark val="none"/>
        <c:tickLblPos val="nextTo"/>
        <c:crossAx val="150370944"/>
        <c:crosses val="autoZero"/>
        <c:auto val="1"/>
        <c:lblAlgn val="ctr"/>
        <c:lblOffset val="100"/>
        <c:noMultiLvlLbl val="0"/>
      </c:catAx>
      <c:valAx>
        <c:axId val="150370944"/>
        <c:scaling>
          <c:orientation val="minMax"/>
        </c:scaling>
        <c:delete val="0"/>
        <c:axPos val="l"/>
        <c:majorGridlines/>
        <c:numFmt formatCode="General" sourceLinked="1"/>
        <c:majorTickMark val="none"/>
        <c:minorTickMark val="none"/>
        <c:tickLblPos val="nextTo"/>
        <c:crossAx val="150369408"/>
        <c:crosses val="autoZero"/>
        <c:crossBetween val="between"/>
      </c:valAx>
    </c:plotArea>
    <c:legend>
      <c:legendPos val="r"/>
      <c:layout>
        <c:manualLayout>
          <c:xMode val="edge"/>
          <c:yMode val="edge"/>
          <c:x val="0.86549797260919303"/>
          <c:y val="0.22900736366287547"/>
          <c:w val="0.10351239147991116"/>
          <c:h val="0.37615157480314959"/>
        </c:manualLayout>
      </c:layout>
      <c:overlay val="0"/>
    </c:legend>
    <c:plotVisOnly val="1"/>
    <c:dispBlanksAs val="gap"/>
    <c:showDLblsOverMax val="0"/>
  </c:chart>
  <c:spPr>
    <a:ln>
      <a:noFill/>
    </a:ln>
  </c:sp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64EA69B-C839-4695-A5AA-CED4B6131F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95</Pages>
  <Words>77100</Words>
  <Characters>439472</Characters>
  <Application>Microsoft Office Word</Application>
  <DocSecurity>0</DocSecurity>
  <Lines>3662</Lines>
  <Paragraphs>1031</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515541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SEE</dc:creator>
  <cp:lastModifiedBy>Snezhana Grigorova</cp:lastModifiedBy>
  <cp:revision>2</cp:revision>
  <cp:lastPrinted>2018-03-21T12:38:00Z</cp:lastPrinted>
  <dcterms:created xsi:type="dcterms:W3CDTF">2018-04-19T11:10:00Z</dcterms:created>
  <dcterms:modified xsi:type="dcterms:W3CDTF">2018-04-19T11:10:00Z</dcterms:modified>
</cp:coreProperties>
</file>